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186690</wp:posOffset>
            </wp:positionH>
            <wp:positionV relativeFrom="page">
              <wp:posOffset>266065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289560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124460</wp:posOffset>
            </wp:positionV>
            <wp:extent cx="17894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4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138430</wp:posOffset>
            </wp:positionV>
            <wp:extent cx="17894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9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 THE</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4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November 2026</w:t>
      </w:r>
    </w:p>
    <w:p>
      <w:pPr>
        <w:spacing w:after="0" w:line="16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134620</wp:posOffset>
            </wp:positionV>
            <wp:extent cx="17894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6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138430</wp:posOffset>
            </wp:positionV>
            <wp:extent cx="17894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8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Room 802, 8/F, China Life Centre</w:t>
      </w:r>
    </w:p>
    <w:p>
      <w:pPr>
        <w:spacing w:after="0" w:line="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Tower A, One HarbourGate</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 18 Hung Luen Road</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Kowloon, Hong Kong</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125730</wp:posOffset>
            </wp:positionV>
            <wp:extent cx="17894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880"/>
        <w:spacing w:after="0" w:line="138" w:lineRule="exact"/>
        <w:tabs>
          <w:tab w:leader="none" w:pos="572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717486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498475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2"/>
          <w:szCs w:val="12"/>
          <w:color w:val="auto"/>
        </w:rPr>
        <w:t>We submitted with The Stock Exchange of Hong Kong Limited the next day disclosure return forms dated October 28, 2026, October 29, 2026, October 30, 2026 and November 2, 2026 in relation to the movements in our authorized issued shares or treasury shares as a result of or in connection with certain events, attached as Exhibit 99.1, Exhibit 99.2, Exhibit 99.3 and Exhibit 99.4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960"/>
          </w:cols>
          <w:pgMar w:left="300" w:top="664"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60" w:type="dxa"/>
            <w:vAlign w:val="bottom"/>
            <w:gridSpan w:val="3"/>
          </w:tcPr>
          <w:p>
            <w:pPr>
              <w:ind w:left="392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71"/>
        </w:trPr>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7"/>
              </w:rPr>
              <w:t>Exhibit 99.1</w:t>
            </w:r>
          </w:p>
        </w:tc>
        <w:tc>
          <w:tcPr>
            <w:tcW w:w="640" w:type="dxa"/>
            <w:vAlign w:val="bottom"/>
          </w:tcPr>
          <w:p>
            <w:pPr>
              <w:spacing w:after="0"/>
              <w:rPr>
                <w:sz w:val="23"/>
                <w:szCs w:val="23"/>
                <w:color w:val="auto"/>
              </w:rPr>
            </w:pPr>
          </w:p>
        </w:tc>
        <w:tc>
          <w:tcPr>
            <w:tcW w:w="6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rPr>
              <w:t>Next Day Disclosure Return with The Stock Exchange of Hong Kong Limited – Next Day Disclosure Return dated October 28, 2026</w:t>
            </w:r>
          </w:p>
        </w:tc>
        <w:tc>
          <w:tcPr>
            <w:tcW w:w="3440" w:type="dxa"/>
            <w:vAlign w:val="bottom"/>
            <w:gridSpan w:val="2"/>
          </w:tcPr>
          <w:p>
            <w:pPr>
              <w:spacing w:after="0"/>
              <w:rPr>
                <w:sz w:val="23"/>
                <w:szCs w:val="23"/>
                <w:color w:val="auto"/>
              </w:rPr>
            </w:pPr>
          </w:p>
        </w:tc>
      </w:tr>
      <w:tr>
        <w:trPr>
          <w:trHeight w:val="129"/>
        </w:trPr>
        <w:tc>
          <w:tcPr>
            <w:tcW w:w="600" w:type="dxa"/>
            <w:vAlign w:val="bottom"/>
            <w:tcBorders>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w w:val="97"/>
              </w:rPr>
              <w:t>Exhibit 99.2</w:t>
            </w:r>
          </w:p>
        </w:tc>
        <w:tc>
          <w:tcPr>
            <w:tcW w:w="640" w:type="dxa"/>
            <w:vAlign w:val="bottom"/>
          </w:tcPr>
          <w:p>
            <w:pPr>
              <w:spacing w:after="0"/>
              <w:rPr>
                <w:sz w:val="11"/>
                <w:szCs w:val="11"/>
                <w:color w:val="auto"/>
              </w:rPr>
            </w:pPr>
          </w:p>
        </w:tc>
        <w:tc>
          <w:tcPr>
            <w:tcW w:w="6620" w:type="dxa"/>
            <w:vAlign w:val="bottom"/>
            <w:tcBorders>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with The Stock Exchange of Hong Kong Limited – Next Day Disclosure Return dated October 29, 2026</w:t>
            </w:r>
          </w:p>
        </w:tc>
        <w:tc>
          <w:tcPr>
            <w:tcW w:w="3440" w:type="dxa"/>
            <w:vAlign w:val="bottom"/>
            <w:gridSpan w:val="2"/>
          </w:tcPr>
          <w:p>
            <w:pPr>
              <w:spacing w:after="0"/>
              <w:rPr>
                <w:sz w:val="11"/>
                <w:szCs w:val="11"/>
                <w:color w:val="auto"/>
              </w:rPr>
            </w:pPr>
          </w:p>
        </w:tc>
      </w:tr>
      <w:tr>
        <w:trPr>
          <w:trHeight w:val="129"/>
        </w:trPr>
        <w:tc>
          <w:tcPr>
            <w:tcW w:w="600" w:type="dxa"/>
            <w:vAlign w:val="bottom"/>
            <w:tcBorders>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w w:val="97"/>
              </w:rPr>
              <w:t>Exhibit 99.3</w:t>
            </w:r>
          </w:p>
        </w:tc>
        <w:tc>
          <w:tcPr>
            <w:tcW w:w="640" w:type="dxa"/>
            <w:vAlign w:val="bottom"/>
          </w:tcPr>
          <w:p>
            <w:pPr>
              <w:spacing w:after="0"/>
              <w:rPr>
                <w:sz w:val="11"/>
                <w:szCs w:val="11"/>
                <w:color w:val="auto"/>
              </w:rPr>
            </w:pPr>
          </w:p>
        </w:tc>
        <w:tc>
          <w:tcPr>
            <w:tcW w:w="6620" w:type="dxa"/>
            <w:vAlign w:val="bottom"/>
            <w:tcBorders>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with The Stock Exchange of Hong Kong Limited – Next Day Disclosure Return dated October 30, 2026</w:t>
            </w:r>
          </w:p>
        </w:tc>
        <w:tc>
          <w:tcPr>
            <w:tcW w:w="3440" w:type="dxa"/>
            <w:vAlign w:val="bottom"/>
            <w:gridSpan w:val="2"/>
          </w:tcPr>
          <w:p>
            <w:pPr>
              <w:spacing w:after="0"/>
              <w:rPr>
                <w:sz w:val="11"/>
                <w:szCs w:val="11"/>
                <w:color w:val="auto"/>
              </w:rPr>
            </w:pPr>
          </w:p>
        </w:tc>
      </w:tr>
      <w:tr>
        <w:trPr>
          <w:trHeight w:val="129"/>
        </w:trPr>
        <w:tc>
          <w:tcPr>
            <w:tcW w:w="6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0000EE"/>
                <w:w w:val="97"/>
              </w:rPr>
              <w:t>Exhibit 99.4</w:t>
            </w:r>
          </w:p>
        </w:tc>
        <w:tc>
          <w:tcPr>
            <w:tcW w:w="640" w:type="dxa"/>
            <w:vAlign w:val="bottom"/>
          </w:tcPr>
          <w:p>
            <w:pPr>
              <w:spacing w:after="0"/>
              <w:rPr>
                <w:sz w:val="11"/>
                <w:szCs w:val="11"/>
                <w:color w:val="auto"/>
              </w:rPr>
            </w:pPr>
          </w:p>
        </w:tc>
        <w:tc>
          <w:tcPr>
            <w:tcW w:w="1006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with The Stock Exchange of Hong Kong Limited – Next Day Disclosure Return dated November 2, 2026</w:t>
            </w:r>
          </w:p>
        </w:tc>
      </w:tr>
      <w:tr>
        <w:trPr>
          <w:trHeight w:val="473"/>
        </w:trPr>
        <w:tc>
          <w:tcPr>
            <w:tcW w:w="60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NETEASE, INC.</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/s/ William Lei Ding</w:t>
            </w:r>
          </w:p>
        </w:tc>
      </w:tr>
      <w:tr>
        <w:trPr>
          <w:trHeight w:val="126"/>
        </w:trPr>
        <w:tc>
          <w:tcPr>
            <w:tcW w:w="4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24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98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William Lei Ding</w:t>
            </w:r>
          </w:p>
        </w:tc>
      </w:tr>
      <w:tr>
        <w:trPr>
          <w:trHeight w:val="160"/>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Chief Executive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748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4" w:name="page5"/>
    <w:bookmarkEnd w:id="4"/>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128270</wp:posOffset>
            </wp:positionV>
            <wp:extent cx="6897370" cy="512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7370" cy="51200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ind w:left="952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128270</wp:posOffset>
            </wp:positionV>
            <wp:extent cx="6897370" cy="512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7370" cy="51200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9520"/>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128270</wp:posOffset>
            </wp:positionV>
            <wp:extent cx="6897370" cy="512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7370" cy="51200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ind w:left="9520"/>
        <w:spacing w:after="0"/>
        <w:rPr>
          <w:sz w:val="20"/>
          <w:szCs w:val="20"/>
          <w:color w:val="auto"/>
        </w:rPr>
      </w:pPr>
      <w:r>
        <w:rPr>
          <w:rFonts w:ascii="Times New Roman" w:cs="Times New Roman" w:eastAsia="Times New Roman" w:hAnsi="Times New Roman"/>
          <w:sz w:val="12"/>
          <w:szCs w:val="12"/>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34290</wp:posOffset>
            </wp:positionV>
            <wp:extent cx="6897370" cy="512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7370" cy="51200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25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2026-11-02T05:36:03Z</dcterms:created>
  <dcterms:modified xsi:type="dcterms:W3CDTF">2026-11-02T05:36:03Z</dcterms:modified>
</cp:coreProperties>
</file>