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522950d2_6k.htm"/>
      <w:bookmarkStart w:id="1" w:name="kstm2522950d2_6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UNITED STATES</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SECURITIES AND EXCHANGE COMMISSION</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NETEASE,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NetEase Building, No. 599 Wangshang Road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Binjiang District, Hangzhou, 310052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People’s Republic of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522950d2_ex99-1.htm">
        <w:r>
          <w:rPr>
            <w:rStyle w:val="InternetLink"/>
            <w:rFonts w:ascii="Times New Roman;Times;Serif" w:hAnsi="Times New Roman;Times;Serif"/>
            <w:b w:val="false"/>
            <w:i w:val="false"/>
            <w:caps w:val="false"/>
            <w:smallCaps w:val="false"/>
            <w:sz w:val="20"/>
          </w:rPr>
          <w:t>Exhibit 99.1 - NetEase Announces Second Quarter 2025 Unaudited Financial Results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1865"/>
        <w:gridCol w:w="545"/>
        <w:gridCol w:w="195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INC.</w:t>
            </w:r>
          </w:p>
        </w:tc>
      </w:tr>
      <w:tr>
        <w:trPr/>
        <w:tc>
          <w:tcPr>
            <w:tcW w:w="436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Lei Ding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Lei Ding</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436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u w:val="single"/>
              </w:rPr>
              <w:t>August 14, 2025</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tm2522950d2_ex99-1.htm"/>
      <w:bookmarkStart w:id="3" w:name="kstm2522950d2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5737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 for Media and Investors: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ir@service.netease.com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571-8985-3378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Announces Second Quarter 2025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China, August 14, 2025 - NetEase, Inc. (NASDAQ: NTES and HKEX: 9999, “NetEase” or the “Company”), a leading internet and game services provider, today announced its unaudited financial results for the second quarter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2025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revenues were RMB27.9 billion (US$3.9 billion), an increase of 9.4% compared with the same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Games and related value-added services net revenues were RMB22.8 billion (US$3.2 billion), an increase of 13.7% compared with the same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Youdao net revenues were RMB1.4 billion (US$197.9 million), an increase of 7.2% compared with the same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NetEase Cloud Music net revenues were RMB2.0 billion (US$274.8 million), a decrease of 3.5% compared with the same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Innovative businesses and others net revenues were RMB1.7 billion (US$237.2 million), a decrease of 17.8% compared with the same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was RMB18.1 billion (US$2.5 billion), an increase of 12.5% compared with the same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expenses were RMB9.0 billion (US$1.3 billion), a decrease of 0.6% compared with the same quarter of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attributable to the Company’s shareholders was RMB8.6 billion (US$1.2 billion). Non-GAAP net income attributable to the Company’s shareholders was RMB9.5 billion (US$1.3 billion).</w:t>
            </w:r>
            <w:r>
              <w:rPr>
                <w:rFonts w:ascii="Times New Roman;Times;Serif" w:hAnsi="Times New Roman;Times;Serif"/>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Basic net income per share was US$0.38 (US$1.88 per ADS). Non-GAAP basic net income per share was US$0.42 (US$2.09 per ADS).</w:t>
            </w:r>
            <w:r>
              <w:rPr>
                <w:rFonts w:ascii="Times New Roman;Times;Serif" w:hAnsi="Times New Roman;Times;Serif"/>
                <w:position w:val="8"/>
                <w:sz w:val="19"/>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As used in this announcement, non-GAAP net income attributable to the Company’s shareholders and non-GAAP basic and diluted net income per share and per ADS are defined to exclude share-based compensation expenses. See the unaudited reconciliation of GAAP and non-GAAP results at the end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2025 and Recent Operational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Extended global traction with new launches across regions: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FragPunk </w:t>
            </w:r>
            <w:r>
              <w:rPr>
                <w:rFonts w:ascii="Times New Roman;Times;Serif" w:hAnsi="Times New Roman;Times;Serif"/>
              </w:rPr>
              <w:t>ranked No. 2 on PlayStation’s North America free-to-play download chart in May, following its April 29 global launch on Xbox Series X|S and PlayStation 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Dunk City Dynasty </w:t>
            </w:r>
            <w:r>
              <w:rPr>
                <w:rFonts w:ascii="Times New Roman;Times;Serif" w:hAnsi="Times New Roman;Times;Serif"/>
              </w:rPr>
              <w:t>gained substantial momentum with its May 22 global launch, topping iOS download charts in multiple regions and reaching No. 2 in the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MARVEL Mystic Mayhem</w:t>
            </w:r>
            <w:r>
              <w:rPr>
                <w:rFonts w:ascii="Times New Roman;Times;Serif" w:hAnsi="Times New Roman;Times;Serif"/>
              </w:rPr>
              <w:t>’s June 25 launch propelled the game to No. 1 on iOS download charts across multiple regions and No. 2 in the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Sustained player momentum and operating strength across established franchises: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Sword of Justic</w:t>
            </w:r>
            <w:r>
              <w:rPr>
                <w:rFonts w:ascii="Times New Roman;Times;Serif" w:hAnsi="Times New Roman;Times;Serif"/>
              </w:rPr>
              <w:t xml:space="preserve">e (previously </w:t>
            </w:r>
            <w:r>
              <w:rPr>
                <w:rFonts w:ascii="Times New Roman;Times;Serif" w:hAnsi="Times New Roman;Times;Serif"/>
                <w:i/>
              </w:rPr>
              <w:t>Justice</w:t>
            </w:r>
            <w:r>
              <w:rPr>
                <w:rFonts w:ascii="Times New Roman;Times;Serif" w:hAnsi="Times New Roman;Times;Serif"/>
              </w:rPr>
              <w:t xml:space="preserve"> mobile game) hit No. 3 on China’s iOS top-grossing chart shortly after its second anniversary update on June 30.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Once Human </w:t>
            </w:r>
            <w:r>
              <w:rPr>
                <w:rFonts w:ascii="Times New Roman;Times;Serif" w:hAnsi="Times New Roman;Times;Serif"/>
              </w:rPr>
              <w:t>reached No. 4 on Steam’s global top sellers chart following its anniversary update on July 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Identity V</w:t>
            </w:r>
            <w:r>
              <w:rPr>
                <w:rFonts w:ascii="Times New Roman;Times;Serif" w:hAnsi="Times New Roman;Times;Serif"/>
              </w:rPr>
              <w:t xml:space="preserve"> ranked No. 6 on the iOS top-grossing chart in China following its seasonal update on July 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Naraka: Bladepoint </w:t>
            </w:r>
            <w:r>
              <w:rPr>
                <w:rFonts w:ascii="Times New Roman;Times;Serif" w:hAnsi="Times New Roman;Times;Serif"/>
              </w:rPr>
              <w:t>mobile game celebrated its first anniversary with the launch of a new version on July 10, propelling it to No. 6 on China’s iOS top-grossing chart.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Eggy Party</w:t>
            </w:r>
            <w:r>
              <w:rPr>
                <w:rFonts w:ascii="Times New Roman;Times;Serif" w:hAnsi="Times New Roman;Times;Serif"/>
              </w:rPr>
              <w:t xml:space="preserve"> reached No. 5 on China’s iOS top-grossing chart on July 11 after a series of third-anniversary events.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Marvel Rivals</w:t>
            </w:r>
            <w:r>
              <w:rPr>
                <w:rFonts w:ascii="Times New Roman;Times;Serif" w:hAnsi="Times New Roman;Times;Serif"/>
              </w:rPr>
              <w:t xml:space="preserve"> ranked No. 2 on Steam’s global top-sellers chart and No. 1 in the U.S with its Summer Party Event unveiled on July 17.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Fantasy Westward Journey Online </w:t>
            </w:r>
            <w:r>
              <w:rPr>
                <w:rFonts w:ascii="Times New Roman;Times;Serif" w:hAnsi="Times New Roman;Times;Serif"/>
              </w:rPr>
              <w:t>reached a new all-time high with over 2.93 million peak concurrent players in August.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Further captivated players in China with Blizzard titles. </w:t>
            </w:r>
            <w:r>
              <w:rPr>
                <w:rFonts w:ascii="Times New Roman;Times;Serif" w:hAnsi="Times New Roman;Times;Serif"/>
                <w:i/>
              </w:rPr>
              <w:t>Hearthstone</w:t>
            </w:r>
            <w:r>
              <w:rPr>
                <w:rFonts w:ascii="Times New Roman;Times;Serif" w:hAnsi="Times New Roman;Times;Serif"/>
              </w:rPr>
              <w:t xml:space="preserve"> ranked No. 5 on China’s iOS top-grossing chart on July 9, fueled by the launch of </w:t>
            </w:r>
            <w:r>
              <w:rPr>
                <w:rFonts w:ascii="Times New Roman;Times;Serif" w:hAnsi="Times New Roman;Times;Serif"/>
                <w:i/>
              </w:rPr>
              <w:t xml:space="preserve">The Lost City of Un’Goro </w:t>
            </w:r>
            <w:r>
              <w:rPr>
                <w:rFonts w:ascii="Times New Roman;Times;Serif" w:hAnsi="Times New Roman;Times;Serif"/>
              </w:rPr>
              <w:t xml:space="preserve">expansion pack, while </w:t>
            </w:r>
            <w:r>
              <w:rPr>
                <w:rFonts w:ascii="Times New Roman;Times;Serif" w:hAnsi="Times New Roman;Times;Serif"/>
                <w:i/>
              </w:rPr>
              <w:t>World of Warcraft</w:t>
            </w:r>
            <w:r>
              <w:rPr>
                <w:rFonts w:ascii="Times New Roman;Times;Serif" w:hAnsi="Times New Roman;Times;Serif"/>
              </w:rPr>
              <w:t>’s 20th anniversary celebration in China sparked strong community engagement with the announcement of a new China-exclusive server set to launch in November.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Enriched global pipeline with exciting new titles underway, including NetEase’s original ocean adventure RPG </w:t>
            </w:r>
            <w:r>
              <w:rPr>
                <w:rFonts w:ascii="Times New Roman;Times;Serif" w:hAnsi="Times New Roman;Times;Serif"/>
                <w:i/>
              </w:rPr>
              <w:t>Sea of Remnants</w:t>
            </w:r>
            <w:r>
              <w:rPr>
                <w:rFonts w:ascii="Times New Roman;Times;Serif" w:hAnsi="Times New Roman;Times;Serif"/>
              </w:rPr>
              <w:t xml:space="preserve"> and story-driven action-adventure game </w:t>
            </w:r>
            <w:r>
              <w:rPr>
                <w:rFonts w:ascii="Times New Roman;Times;Serif" w:hAnsi="Times New Roman;Times;Serif"/>
                <w:i/>
              </w:rPr>
              <w:t>Blood Message</w:t>
            </w:r>
            <w:r>
              <w:rPr>
                <w:rFonts w:ascii="Times New Roman;Times;Serif" w:hAnsi="Times New Roman;Times;Serif"/>
              </w:rPr>
              <w:t xml:space="preserve">, along with plans to bring </w:t>
            </w:r>
            <w:r>
              <w:rPr>
                <w:rFonts w:ascii="Times New Roman;Times;Serif" w:hAnsi="Times New Roman;Times;Serif"/>
                <w:i/>
              </w:rPr>
              <w:t>Sword of Justice</w:t>
            </w:r>
            <w:r>
              <w:rPr>
                <w:rFonts w:ascii="Times New Roman;Times;Serif" w:hAnsi="Times New Roman;Times;Serif"/>
              </w:rPr>
              <w:t xml:space="preserve"> and </w:t>
            </w:r>
            <w:r>
              <w:rPr>
                <w:rFonts w:ascii="Times New Roman;Times;Serif" w:hAnsi="Times New Roman;Times;Serif"/>
                <w:i/>
              </w:rPr>
              <w:t>Where Winds Meet</w:t>
            </w:r>
            <w:r>
              <w:rPr>
                <w:rFonts w:ascii="Times New Roman;Times;Serif" w:hAnsi="Times New Roman;Times;Serif"/>
              </w:rPr>
              <w:t xml:space="preserve"> to the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second quarter, we grew our player community with thrilling new content that reinforces our position as a creator of high-impact, genre-defining games,” said Mr. William Ding, Chief Executive Officer and Director of NetEase. “At the core of our expansion is product innovation, disciplined execution and deep community engagement, all capabilities we have honed over many years and powered by our strong technological foundation. We will continue to push the boundaries of player experiences, scaling original IP to build lasting franchises and growing alongside our collaborative global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Beyond games, we remain focused on innovation, refining our products and content to deliver long-term value for our users, partners and shareholders,” Mr. Ding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for the second quarter of 2025 were RMB27.9 billion (US$3.9 billion), compared with RMB28.8 billion and RMB25.5 billion for the preceding quarter and the same quarter of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revenues from games and related value-added services were RMB22.8 billion (US$3.2 billion) for the second quarter of 2025, compared with RMB24.0 billion and RMB20.1 billion for the preceding quarter and the same quarter of 2024, respectively. Net revenues from the operation of online games accounted for approximately 97.1% of the segment’s net revenues for the second quarter of 2025, compared with 97.5% and 96.1% for the preceding quarter and the same quarter of 2024, respectively. The quarter-over-quarter decrease in online games net revenues was due to certain self-developed and licensed games. The year-over-year increase was attributable to higher net revenues from </w:t>
      </w:r>
      <w:r>
        <w:rPr>
          <w:rFonts w:ascii="Times New Roman;Times;Serif" w:hAnsi="Times New Roman;Times;Serif"/>
          <w:b w:val="false"/>
          <w:i/>
          <w:caps w:val="false"/>
          <w:smallCaps w:val="false"/>
          <w:sz w:val="20"/>
        </w:rPr>
        <w:t>Identity V</w:t>
      </w:r>
      <w:r>
        <w:rPr>
          <w:rFonts w:ascii="Times New Roman;Times;Serif" w:hAnsi="Times New Roman;Times;Serif"/>
          <w:b w:val="false"/>
          <w:i w:val="false"/>
          <w:caps w:val="false"/>
          <w:smallCaps w:val="false"/>
          <w:sz w:val="20"/>
        </w:rPr>
        <w:t xml:space="preserve">, our newly launched games </w:t>
      </w:r>
      <w:r>
        <w:rPr>
          <w:rFonts w:ascii="Times New Roman;Times;Serif" w:hAnsi="Times New Roman;Times;Serif"/>
          <w:b w:val="false"/>
          <w:i/>
          <w:caps w:val="false"/>
          <w:smallCaps w:val="false"/>
          <w:sz w:val="20"/>
        </w:rPr>
        <w:t>Where Winds Meet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Marvel Rivals</w:t>
      </w:r>
      <w:r>
        <w:rPr>
          <w:rFonts w:ascii="Times New Roman;Times;Serif" w:hAnsi="Times New Roman;Times;Serif"/>
          <w:b w:val="false"/>
          <w:i w:val="false"/>
          <w:caps w:val="false"/>
          <w:smallCaps w:val="false"/>
          <w:sz w:val="20"/>
        </w:rPr>
        <w:t xml:space="preserve"> and certain licensed games.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Youdao were RMB1.4 billion (US$197.9 million) for the second quarter of 2025, compared with RMB1.3 billion each for the preceding quarter and the same quarter of 2024. Net revenues from its online marketing services and learning services increased quarter-over-quarter and year-over-year, while net revenues from its smart devices decreased quarter-over-quarter and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NetEase Cloud Music were RMB2.0 billion (US$274.8 million) for the second quarter of 2025, compared with RMB1.9 billion and RMB2.0 billion for the preceding quarter and the same quarter of 2024, respectively. Net revenues from its online music services increased both quarter-over-quarter and year-over-year, while net revenues from its social entertainment services and others increased quarter-over-quarter but decreased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from innovative businesses and others were RMB1.7 billion (US$237.2 million) for the second quarter of 2025, compared with RMB1.6 billion and RMB2.1 billion for the preceding quarter and the same quarter of 2024, respectively. The quarter-over-quarter increase was led by increased net revenues from Yanxuan. The year-over-year decrease was due to decreased net revenues from Yanxuan, advertising services and certain other businesses in this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second quarter of 2025 was RMB9.8 billion (US$1.4 billion), compared with RMB10.3 billion and RMB9.4 billion for the preceding quarter and the same quarter of 2024, respectively, with revenue sharing costs related to platforms and royalties for licensed games decreasing quarter-over-quarter, while royalties for licensed games increased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second quarter of 2025 was RMB18.1 billion (US$2.5 billion), compared with RMB18.5 billion and RMB16.0 billion for the preceding quarter and the same quarter of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second quarter of 2025 were RMB9.0 billion (US$1.3 billion), compared with RMB8.0 billion and RMB9.0 billion for the preceding quarter and the same quarter of 2024, respectively. The quarter-over-quarter increase was primarily due to increased marketing expenditures related to games and related value-added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Income/(Expenses)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income/(expenses) consisted of investment income, interest income, net exchange losses/(gains) and others. The quarter-over-quarter decrease was mainly due to fair value changes of equity security investments, and the year-over-year increase was primarily due to net exchange gains in the second quarter of 2025, compared with net exchange losses recorded in the same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net income tax charge of RMB1.6 billion (US$217.9 million) for the second quarter of 2025, compared with RMB1.9 billion and RMB1.3 billion for the preceding quarter and the same quarter of 2024, respectively. The effective tax rate for the second quarter of 2025 was 14.7%, compared with 15.3% and 16.0% for the preceding quarter and the same quarter of 2024, respectively. The effective tax rate represents certain estimates by the Company as to the tax obligations and benefits applicable to it in each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Income and Non-GAAP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the Company’s shareholders totaled RMB8.6 billion (US$1.2 billion) for the second quarter of 2025, compared with RMB10.3 billion and RMB6.8 billion for the preceding quarter and the same quarter of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was US$0.38 per share (US$1.88 per ADS) for the second quarter of 2025, compared with US$0.45 per share (US$2.27 per ADS) and US$0.29 per share (US$1.47 per ADS) for the preceding quarter and the same quarter of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 attributable to the Company’s shareholders totaled RMB9.5 billion (US$1.3 billion) for the second quarter of 2025, compared with RMB11.2 billion and RMB7.8 billion for the preceding quarter and the same quarter of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basic net income was US$0.42 per share (US$2.09 per ADS) for the second quarter of 2025, compared with US$0.49 per share (US$2.47 per ADS) and US$0.34 per share (US$1.70 per ADS) for the preceding quarter and the same quarter of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Company’s net cash (total cash and cash equivalents, current and non-current time deposits and restricted cash, as well as short-term investments balance, minus short-term and long-term loans) totaled RMB142.1 billion (US$19.8 billion), compared with RMB131.5 billion as of December 31, 2024. Net cash provided by operating activities was RMB10.9 billion (US$1.5 billion) for the second quarter of 2025, compared with RMB12.1 billion and RMB6.5 billion for the preceding quarter and the second quarter of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a dividend of US$0.1140 per share (US$0.5700 per ADS) for the second quarter of 2025 to holders of ordinary shares and holders of ADSs as of the close of business on August 28, 2025, Beijing/Hong Kong Time and New York Time, respectively, payable in U.S. dollars. For holders of ordinary shares, in order to qualify for the dividend, all valid documents for the transfer of shares accompanied by the relevant share certificates must be lodged for registration with the Company’s Hong Kong branch share registrar, Computershare Hong Kong Investor Services Limited, at Shops 1712-1716,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Hopewell Centre, 183 Queen’s Road East, Wanchai, Hong Kong, no later than 4:30 p.m. on August 28, 2025 (Beijing/Hong Kong Time). The payment date is expected to be September 8, 2025 for holders of ordinary shares and on or around September 11, 2025, for holders of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paid a dividend of US$0.1350 per share (US$0.6750 per ADS) for the first quarter of 2025 in June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current dividend policy, the determination to make dividend distributions and the amount of such distribution in any particular quarter will be made at the discretion of its board of directors and will be based upon the Company’s operations and earnings, cash flow, financial condition and other relevant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2022, the Company announced that its board of directors had approved a share repurchase program of up to US$5.0 billion of the Company’s ADSs and ordinary shares in open market transactions. This share repurchase program commenced on January 10, 2023, and will be in effect for a period not to exceed 36 months from such date. As of June 30, 2025, approximately 22.1 million ADSs had been repurchased under this program for a total cost of US$2.0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NetEase repurchases its ADSs and its ordinary shares depends upon a variety of factors, including market conditions. These programs may be suspended or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United States dollar (US$) amounts disclosed in this announcement are presented solely for the convenience of the reader. The percentages stated are calculated based on RMB.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NetEase’s management team will host a teleconference call with a simultaneous webcast at 8:00 a.m. Eastern Time on Thursday, August 14, 2025 (Beijing/Hong Kong Time: 8:00 p.m., Thursday, August 14, 2025). NetEase’s management will be on the call to discuss the quarterly results and answer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parties may participate in the conference call by dialing 1-914-202-3258 and providing conference ID: 10049137, 15 minutes prior to the initiation of the call. A replay of the call will be available by dialing 1-855-883-1031 and entering PIN: 10049137. The replay will be available through August 21,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call will be webcast live and the replay will be available for 12 months. Both will be available on NetEase’s Investor Relations website at </w:t>
      </w:r>
      <w:r>
        <w:rPr>
          <w:rFonts w:ascii="Times New Roman;Times;Serif" w:hAnsi="Times New Roman;Times;Serif"/>
          <w:b w:val="false"/>
          <w:i w:val="false"/>
          <w:caps w:val="false"/>
          <w:smallCaps w:val="false"/>
          <w:sz w:val="20"/>
          <w:u w:val="single"/>
        </w:rPr>
        <w:t>http://ir.netease.com/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Inc. (NASDAQ: NTES and HKEX: 9999, “NetEase”) is a leading internet and game services provider centered around premium content. With extensive offerings across its expanding gaming ecosystem, the Company develops and operates some of the most popular and longest-running mobile and PC games available in China and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Powered by one of the largest in-house game R&amp;D teams focused on mobile, PC and console, NetEase creates superior gaming experiences, inspires players, and passionately delivers value for its thriving community worldwide. By infusing play with culture, and education with technology, NetEase transforms gaming into a meaningful vehicle to build a more entertaining and enlightened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Beyond games, NetEase service offerings include its majority-controlled subsidiaries </w:t>
      </w:r>
      <w:r>
        <w:rPr>
          <w:rFonts w:ascii="Times New Roman;Times;Serif" w:hAnsi="Times New Roman;Times;Serif"/>
          <w:b w:val="false"/>
          <w:i/>
          <w:caps w:val="false"/>
          <w:smallCaps w:val="false"/>
          <w:sz w:val="20"/>
        </w:rPr>
        <w:t>Youdao</w:t>
      </w:r>
      <w:r>
        <w:rPr>
          <w:rFonts w:ascii="Times New Roman;Times;Serif" w:hAnsi="Times New Roman;Times;Serif"/>
          <w:b w:val="false"/>
          <w:i w:val="false"/>
          <w:caps w:val="false"/>
          <w:smallCaps w:val="false"/>
          <w:sz w:val="20"/>
        </w:rPr>
        <w:t xml:space="preserve"> (NYSE: DAO), an intelligent learning and advertising solutions provider, and </w:t>
      </w:r>
      <w:r>
        <w:rPr>
          <w:rFonts w:ascii="Times New Roman;Times;Serif" w:hAnsi="Times New Roman;Times;Serif"/>
          <w:b w:val="false"/>
          <w:i/>
          <w:caps w:val="false"/>
          <w:smallCaps w:val="false"/>
          <w:sz w:val="20"/>
        </w:rPr>
        <w:t>NetEase Cloud Music</w:t>
      </w:r>
      <w:r>
        <w:rPr>
          <w:rFonts w:ascii="Times New Roman;Times;Serif" w:hAnsi="Times New Roman;Times;Serif"/>
          <w:b w:val="false"/>
          <w:i w:val="false"/>
          <w:caps w:val="false"/>
          <w:smallCaps w:val="false"/>
          <w:sz w:val="20"/>
        </w:rPr>
        <w:t xml:space="preserve"> (HKEX: 9899), a well-known online music platform featuring a vibrant content community, as well as </w:t>
      </w:r>
      <w:r>
        <w:rPr>
          <w:rFonts w:ascii="Times New Roman;Times;Serif" w:hAnsi="Times New Roman;Times;Serif"/>
          <w:b w:val="false"/>
          <w:i/>
          <w:caps w:val="false"/>
          <w:smallCaps w:val="false"/>
          <w:sz w:val="20"/>
        </w:rPr>
        <w:t>Yanxuan</w:t>
      </w:r>
      <w:r>
        <w:rPr>
          <w:rFonts w:ascii="Times New Roman;Times;Serif" w:hAnsi="Times New Roman;Times;Serif"/>
          <w:b w:val="false"/>
          <w:i w:val="false"/>
          <w:caps w:val="false"/>
          <w:smallCaps w:val="false"/>
          <w:sz w:val="20"/>
        </w:rPr>
        <w:t>, NetEase’s private label consumer lifestyle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http://ir.netease.com/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expressions. In addition, statements that are not historical facts, including statements about NetEase’s strategies and business plans, its expectations regarding the growth of its business and its revenue and the quotations from management in this announcement are or contain forward-looking statements. NetEase may also make forward-looking statements in its periodic reports to the U.S. Securities and Exchange Commission (the “SEC”), in announcements made on the website of The Stock Exchange of Hong Kong Limited (the “Hong Kong Stock Exchange”), in press releases and other written materials and in oral statements made by its officers, directors or employees to third parties. The accuracy of these statements may be impacted by a number of business risks and uncertainties that could cause actual results to differ materially from those projected or anticipated, including risks related to: the risk that the online games market will not continue to grow or that NetEase will not be able to maintain its position in that market in China or globally; risks associated with NetEase’s business and operating strategies and its ability to implement such strategies; NetEase’s ability to develop and manage its operations and business; competition for, among other things, capital, technology and skilled personnel; potential changes in regulation environment in the markets where NetEase operates; the risk that NetEase may not be able to continuously develop new and creative online services or that NetEase will not be able to set, or follow in a timely manner, trends in the market; risks related to evolving economic cycles and geopolitical tensions, including the direct or indirect impacts of national trade, investment, protectionist, tax or other laws or policies as well as export controls and economic or trade sanctions; risks related to the expansion of NetEase’s businesses and operations internationally; risks associated with cybersecurity threats or incidents; and fluctuations in foreign currency exchange rates that could adversely affect NetEase's business and financial results. Further information regarding these and other risks is included in NetEase’s filings with the SEC and announcements on the website of the Hong Kong Stock Exchange. NetEase does not undertake any obligation to update this forward-looking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considers and uses non-GAAP financial measures, such as non-GAAP net income attributable to the Company’s shareholders and non-GAAP basic and diluted net income per ADS and per share, as supplemental metrics in reviewing and assessing its operating performance and formulating its business plan. The presentation of non-GAAP financial measures is not intended to be considered in isolation or as a substitute for the financial information prepared and presented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defines non-GAAP net income attributable to the Company’s shareholders as net income attributable to the Company’s shareholders excluding share-based compensation expenses. Non-GAAP net income attributable to the Company’s shareholders enables NetEase’s management to assess its operating results without considering the impact of share-based compensation expenses. NetEase believes that this non-GAAP financial measure provides useful information to investors in understanding and evaluating the Company’s current operating performance and prospects in the same manner as management does, if they so choose. NetEase also believes that the use of this non-GAAP financial measure facilitates investors’ assessment of its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are not defined under U.S. GAAP and are not presented in accordance with U.S. GAAP. Non-GAAP financial measures have limitations as analytical tools. One of the key limitations of using non-GAAP net income attributable to the Company’s shareholders is that it does not reflect all items of expense/ income that affect our operations. Share-based compensation expenses have been and may continue to be incurred in NetEase’s business and are not reflected in the presentation of non-GAAP net income attributable to the Company’s shareholders. In addition, the non-GAAP financial measures NetEase uses may differ from the non-GAAP measures used by other companies, including peer companies, and therefore their comparability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compensates for these limitations by reconciling non-GAAP net income attributable to the Company’s shareholders to the nearest U.S. GAAP performance measure, all of which should be considered when evaluating the Company’s performance. See the unaudited reconciliation of GAAP and non-GAAP results at the end of this announcement. NetEase encourages you to review its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336"/>
        <w:gridCol w:w="60"/>
        <w:gridCol w:w="62"/>
        <w:gridCol w:w="1110"/>
        <w:gridCol w:w="60"/>
        <w:gridCol w:w="60"/>
        <w:gridCol w:w="60"/>
        <w:gridCol w:w="1055"/>
        <w:gridCol w:w="60"/>
        <w:gridCol w:w="60"/>
        <w:gridCol w:w="60"/>
        <w:gridCol w:w="1144"/>
        <w:gridCol w:w="78"/>
      </w:tblGrid>
      <w:tr>
        <w:trPr/>
        <w:tc>
          <w:tcPr>
            <w:tcW w:w="6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USD (Note 1)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51,383,310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54,430,728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7,598,237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75,441,355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75,277,705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10,508,362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3,086,405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3,731,100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520,841</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5,669,027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5,776,412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806,356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571,548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591,756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82,606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6,416,868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6,161,982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860,179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10,756,143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16,980,429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2,370,376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153,324,656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162,950,112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22,746,957</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8,520,101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8,447,022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1,179,159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4,172,465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4,111,093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573,886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1,113,435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2,190,156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305,734</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409,710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25,830,685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27,860,004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3,889,107</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42,666,894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45,548,541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6,358,331</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195,991,550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208,498,653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29,105,288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Redeemable Noncontrolling Interests and Shareholders’ Equity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3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720,549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97,076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and welfare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4,683,009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3,560,061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496,965</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2,759,185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3,796,135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529,920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11,805,051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11,276,303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1,574,111</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15,299,222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16,966,562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2,368,441</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14,400,641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14,157,432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1,976,301</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49,667,657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50,451,907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7,042,814</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633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2,724,485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380,323</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427,997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1,228,641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170,041</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3,829,755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3,942,594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550,364</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53,497,412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54,394,501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7,593,178</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33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12,248</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Inc.’s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138,685,606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149,587,316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20,881,584</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3,724,260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4,429,095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618,278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142,409,866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154,016,411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21,499,862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6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redeemable noncontrolling interests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195,991,550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208,498,653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29,105,288</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INCOME</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per share data or per ADS data)</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96"/>
        <w:gridCol w:w="60"/>
        <w:gridCol w:w="60"/>
        <w:gridCol w:w="830"/>
        <w:gridCol w:w="80"/>
        <w:gridCol w:w="60"/>
        <w:gridCol w:w="60"/>
        <w:gridCol w:w="890"/>
        <w:gridCol w:w="80"/>
        <w:gridCol w:w="60"/>
        <w:gridCol w:w="60"/>
        <w:gridCol w:w="830"/>
        <w:gridCol w:w="80"/>
        <w:gridCol w:w="60"/>
        <w:gridCol w:w="62"/>
        <w:gridCol w:w="835"/>
        <w:gridCol w:w="80"/>
        <w:gridCol w:w="60"/>
        <w:gridCol w:w="60"/>
        <w:gridCol w:w="890"/>
        <w:gridCol w:w="80"/>
        <w:gridCol w:w="60"/>
        <w:gridCol w:w="60"/>
        <w:gridCol w:w="890"/>
        <w:gridCol w:w="80"/>
        <w:gridCol w:w="60"/>
        <w:gridCol w:w="62"/>
        <w:gridCol w:w="835"/>
        <w:gridCol w:w="85"/>
      </w:tblGrid>
      <w:tr>
        <w:trPr/>
        <w:tc>
          <w:tcPr>
            <w:tcW w:w="27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4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7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Six Months Ended</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 (Note 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 (Note 1)</w:t>
            </w:r>
          </w:p>
        </w:tc>
        <w:tc>
          <w:tcPr>
            <w:tcW w:w="8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25,485,805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28,828,545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27,891,664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3,893,526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52,337,546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56,720,209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7,917,836</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(9,443,587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(10,349,139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(9,839,182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(1,373,497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(19,279,408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(20,188,321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(2,818,181</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16,042,218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18,479,406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18,052,482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2,520,029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33,058,138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36,531,888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5,099,655</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(3,501,737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(2,695,597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(3,578,174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(499,494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(7,523,941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(6,273,771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(875,785</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(1,091,441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(956,337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(1,056,578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(147,493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(2,287,916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(2,012,915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(280,992</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(4,455,717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(4,386,313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(4,356,646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(608,164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(8,630,475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(8,742,959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(1,220,470</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(9,048,895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(8,038,247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(8,991,398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(1,255,151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(18,442,332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(17,029,645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(2,377,247</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6,993,323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10,441,159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9,061,084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1,264,878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14,615,806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19,502,243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2,722,408</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 income/(expenses):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Investment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692,751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328,444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45,849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282,965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1,021,195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142,553</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Interest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1,186,219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1,060,886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953,490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133,102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2,463,816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2,014,376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281,196</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Exchange (losses)/gains,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(239,375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114,037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(224,364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115,840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16,171</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85,694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255,315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26,825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279,582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447,482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62,466</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 before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8,129,535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12,451,914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10,649,222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1,486,573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17,417,805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23,101,136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3,224,794</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(1,300,939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(1,905,143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(1,560,757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(217,873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(2,786,849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(3,465,900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(483,821</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6,828,596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10,546,771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9,088,465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1,268,700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14,630,956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19,635,236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2,740,973</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Accretion of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(293</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 attributable to noncontrolling interests and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(68,887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(244,565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(486,404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(67,899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(236,343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(730,969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(102,039</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 attributable to the Company’s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6,758,749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10,301,157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8,601,010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1,200,654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14,392,695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18,902,167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2,638,641</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 per share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0.83</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0.82</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income per ADS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4.15</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4.11</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Weighted average number of ordinary shares used in calculating net income per share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3,217,699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3,173,899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3,188,634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3,188,634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3,214,682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3,181,307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3,181,307</w:t>
            </w:r>
          </w:p>
        </w:tc>
        <w:tc>
          <w:tcPr>
            <w:tcW w:w="8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3,243,056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3,206,362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3,214,681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3,214,681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3,246,254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3,210,563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3,210,563</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Each ADS represents five ordinary shares.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34"/>
        <w:gridCol w:w="60"/>
        <w:gridCol w:w="60"/>
        <w:gridCol w:w="725"/>
        <w:gridCol w:w="65"/>
        <w:gridCol w:w="60"/>
        <w:gridCol w:w="60"/>
        <w:gridCol w:w="725"/>
        <w:gridCol w:w="65"/>
        <w:gridCol w:w="60"/>
        <w:gridCol w:w="60"/>
        <w:gridCol w:w="725"/>
        <w:gridCol w:w="65"/>
        <w:gridCol w:w="60"/>
        <w:gridCol w:w="62"/>
        <w:gridCol w:w="680"/>
        <w:gridCol w:w="65"/>
        <w:gridCol w:w="60"/>
        <w:gridCol w:w="60"/>
        <w:gridCol w:w="755"/>
        <w:gridCol w:w="65"/>
        <w:gridCol w:w="60"/>
        <w:gridCol w:w="60"/>
        <w:gridCol w:w="725"/>
        <w:gridCol w:w="65"/>
        <w:gridCol w:w="60"/>
        <w:gridCol w:w="60"/>
        <w:gridCol w:w="725"/>
        <w:gridCol w:w="79"/>
      </w:tblGrid>
      <w:tr>
        <w:trPr/>
        <w:tc>
          <w:tcPr>
            <w:tcW w:w="383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7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Three Months Ended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Six Months Ended</w:t>
            </w:r>
          </w:p>
        </w:tc>
        <w:tc>
          <w:tcPr>
            <w:tcW w:w="7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June 30,</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March 31,</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June 30,</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June 30,</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June 30,</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June 30,</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June 30,</w:t>
            </w:r>
          </w:p>
        </w:tc>
        <w:tc>
          <w:tcPr>
            <w:tcW w:w="7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2024</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2024</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2025</w:t>
            </w:r>
          </w:p>
        </w:tc>
        <w:tc>
          <w:tcPr>
            <w:tcW w:w="7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RMB</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RMB</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RMB</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2"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USD (Note 1)</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RMB</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RMB</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USD (Note 1)</w:t>
            </w:r>
          </w:p>
        </w:tc>
        <w:tc>
          <w:tcPr>
            <w:tcW w:w="79"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Cash flows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6,828,596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10,546,771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9,088,465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1,268,700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14,630,956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19,635,236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2,740,973</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631,957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480,761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428,427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59,806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1,199,880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909,188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126,918</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Fair value changes of equity security and other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(7,887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(558,499</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55,715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7,778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(376,145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(502,784</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(70,186</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Impairment losses on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210,741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89,071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161,463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22,539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339,158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250,534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34,973</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Fair value changes of 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(128,295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(201,609</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(344,604</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(48,105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(189,105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(546,213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(76,248</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Share-based compensation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1,079,056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951,872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946,395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132,112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1,973,356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1,898,267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264,988</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Allowance for expected credit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9,281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16,771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153,179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21,383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20,881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169,950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23,724</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(Gains)/losses on disposal of property, equipment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(326</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20,293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(30,920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(4,316</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1,806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(10,627</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(1,484</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Unrealized exchange gains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(209,311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(28,453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(165,662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(23,126</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(226,820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(194,115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(27,097</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(Gains)/losses on disposal of long-term investments, business and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(141,114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11,675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(141,078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(19,694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(154,601</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(129,403</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(18,064</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(1,280,076</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328,272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(853,764</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(119,181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(795,022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(525,492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(73,356</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 of results on equity method investees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39,200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(18,668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13,479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1,882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203,471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(5,189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(724</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Changes in operating assets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Accounts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1,410,478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(1,088,960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953,295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133,075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51,767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(135,665</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(18,938</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29,552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53,773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(73,944</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(10,322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120,930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(20,171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(2,816</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Prepayments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530,856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(295,178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583,484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81,451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856,996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288,306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40,246</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(126,862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(148,076</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119,644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16,702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(133,863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(28,432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(3,969</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Salary and welfare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879,058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(2,085,111</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920,662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128,520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(1,299,550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(1,164,449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(162,551</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(1,462,700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1,796,123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(764,372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(106,702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(190,878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1,031,751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144,027</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(1,270,324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2,526,198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(718,719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(100,329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303,762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1,807,479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252,314</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Accrued liabilities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(490,048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(290,374</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530,718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74,085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(247,978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240,344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33,551</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6,531,832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12,106,652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10,861,863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1,516,258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16,089,001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22,968,515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3,206,281</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Cash flows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Purchase of property, equipment and software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(168,880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(454,071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(189,842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(26,501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(583,898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(643,913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(89,887</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Proceeds from sale of property, equipment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1,336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21,499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4,166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22,835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3,188</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Purchase of intangible assets, content and licensed copyrights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(399,533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(298,771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(313,349</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(43,742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(588,354</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(612,120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(85,449</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changes of short-term investments with terms of three months or less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(8,194,289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(6,138,556</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776,428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108,385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(5,792,640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(5,362,128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(748,524</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Purchase of short-term investments with terms over three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(2,970,000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(5,800,000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(809,649</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(8,770,000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(1,224,245</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Proceeds from maturities of short-term investments with terms over three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2,708,601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5,745,454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802,034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8,454,055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1,180,141</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Investment in long-term investments and acquisition of subsidiaries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(193,450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(90,966</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(2,741,641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(382,718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(675,254</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(2,832,607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(395,417</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Proceeds from disposal of long-term investments, businesses, subsidiaries and other financial instruments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840,649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77,428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784,855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109,562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926,105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862,283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120,370</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Placement/rollover of matured time deposits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(61,775,606</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(49,601,807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(27,980,605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(3,905,942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(96,334,442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(77,582,412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(10,830,087</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Proceeds from maturities of time deposits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55,211,839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43,926,482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33,617,510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4,692,823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101,260,221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77,543,992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10,824,724</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Change in other long-term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(172,543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(27,367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(3,820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(207,168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(28,045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(3,915</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cash (used in)/provided by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(14,851,153</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(12,841,002</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3,892,942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543,433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(1,991,264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(8,948,060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(1,249,101</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Cash flows from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changes from loans with terms of three months or less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(2,085,053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(2,254,415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2,017,570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281,642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(2,484,779</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(236,845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(33,062</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Proceeds of loans with terms over three months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1,069,020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2,747,550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1,231,000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171,841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8,067,270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3,978,550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555,384</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Payment of loans with terms over three months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(10,681,827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(2,935,677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(1,804,730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(251,930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(11,638,827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(4,740,407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(661,735</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amounts received related to capital contribution from of noncontrolling interests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50,572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42,517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42,400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5,919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92,786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84,917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11,854</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Cash paid for repurchase of NetEase’s ADSs/purchase of subsidiaries’ ADSs and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(2,007,030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(303,601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(355,563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(49,635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(3,240,810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(659,164</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(92,016</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Dividends paid to NetEase’s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(2,264,799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(5,584,532</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(3,082,122</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(430,248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(7,209,815</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(8,666,654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(1,209,818</w:t>
            </w:r>
          </w:p>
        </w:tc>
        <w:tc>
          <w:tcPr>
            <w:tcW w:w="79"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(15,919,117</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(8,288,158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(1,951,445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(272,411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(16,414,175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(10,239,603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(1,429,393</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Effect of exchange rate changes on cash, cash equivalents and restricted cash held in foreign currencies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8,234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(56,932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(31,749</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(4,432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(34,904</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(88,681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(12,380</w:t>
            </w:r>
          </w:p>
        </w:tc>
        <w:tc>
          <w:tcPr>
            <w:tcW w:w="79"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Net(decrease)/ increase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(24,230,204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(9,079,440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12,771,611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1,782,848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(2,351,342</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3,692,171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515,407</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Cash, cash equivalents and restricted cash, at the beginning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46,085,520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54,474,923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45,395,483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6,336,965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24,206,658</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54,474,923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7,604,406</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Cash, cash equivalents and restricted cash, at end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21,855,316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45,395,483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58,167,094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8,119,813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21,855,316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58,167,094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8,119,813</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Supplemental disclosures of cash flow information: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Cash paid for income taxes,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2,848,493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1,206,555</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2,184,556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304,952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4,031,204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3,391,111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473,381</w:t>
            </w:r>
          </w:p>
        </w:tc>
        <w:tc>
          <w:tcPr>
            <w:tcW w:w="79"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Cash paid for 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152,943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97,424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64,366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8,985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299,398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161,790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22,585</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SEGMENT INFORMATION</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1"/>
        <w:gridCol w:w="60"/>
        <w:gridCol w:w="60"/>
        <w:gridCol w:w="830"/>
        <w:gridCol w:w="80"/>
        <w:gridCol w:w="60"/>
        <w:gridCol w:w="60"/>
        <w:gridCol w:w="890"/>
        <w:gridCol w:w="80"/>
        <w:gridCol w:w="60"/>
        <w:gridCol w:w="60"/>
        <w:gridCol w:w="830"/>
        <w:gridCol w:w="80"/>
        <w:gridCol w:w="60"/>
        <w:gridCol w:w="67"/>
        <w:gridCol w:w="902"/>
        <w:gridCol w:w="80"/>
        <w:gridCol w:w="60"/>
        <w:gridCol w:w="60"/>
        <w:gridCol w:w="890"/>
        <w:gridCol w:w="80"/>
        <w:gridCol w:w="60"/>
        <w:gridCol w:w="60"/>
        <w:gridCol w:w="890"/>
        <w:gridCol w:w="80"/>
        <w:gridCol w:w="60"/>
        <w:gridCol w:w="67"/>
        <w:gridCol w:w="902"/>
        <w:gridCol w:w="96"/>
      </w:tblGrid>
      <w:tr>
        <w:trPr/>
        <w:tc>
          <w:tcPr>
            <w:tcW w:w="26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1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Six Months Ended</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 (Note 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 (Note 1)</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6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Net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Games and related value-added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20,055,819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24,048,007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22,806,459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3,183,659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41,516,197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46,854,466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6,540,631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Youdao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1,321,721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1,298,262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1,417,541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197,881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2,713,580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2,715,803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379,111</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NetEase Cloud Music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2,040,952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1,858,388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1,968,729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274,824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4,070,493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3,827,117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534,245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Innovative businesses and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2,067,313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1,623,888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1,698,935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237,162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4,037,276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3,322,823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463,849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25,485,805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28,828,545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27,891,664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3,893,526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52,337,546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56,720,209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7,917,836</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Games and related value-added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(6,008,604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(7,495,262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(6,792,240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(948,161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(12,563,915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(14,287,502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(1,994,458</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Youdao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(684,942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(684,035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(808,181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(112,817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(1,395,298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(1,492,216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(208,305</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NetEase Cloud Music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(1,385,756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(1,175,777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(1,258,855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(175,729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(2,644,762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(2,434,632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(339,862</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Innovative businesses and others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(1,364,285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(994,065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(979,906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(136,790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(2,675,433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(1,973,971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(275,556</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(9,443,587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(10,349,139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(9,839,182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(1,373,497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(19,279,408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(20,188,321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(2,818,181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6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Games and related value-added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14,047,215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16,552,745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16,014,219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2,235,498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28,952,282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32,566,964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4,546,173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Youdao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636,779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614,227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609,360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85,064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1,318,282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1,223,587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170,806</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NetEase Cloud Music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655,196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682,611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709,874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99,095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1,425,731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1,392,485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194,383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Innovative businesses and 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703,028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629,823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719,029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100,372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1,361,843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1,348,852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188,293</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16,042,218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18,479,406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18,052,482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2,520,029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33,058,138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36,531,888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5,099,655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The conversion of Renminbi (RMB) into United States dollars (USD) is based on the noon buying rate of USD1.00 = RMB7.1636 on the last trading day of June 2025 (June 30, 2025) as set forth in the H.10 statistical release of the U.S. Federal Reserve Board. No representation is made that the RMB amounts could have been, or could be, converted into US$ at that rate on June 30, 2025, or at any other certain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Share-based compensation cost reported in the Company’s unaudited condensed consolidated statements of comprehensive income is set out as follows in RMB and USD (in thousands):</w:t>
      </w:r>
    </w:p>
    <w:p>
      <w:pPr>
        <w:pStyle w:val="TextBody"/>
        <w:bidi w:val="0"/>
        <w:spacing w:before="0" w:after="0"/>
        <w:ind w:left="0" w:right="0" w:hanging="0"/>
        <w:jc w:val="left"/>
        <w:rPr>
          <w:caps w:val="false"/>
          <w:smallCaps w:val="false"/>
        </w:rPr>
      </w:pPr>
      <w:r>
        <w:rPr>
          <w:caps w:val="false"/>
          <w:smallCaps w:val="false"/>
        </w:rPr>
        <w:t> </w:t>
      </w:r>
    </w:p>
    <w:tbl>
      <w:tblPr>
        <w:tblW w:w="9307" w:type="dxa"/>
        <w:jc w:val="left"/>
        <w:tblInd w:w="0" w:type="dxa"/>
        <w:tblLayout w:type="fixed"/>
        <w:tblCellMar>
          <w:top w:w="0" w:type="dxa"/>
          <w:left w:w="0" w:type="dxa"/>
          <w:bottom w:w="0" w:type="dxa"/>
          <w:right w:w="0" w:type="dxa"/>
        </w:tblCellMar>
      </w:tblPr>
      <w:tblGrid>
        <w:gridCol w:w="3065"/>
        <w:gridCol w:w="60"/>
        <w:gridCol w:w="60"/>
        <w:gridCol w:w="605"/>
        <w:gridCol w:w="60"/>
        <w:gridCol w:w="60"/>
        <w:gridCol w:w="69"/>
        <w:gridCol w:w="700"/>
        <w:gridCol w:w="60"/>
        <w:gridCol w:w="60"/>
        <w:gridCol w:w="60"/>
        <w:gridCol w:w="605"/>
        <w:gridCol w:w="60"/>
        <w:gridCol w:w="60"/>
        <w:gridCol w:w="102"/>
        <w:gridCol w:w="877"/>
        <w:gridCol w:w="60"/>
        <w:gridCol w:w="60"/>
        <w:gridCol w:w="60"/>
        <w:gridCol w:w="605"/>
        <w:gridCol w:w="60"/>
        <w:gridCol w:w="60"/>
        <w:gridCol w:w="60"/>
        <w:gridCol w:w="605"/>
        <w:gridCol w:w="60"/>
        <w:gridCol w:w="60"/>
        <w:gridCol w:w="88"/>
        <w:gridCol w:w="891"/>
        <w:gridCol w:w="75"/>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3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4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 (Note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 (Note 1)</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cost included 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319,949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233,711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291,326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40,668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574,884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525,037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73,292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42,865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5,207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60,734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69,878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286,350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261,259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207,202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28,924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575,986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468,461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65,395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429,892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424,324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410,567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57,313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761,752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834,891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116,546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The financial information prepared and presented in this announcement might be different from those published and to be published by NetEase’s listed subsidiary to meet the disclosure requirements under different accounting standards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The unaudited reconciliation of GAAP and non-GAAP results is set out as follows in RMB and USD (in thousands, except per share data or per ADS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9"/>
        <w:gridCol w:w="60"/>
        <w:gridCol w:w="60"/>
        <w:gridCol w:w="740"/>
        <w:gridCol w:w="60"/>
        <w:gridCol w:w="60"/>
        <w:gridCol w:w="60"/>
        <w:gridCol w:w="830"/>
        <w:gridCol w:w="60"/>
        <w:gridCol w:w="60"/>
        <w:gridCol w:w="60"/>
        <w:gridCol w:w="740"/>
        <w:gridCol w:w="60"/>
        <w:gridCol w:w="60"/>
        <w:gridCol w:w="68"/>
        <w:gridCol w:w="842"/>
        <w:gridCol w:w="60"/>
        <w:gridCol w:w="60"/>
        <w:gridCol w:w="60"/>
        <w:gridCol w:w="830"/>
        <w:gridCol w:w="60"/>
        <w:gridCol w:w="60"/>
        <w:gridCol w:w="60"/>
        <w:gridCol w:w="830"/>
        <w:gridCol w:w="60"/>
        <w:gridCol w:w="60"/>
        <w:gridCol w:w="68"/>
        <w:gridCol w:w="842"/>
        <w:gridCol w:w="76"/>
      </w:tblGrid>
      <w:tr>
        <w:trPr/>
        <w:tc>
          <w:tcPr>
            <w:tcW w:w="325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6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Six Months Ended</w:t>
            </w:r>
          </w:p>
        </w:tc>
        <w:tc>
          <w:tcPr>
            <w:tcW w:w="7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June 30,</w:t>
            </w:r>
          </w:p>
        </w:tc>
        <w:tc>
          <w:tcPr>
            <w:tcW w:w="7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2025</w:t>
            </w:r>
          </w:p>
        </w:tc>
        <w:tc>
          <w:tcPr>
            <w:tcW w:w="7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 (Note 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RMB</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0"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USD (Note 1)</w:t>
            </w:r>
          </w:p>
        </w:tc>
        <w:tc>
          <w:tcPr>
            <w:tcW w:w="76"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income attributable to the Company’s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6,758,749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10,301,157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8,601,010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1,200,654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14,392,695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18,902,167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2,638,641</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 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1,059,939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935,570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930,921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129,952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1,936,837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1,866,491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260,552</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Non-GAAP net income attributable to the Company’s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7,818,688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11,236,727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9,531,931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1,330,606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16,329,532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20,768,658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2,899,193</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Non-GAAP net income per share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0.91</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0.90</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Non-GAAP net income per ADS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4.56</w:t>
            </w:r>
          </w:p>
        </w:tc>
        <w:tc>
          <w:tcPr>
            <w:tcW w:w="76"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4.51</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Each ADS represents five ordinary shares.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this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Reconciliation between U.S. GAAP and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is prepared in accordance with U.S. GAAP, which differ in certain respects from IFRS Accounting Standards. The effects of material differences between the unaudited condensed consolidated financial information prepared under U.S. GAAP and IFRS Accounting Standards (“Reconciliation Statement”) are as follows in RMB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PricewaterhouseCoopers, the auditor of the Company in Hong Kong, has performed a limited assurance engagement on the Reconciliation Statement in accordance with International Standard on Assurance Engagements 3000 (Revised) “Assurance Engagements Other Than Audits or Reviews of Historical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unaudited condensed consolidated statements of income (Extract):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9"/>
        <w:gridCol w:w="60"/>
        <w:gridCol w:w="81"/>
        <w:gridCol w:w="1299"/>
        <w:gridCol w:w="80"/>
        <w:gridCol w:w="60"/>
        <w:gridCol w:w="137"/>
        <w:gridCol w:w="1277"/>
        <w:gridCol w:w="129"/>
        <w:gridCol w:w="97"/>
        <w:gridCol w:w="137"/>
        <w:gridCol w:w="1113"/>
        <w:gridCol w:w="80"/>
        <w:gridCol w:w="60"/>
        <w:gridCol w:w="72"/>
        <w:gridCol w:w="1155"/>
        <w:gridCol w:w="89"/>
      </w:tblGrid>
      <w:tr>
        <w:trPr/>
        <w:tc>
          <w:tcPr>
            <w:tcW w:w="427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42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Amounts as reported</w:t>
              <w:br/>
              <w:t>under U.S. GAAP</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Investments</w:t>
              <w:br/>
              <w:t>measured at</w:t>
              <w:br/>
              <w:t>fair value</w:t>
              <w:br/>
            </w:r>
            <w:r>
              <w:rPr>
                <w:i/>
                <w:sz w:val="20"/>
              </w:rPr>
              <w:t>(Note (a))</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Redeemable</w:t>
              <w:br/>
              <w:t>noncontrolling</w:t>
              <w:br/>
              <w:t>interests</w:t>
              <w:br/>
            </w:r>
            <w:r>
              <w:rPr>
                <w:i/>
                <w:sz w:val="20"/>
              </w:rPr>
              <w:t>(Note (b))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Amounts as</w:t>
              <w:br/>
              <w:t>reported under</w:t>
              <w:br/>
              <w:t>IFRS Accounting</w:t>
              <w:br/>
              <w:t>Standards</w:t>
            </w:r>
          </w:p>
        </w:tc>
        <w:tc>
          <w:tcPr>
            <w:tcW w:w="89" w:type="dxa"/>
            <w:tcBorders/>
            <w:vAlign w:val="center"/>
          </w:tcPr>
          <w:p>
            <w:pPr>
              <w:pStyle w:val="TableContents"/>
              <w:bidi w:val="0"/>
              <w:spacing w:before="0" w:after="283"/>
              <w:ind w:left="0" w:right="0" w:hanging="180"/>
              <w:jc w:val="left"/>
              <w:rPr/>
            </w:pPr>
            <w:r>
              <w:rPr/>
              <w:t> </w:t>
            </w:r>
          </w:p>
        </w:tc>
      </w:tr>
      <w:tr>
        <w:trPr/>
        <w:tc>
          <w:tcPr>
            <w:tcW w:w="4279" w:type="dxa"/>
            <w:tcBorders/>
            <w:shd w:fill="CCEEFF" w:val="clear"/>
            <w:vAlign w:val="center"/>
          </w:tcPr>
          <w:p>
            <w:pPr>
              <w:pStyle w:val="TableContents"/>
              <w:bidi w:val="0"/>
              <w:spacing w:before="0" w:after="283"/>
              <w:jc w:val="left"/>
              <w:rPr>
                <w:sz w:val="20"/>
              </w:rPr>
            </w:pPr>
            <w:r>
              <w:rPr>
                <w:sz w:val="20"/>
              </w:rPr>
              <w:t>Fair value changes of redeemable noncontrolling interests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sz w:val="20"/>
              </w:rPr>
            </w:pPr>
            <w:r>
              <w:rPr>
                <w:sz w:val="20"/>
              </w:rPr>
              <w:t>-</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sz w:val="20"/>
              </w:rPr>
            </w:pPr>
            <w:r>
              <w:rPr>
                <w:sz w:val="20"/>
              </w:rPr>
              <w:t>(571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sz w:val="20"/>
              </w:rPr>
            </w:pPr>
            <w:r>
              <w:rPr>
                <w:sz w:val="20"/>
              </w:rPr>
              <w:t>(571</w:t>
            </w:r>
          </w:p>
        </w:tc>
        <w:tc>
          <w:tcPr>
            <w:tcW w:w="89"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4279" w:type="dxa"/>
            <w:tcBorders/>
            <w:shd w:fill="FFFFFF" w:val="clear"/>
            <w:vAlign w:val="center"/>
          </w:tcPr>
          <w:p>
            <w:pPr>
              <w:pStyle w:val="TableContents"/>
              <w:bidi w:val="0"/>
              <w:spacing w:before="0" w:after="283"/>
              <w:jc w:val="left"/>
              <w:rPr>
                <w:sz w:val="20"/>
              </w:rPr>
            </w:pPr>
            <w:r>
              <w:rPr>
                <w:sz w:val="20"/>
              </w:rPr>
              <w:t>Investment income, net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sz w:val="20"/>
              </w:rPr>
            </w:pPr>
            <w:r>
              <w:rPr>
                <w:sz w:val="20"/>
              </w:rPr>
              <w:t>282,965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sz w:val="20"/>
              </w:rPr>
            </w:pPr>
            <w:r>
              <w:rPr>
                <w:sz w:val="20"/>
              </w:rPr>
              <w:t>(108,548</w:t>
            </w:r>
          </w:p>
        </w:tc>
        <w:tc>
          <w:tcPr>
            <w:tcW w:w="129" w:type="dxa"/>
            <w:tcBorders/>
            <w:shd w:fill="FFFFFF" w:val="clear"/>
            <w:vAlign w:val="center"/>
          </w:tcPr>
          <w:p>
            <w:pPr>
              <w:pStyle w:val="TableContents"/>
              <w:bidi w:val="0"/>
              <w:spacing w:before="0" w:after="283"/>
              <w:jc w:val="left"/>
              <w:rPr>
                <w:sz w:val="20"/>
              </w:rPr>
            </w:pPr>
            <w:r>
              <w:rPr>
                <w:sz w:val="20"/>
              </w:rPr>
              <w:t>)</w:t>
            </w:r>
          </w:p>
        </w:tc>
        <w:tc>
          <w:tcPr>
            <w:tcW w:w="9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sz w:val="20"/>
              </w:rPr>
            </w:pPr>
            <w:r>
              <w:rPr>
                <w:sz w:val="20"/>
              </w:rPr>
              <w:t>174,417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4279" w:type="dxa"/>
            <w:tcBorders/>
            <w:shd w:fill="CCEEFF" w:val="clear"/>
            <w:vAlign w:val="center"/>
          </w:tcPr>
          <w:p>
            <w:pPr>
              <w:pStyle w:val="TableContents"/>
              <w:bidi w:val="0"/>
              <w:spacing w:before="0" w:after="283"/>
              <w:jc w:val="left"/>
              <w:rPr>
                <w:b/>
                <w:sz w:val="20"/>
              </w:rPr>
            </w:pPr>
            <w:r>
              <w:rPr>
                <w:b/>
                <w:sz w:val="20"/>
              </w:rPr>
              <w:t>Income before tax</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b/>
                <w:sz w:val="20"/>
              </w:rPr>
            </w:pPr>
            <w:r>
              <w:rPr>
                <w:b/>
                <w:sz w:val="20"/>
              </w:rPr>
              <w:t>17,417,805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b/>
                <w:sz w:val="20"/>
              </w:rPr>
            </w:pPr>
            <w:r>
              <w:rPr>
                <w:b/>
                <w:sz w:val="20"/>
              </w:rPr>
              <w:t>(108,548</w:t>
            </w:r>
          </w:p>
        </w:tc>
        <w:tc>
          <w:tcPr>
            <w:tcW w:w="129" w:type="dxa"/>
            <w:tcBorders/>
            <w:shd w:fill="CCEEFF" w:val="clear"/>
            <w:vAlign w:val="center"/>
          </w:tcPr>
          <w:p>
            <w:pPr>
              <w:pStyle w:val="TableContents"/>
              <w:bidi w:val="0"/>
              <w:spacing w:before="0" w:after="283"/>
              <w:jc w:val="left"/>
              <w:rPr>
                <w:b/>
                <w:sz w:val="20"/>
              </w:rPr>
            </w:pPr>
            <w:r>
              <w:rPr>
                <w:b/>
                <w:sz w:val="20"/>
              </w:rPr>
              <w:t>)</w:t>
            </w:r>
          </w:p>
        </w:tc>
        <w:tc>
          <w:tcPr>
            <w:tcW w:w="9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b/>
                <w:sz w:val="20"/>
              </w:rPr>
            </w:pPr>
            <w:r>
              <w:rPr>
                <w:b/>
                <w:sz w:val="20"/>
              </w:rPr>
              <w:t>(571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b/>
                <w:sz w:val="20"/>
              </w:rPr>
            </w:pPr>
            <w:r>
              <w:rPr>
                <w:b/>
                <w:sz w:val="20"/>
              </w:rPr>
              <w:t>17,308,686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4279" w:type="dxa"/>
            <w:tcBorders/>
            <w:shd w:fill="FFFFFF" w:val="clear"/>
            <w:vAlign w:val="center"/>
          </w:tcPr>
          <w:p>
            <w:pPr>
              <w:pStyle w:val="TableContents"/>
              <w:bidi w:val="0"/>
              <w:spacing w:before="0" w:after="283"/>
              <w:jc w:val="left"/>
              <w:rPr>
                <w:sz w:val="20"/>
              </w:rPr>
            </w:pPr>
            <w:r>
              <w:rPr>
                <w:sz w:val="20"/>
              </w:rPr>
              <w:t>Income tax</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sz w:val="20"/>
              </w:rPr>
            </w:pPr>
            <w:r>
              <w:rPr>
                <w:sz w:val="20"/>
              </w:rPr>
              <w:t>(2,786,849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sz w:val="20"/>
              </w:rPr>
            </w:pPr>
            <w:r>
              <w:rPr>
                <w:sz w:val="20"/>
              </w:rPr>
              <w:t>7,127</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sz w:val="20"/>
              </w:rPr>
            </w:pPr>
            <w:r>
              <w:rPr>
                <w:sz w:val="20"/>
              </w:rPr>
              <w:t>(2,779,722</w:t>
            </w:r>
          </w:p>
        </w:tc>
        <w:tc>
          <w:tcPr>
            <w:tcW w:w="89"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4279" w:type="dxa"/>
            <w:tcBorders/>
            <w:shd w:fill="CCEEFF" w:val="clear"/>
            <w:vAlign w:val="center"/>
          </w:tcPr>
          <w:p>
            <w:pPr>
              <w:pStyle w:val="TableContents"/>
              <w:bidi w:val="0"/>
              <w:spacing w:before="0" w:after="283"/>
              <w:jc w:val="left"/>
              <w:rPr>
                <w:b/>
                <w:sz w:val="20"/>
              </w:rPr>
            </w:pPr>
            <w:r>
              <w:rPr>
                <w:b/>
                <w:sz w:val="20"/>
              </w:rPr>
              <w:t>Net income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b/>
                <w:sz w:val="20"/>
              </w:rPr>
            </w:pPr>
            <w:r>
              <w:rPr>
                <w:b/>
                <w:sz w:val="20"/>
              </w:rPr>
              <w:t>14,630,956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b/>
                <w:sz w:val="20"/>
              </w:rPr>
            </w:pPr>
            <w:r>
              <w:rPr>
                <w:b/>
                <w:sz w:val="20"/>
              </w:rPr>
              <w:t>(101,421</w:t>
            </w:r>
          </w:p>
        </w:tc>
        <w:tc>
          <w:tcPr>
            <w:tcW w:w="129" w:type="dxa"/>
            <w:tcBorders/>
            <w:shd w:fill="CCEEFF" w:val="clear"/>
            <w:vAlign w:val="center"/>
          </w:tcPr>
          <w:p>
            <w:pPr>
              <w:pStyle w:val="TableContents"/>
              <w:bidi w:val="0"/>
              <w:spacing w:before="0" w:after="283"/>
              <w:jc w:val="left"/>
              <w:rPr>
                <w:b/>
                <w:sz w:val="20"/>
              </w:rPr>
            </w:pPr>
            <w:r>
              <w:rPr>
                <w:b/>
                <w:sz w:val="20"/>
              </w:rPr>
              <w:t>)</w:t>
            </w:r>
          </w:p>
        </w:tc>
        <w:tc>
          <w:tcPr>
            <w:tcW w:w="9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b/>
                <w:sz w:val="20"/>
              </w:rPr>
            </w:pPr>
            <w:r>
              <w:rPr>
                <w:b/>
                <w:sz w:val="20"/>
              </w:rPr>
              <w:t>(571</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b/>
                <w:sz w:val="20"/>
              </w:rPr>
            </w:pPr>
            <w:r>
              <w:rPr>
                <w:b/>
                <w:sz w:val="20"/>
              </w:rPr>
              <w:t>14,528,964</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4279" w:type="dxa"/>
            <w:tcBorders/>
            <w:shd w:fill="FFFFFF" w:val="clear"/>
            <w:vAlign w:val="center"/>
          </w:tcPr>
          <w:p>
            <w:pPr>
              <w:pStyle w:val="TableContents"/>
              <w:bidi w:val="0"/>
              <w:spacing w:before="0" w:after="283"/>
              <w:jc w:val="left"/>
              <w:rPr>
                <w:sz w:val="20"/>
              </w:rPr>
            </w:pPr>
            <w:r>
              <w:rPr>
                <w:sz w:val="20"/>
              </w:rPr>
              <w:t>Accretion of redeemable noncontrolling interests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sz w:val="20"/>
              </w:rPr>
            </w:pPr>
            <w:r>
              <w:rPr>
                <w:sz w:val="20"/>
              </w:rPr>
              <w:t>(1,918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b/>
                <w:sz w:val="20"/>
              </w:rPr>
            </w:pPr>
            <w:r>
              <w:rPr>
                <w:b/>
                <w:sz w:val="20"/>
              </w:rPr>
              <w:t>-</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sz w:val="20"/>
              </w:rPr>
            </w:pPr>
            <w:r>
              <w:rPr>
                <w:sz w:val="20"/>
              </w:rPr>
              <w:t>1,918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5" w:type="dxa"/>
            <w:tcBorders/>
            <w:shd w:fill="FFFFFF" w:val="clear"/>
            <w:vAlign w:val="center"/>
          </w:tcPr>
          <w:p>
            <w:pPr>
              <w:pStyle w:val="TableContents"/>
              <w:bidi w:val="0"/>
              <w:spacing w:before="0" w:after="283"/>
              <w:jc w:val="right"/>
              <w:rPr>
                <w:sz w:val="20"/>
              </w:rPr>
            </w:pPr>
            <w:r>
              <w:rPr>
                <w:sz w:val="20"/>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4279" w:type="dxa"/>
            <w:tcBorders/>
            <w:shd w:fill="CCEEFF" w:val="clear"/>
            <w:vAlign w:val="center"/>
          </w:tcPr>
          <w:p>
            <w:pPr>
              <w:pStyle w:val="TableContents"/>
              <w:bidi w:val="0"/>
              <w:spacing w:before="0" w:after="283"/>
              <w:jc w:val="left"/>
              <w:rPr>
                <w:sz w:val="20"/>
              </w:rPr>
            </w:pPr>
            <w:r>
              <w:rPr>
                <w:sz w:val="20"/>
              </w:rPr>
              <w:t>Net income attributable to noncontrolling interests and redeemable noncontrolling interests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sz w:val="20"/>
              </w:rPr>
            </w:pPr>
            <w:r>
              <w:rPr>
                <w:sz w:val="20"/>
              </w:rPr>
              <w:t>(236,343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sz w:val="20"/>
              </w:rPr>
            </w:pPr>
            <w:r>
              <w:rPr>
                <w:sz w:val="20"/>
              </w:rPr>
              <w:t>-</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sz w:val="20"/>
              </w:rPr>
            </w:pPr>
            <w:r>
              <w:rPr>
                <w:sz w:val="20"/>
              </w:rPr>
              <w:t>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5" w:type="dxa"/>
            <w:tcBorders/>
            <w:shd w:fill="CCEEFF" w:val="clear"/>
            <w:vAlign w:val="center"/>
          </w:tcPr>
          <w:p>
            <w:pPr>
              <w:pStyle w:val="TableContents"/>
              <w:bidi w:val="0"/>
              <w:spacing w:before="0" w:after="283"/>
              <w:jc w:val="right"/>
              <w:rPr>
                <w:sz w:val="20"/>
              </w:rPr>
            </w:pPr>
            <w:r>
              <w:rPr>
                <w:sz w:val="20"/>
              </w:rPr>
              <w:t>(235,772</w:t>
            </w:r>
          </w:p>
        </w:tc>
        <w:tc>
          <w:tcPr>
            <w:tcW w:w="89"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4279" w:type="dxa"/>
            <w:tcBorders/>
            <w:shd w:fill="FFFFFF" w:val="clear"/>
            <w:vAlign w:val="center"/>
          </w:tcPr>
          <w:p>
            <w:pPr>
              <w:pStyle w:val="TableContents"/>
              <w:bidi w:val="0"/>
              <w:spacing w:before="0" w:after="283"/>
              <w:jc w:val="left"/>
              <w:rPr>
                <w:b/>
                <w:sz w:val="20"/>
              </w:rPr>
            </w:pPr>
            <w:r>
              <w:rPr>
                <w:b/>
                <w:sz w:val="20"/>
              </w:rPr>
              <w:t>Net income attributable to the Company’s shareholders</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14,392,695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(101,421</w:t>
            </w:r>
          </w:p>
        </w:tc>
        <w:tc>
          <w:tcPr>
            <w:tcW w:w="129" w:type="dxa"/>
            <w:tcBorders/>
            <w:shd w:fill="FFFFFF" w:val="clear"/>
            <w:vAlign w:val="center"/>
          </w:tcPr>
          <w:p>
            <w:pPr>
              <w:pStyle w:val="TableContents"/>
              <w:bidi w:val="0"/>
              <w:spacing w:before="0" w:after="283"/>
              <w:jc w:val="left"/>
              <w:rPr>
                <w:b/>
                <w:sz w:val="20"/>
              </w:rPr>
            </w:pPr>
            <w:r>
              <w:rPr>
                <w:b/>
                <w:sz w:val="20"/>
              </w:rPr>
              <w:t>)</w:t>
            </w:r>
          </w:p>
        </w:tc>
        <w:tc>
          <w:tcPr>
            <w:tcW w:w="9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1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1,918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14,293,192</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94"/>
        <w:gridCol w:w="60"/>
        <w:gridCol w:w="81"/>
        <w:gridCol w:w="1300"/>
        <w:gridCol w:w="80"/>
        <w:gridCol w:w="60"/>
        <w:gridCol w:w="137"/>
        <w:gridCol w:w="1279"/>
        <w:gridCol w:w="129"/>
        <w:gridCol w:w="97"/>
        <w:gridCol w:w="137"/>
        <w:gridCol w:w="1113"/>
        <w:gridCol w:w="60"/>
        <w:gridCol w:w="60"/>
        <w:gridCol w:w="72"/>
        <w:gridCol w:w="1156"/>
        <w:gridCol w:w="90"/>
      </w:tblGrid>
      <w:tr>
        <w:trPr/>
        <w:tc>
          <w:tcPr>
            <w:tcW w:w="429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Six Months Ended 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42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Amounts as reported</w:t>
              <w:br/>
              <w:t>under U.S. GAAP</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Investments</w:t>
              <w:br/>
              <w:t>measured at</w:t>
              <w:br/>
              <w:t>fair value</w:t>
              <w:br/>
            </w:r>
            <w:r>
              <w:rPr>
                <w:i/>
                <w:sz w:val="20"/>
              </w:rPr>
              <w:t>(Note (a))</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Redeemable</w:t>
              <w:br/>
              <w:t>noncontrolling</w:t>
              <w:br/>
              <w:t>interests</w:t>
              <w:br/>
            </w:r>
            <w:r>
              <w:rPr>
                <w:i/>
                <w:sz w:val="20"/>
              </w:rPr>
              <w:t>(Note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Amounts as</w:t>
              <w:br/>
              <w:t>reported under</w:t>
              <w:br/>
              <w:t>IFRS Accounting</w:t>
              <w:br/>
              <w:t>Standards</w:t>
            </w:r>
          </w:p>
        </w:tc>
        <w:tc>
          <w:tcPr>
            <w:tcW w:w="90" w:type="dxa"/>
            <w:tcBorders/>
            <w:vAlign w:val="center"/>
          </w:tcPr>
          <w:p>
            <w:pPr>
              <w:pStyle w:val="TableContents"/>
              <w:bidi w:val="0"/>
              <w:spacing w:before="0" w:after="283"/>
              <w:ind w:left="0" w:right="0" w:hanging="180"/>
              <w:jc w:val="left"/>
              <w:rPr/>
            </w:pPr>
            <w:r>
              <w:rPr/>
              <w:t> </w:t>
            </w:r>
          </w:p>
        </w:tc>
      </w:tr>
      <w:tr>
        <w:trPr/>
        <w:tc>
          <w:tcPr>
            <w:tcW w:w="4294" w:type="dxa"/>
            <w:tcBorders/>
            <w:shd w:fill="CCEEFF" w:val="clear"/>
            <w:vAlign w:val="center"/>
          </w:tcPr>
          <w:p>
            <w:pPr>
              <w:pStyle w:val="TableContents"/>
              <w:bidi w:val="0"/>
              <w:spacing w:before="0" w:after="283"/>
              <w:jc w:val="left"/>
              <w:rPr>
                <w:sz w:val="20"/>
              </w:rPr>
            </w:pPr>
            <w:r>
              <w:rPr>
                <w:sz w:val="20"/>
              </w:rPr>
              <w:t>Investment income, net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sz w:val="20"/>
              </w:rPr>
            </w:pPr>
            <w:r>
              <w:rPr>
                <w:sz w:val="20"/>
              </w:rPr>
              <w:t>1,021,195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sz w:val="20"/>
              </w:rPr>
            </w:pPr>
            <w:r>
              <w:rPr>
                <w:sz w:val="20"/>
              </w:rPr>
              <w:t>(167,094</w:t>
            </w:r>
          </w:p>
        </w:tc>
        <w:tc>
          <w:tcPr>
            <w:tcW w:w="129" w:type="dxa"/>
            <w:tcBorders/>
            <w:shd w:fill="CCEEFF" w:val="clear"/>
            <w:vAlign w:val="center"/>
          </w:tcPr>
          <w:p>
            <w:pPr>
              <w:pStyle w:val="TableContents"/>
              <w:bidi w:val="0"/>
              <w:spacing w:before="0" w:after="283"/>
              <w:jc w:val="left"/>
              <w:rPr>
                <w:sz w:val="20"/>
              </w:rPr>
            </w:pPr>
            <w:r>
              <w:rPr>
                <w:sz w:val="20"/>
              </w:rPr>
              <w:t>)</w:t>
            </w:r>
          </w:p>
        </w:tc>
        <w:tc>
          <w:tcPr>
            <w:tcW w:w="9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sz w:val="20"/>
              </w:rPr>
            </w:pPr>
            <w:r>
              <w:rPr>
                <w:sz w:val="20"/>
              </w:rPr>
              <w:t>854,101</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4294" w:type="dxa"/>
            <w:tcBorders/>
            <w:shd w:fill="FFFFFF" w:val="clear"/>
            <w:vAlign w:val="center"/>
          </w:tcPr>
          <w:p>
            <w:pPr>
              <w:pStyle w:val="TableContents"/>
              <w:bidi w:val="0"/>
              <w:spacing w:before="0" w:after="283"/>
              <w:jc w:val="left"/>
              <w:rPr>
                <w:b/>
                <w:sz w:val="20"/>
              </w:rPr>
            </w:pPr>
            <w:r>
              <w:rPr>
                <w:b/>
                <w:sz w:val="20"/>
              </w:rPr>
              <w:t>Income before tax</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b/>
                <w:sz w:val="20"/>
              </w:rPr>
            </w:pPr>
            <w:r>
              <w:rPr>
                <w:b/>
                <w:sz w:val="20"/>
              </w:rPr>
              <w:t>23,101,136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b/>
                <w:sz w:val="20"/>
              </w:rPr>
            </w:pPr>
            <w:r>
              <w:rPr>
                <w:b/>
                <w:sz w:val="20"/>
              </w:rPr>
              <w:t>(167,094</w:t>
            </w:r>
          </w:p>
        </w:tc>
        <w:tc>
          <w:tcPr>
            <w:tcW w:w="129" w:type="dxa"/>
            <w:tcBorders/>
            <w:shd w:fill="FFFFFF" w:val="clear"/>
            <w:vAlign w:val="center"/>
          </w:tcPr>
          <w:p>
            <w:pPr>
              <w:pStyle w:val="TableContents"/>
              <w:bidi w:val="0"/>
              <w:spacing w:before="0" w:after="283"/>
              <w:jc w:val="left"/>
              <w:rPr>
                <w:b/>
                <w:sz w:val="20"/>
              </w:rPr>
            </w:pPr>
            <w:r>
              <w:rPr>
                <w:b/>
                <w:sz w:val="20"/>
              </w:rPr>
              <w:t>)</w:t>
            </w:r>
          </w:p>
        </w:tc>
        <w:tc>
          <w:tcPr>
            <w:tcW w:w="9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b/>
                <w:sz w:val="20"/>
              </w:rPr>
            </w:pPr>
            <w:r>
              <w:rPr>
                <w:b/>
                <w:sz w:val="20"/>
              </w:rPr>
              <w:t>22,934,042</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4294" w:type="dxa"/>
            <w:tcBorders/>
            <w:shd w:fill="CCEEFF" w:val="clear"/>
            <w:vAlign w:val="center"/>
          </w:tcPr>
          <w:p>
            <w:pPr>
              <w:pStyle w:val="TableContents"/>
              <w:bidi w:val="0"/>
              <w:spacing w:before="0" w:after="283"/>
              <w:jc w:val="left"/>
              <w:rPr>
                <w:sz w:val="20"/>
              </w:rPr>
            </w:pPr>
            <w:r>
              <w:rPr>
                <w:sz w:val="20"/>
              </w:rPr>
              <w:t>Income tax</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sz w:val="20"/>
              </w:rPr>
            </w:pPr>
            <w:r>
              <w:rPr>
                <w:sz w:val="20"/>
              </w:rPr>
              <w:t>(3,465,900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sz w:val="20"/>
              </w:rPr>
            </w:pPr>
            <w:r>
              <w:rPr>
                <w:sz w:val="20"/>
              </w:rPr>
              <w:t>7,924</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sz w:val="20"/>
              </w:rPr>
            </w:pPr>
            <w:r>
              <w:rPr>
                <w:sz w:val="20"/>
              </w:rPr>
              <w:t>(3,457,976</w:t>
            </w:r>
          </w:p>
        </w:tc>
        <w:tc>
          <w:tcPr>
            <w:tcW w:w="90"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4294" w:type="dxa"/>
            <w:tcBorders/>
            <w:shd w:fill="FFFFFF" w:val="clear"/>
            <w:vAlign w:val="center"/>
          </w:tcPr>
          <w:p>
            <w:pPr>
              <w:pStyle w:val="TableContents"/>
              <w:bidi w:val="0"/>
              <w:spacing w:before="0" w:after="283"/>
              <w:jc w:val="left"/>
              <w:rPr>
                <w:b/>
                <w:sz w:val="20"/>
              </w:rPr>
            </w:pPr>
            <w:r>
              <w:rPr>
                <w:b/>
                <w:sz w:val="20"/>
              </w:rPr>
              <w:t>Net income</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b/>
                <w:sz w:val="20"/>
              </w:rPr>
            </w:pPr>
            <w:r>
              <w:rPr>
                <w:b/>
                <w:sz w:val="20"/>
              </w:rPr>
              <w:t>19,635,236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b/>
                <w:sz w:val="20"/>
              </w:rPr>
            </w:pPr>
            <w:r>
              <w:rPr>
                <w:b/>
                <w:sz w:val="20"/>
              </w:rPr>
              <w:t>(159,170</w:t>
            </w:r>
          </w:p>
        </w:tc>
        <w:tc>
          <w:tcPr>
            <w:tcW w:w="129" w:type="dxa"/>
            <w:tcBorders/>
            <w:shd w:fill="FFFFFF" w:val="clear"/>
            <w:vAlign w:val="center"/>
          </w:tcPr>
          <w:p>
            <w:pPr>
              <w:pStyle w:val="TableContents"/>
              <w:bidi w:val="0"/>
              <w:spacing w:before="0" w:after="283"/>
              <w:jc w:val="left"/>
              <w:rPr>
                <w:b/>
                <w:sz w:val="20"/>
              </w:rPr>
            </w:pPr>
            <w:r>
              <w:rPr>
                <w:b/>
                <w:sz w:val="20"/>
              </w:rPr>
              <w:t>)</w:t>
            </w:r>
          </w:p>
        </w:tc>
        <w:tc>
          <w:tcPr>
            <w:tcW w:w="9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b/>
                <w:sz w:val="20"/>
              </w:rPr>
            </w:pPr>
            <w:r>
              <w:rPr>
                <w:b/>
                <w:sz w:val="20"/>
              </w:rPr>
              <w:t>19,476,066</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4294" w:type="dxa"/>
            <w:tcBorders/>
            <w:shd w:fill="CCEEFF" w:val="clear"/>
            <w:vAlign w:val="center"/>
          </w:tcPr>
          <w:p>
            <w:pPr>
              <w:pStyle w:val="TableContents"/>
              <w:bidi w:val="0"/>
              <w:spacing w:before="0" w:after="283"/>
              <w:jc w:val="left"/>
              <w:rPr>
                <w:sz w:val="20"/>
              </w:rPr>
            </w:pPr>
            <w:r>
              <w:rPr>
                <w:sz w:val="20"/>
              </w:rPr>
              <w:t>Accretion of redeemable noncontrolling interests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sz w:val="20"/>
              </w:rPr>
            </w:pPr>
            <w:r>
              <w:rPr>
                <w:sz w:val="20"/>
              </w:rPr>
              <w:t>(2,100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sz w:val="20"/>
              </w:rPr>
            </w:pPr>
            <w:r>
              <w:rPr>
                <w:sz w:val="20"/>
              </w:rPr>
              <w:t>-</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sz w:val="20"/>
              </w:rPr>
            </w:pPr>
            <w:r>
              <w:rPr>
                <w:sz w:val="20"/>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4294" w:type="dxa"/>
            <w:tcBorders/>
            <w:shd w:fill="FFFFFF" w:val="clear"/>
            <w:vAlign w:val="center"/>
          </w:tcPr>
          <w:p>
            <w:pPr>
              <w:pStyle w:val="TableContents"/>
              <w:bidi w:val="0"/>
              <w:spacing w:before="0" w:after="283"/>
              <w:jc w:val="left"/>
              <w:rPr>
                <w:sz w:val="20"/>
              </w:rPr>
            </w:pPr>
            <w:r>
              <w:rPr>
                <w:sz w:val="20"/>
              </w:rPr>
              <w:t>Net income attributable to noncontrolling interests and redeemable noncontrolling interests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sz w:val="20"/>
              </w:rPr>
            </w:pPr>
            <w:r>
              <w:rPr>
                <w:sz w:val="20"/>
              </w:rPr>
              <w:t>(730,969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sz w:val="20"/>
              </w:rPr>
            </w:pPr>
            <w:r>
              <w:rPr>
                <w:sz w:val="20"/>
              </w:rPr>
              <w:t>-</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sz w:val="20"/>
              </w:rPr>
            </w:pPr>
            <w:r>
              <w:rPr>
                <w:sz w:val="20"/>
              </w:rPr>
              <w:t>(730,969</w:t>
            </w:r>
          </w:p>
        </w:tc>
        <w:tc>
          <w:tcPr>
            <w:tcW w:w="90"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4294" w:type="dxa"/>
            <w:tcBorders/>
            <w:shd w:fill="CCEEFF" w:val="clear"/>
            <w:vAlign w:val="center"/>
          </w:tcPr>
          <w:p>
            <w:pPr>
              <w:pStyle w:val="TableContents"/>
              <w:bidi w:val="0"/>
              <w:spacing w:before="0" w:after="283"/>
              <w:jc w:val="left"/>
              <w:rPr>
                <w:b/>
                <w:sz w:val="20"/>
              </w:rPr>
            </w:pPr>
            <w:r>
              <w:rPr>
                <w:b/>
                <w:sz w:val="20"/>
              </w:rPr>
              <w:t>Net income attributable to the Company’s shareholders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18,902,167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(159,170</w:t>
            </w:r>
          </w:p>
        </w:tc>
        <w:tc>
          <w:tcPr>
            <w:tcW w:w="129" w:type="dxa"/>
            <w:tcBorders/>
            <w:shd w:fill="CCEEFF" w:val="clear"/>
            <w:vAlign w:val="center"/>
          </w:tcPr>
          <w:p>
            <w:pPr>
              <w:pStyle w:val="TableContents"/>
              <w:bidi w:val="0"/>
              <w:spacing w:before="0" w:after="283"/>
              <w:jc w:val="left"/>
              <w:rPr>
                <w:b/>
                <w:sz w:val="20"/>
              </w:rPr>
            </w:pPr>
            <w:r>
              <w:rPr>
                <w:b/>
                <w:sz w:val="20"/>
              </w:rPr>
              <w:t>)</w:t>
            </w:r>
          </w:p>
        </w:tc>
        <w:tc>
          <w:tcPr>
            <w:tcW w:w="97" w:type="dxa"/>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18,745,097</w:t>
            </w:r>
          </w:p>
        </w:tc>
        <w:tc>
          <w:tcPr>
            <w:tcW w:w="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unaudited condensed consolidated balance sheets (Extract):</w:t>
      </w:r>
    </w:p>
    <w:p>
      <w:pPr>
        <w:pStyle w:val="TextBody"/>
        <w:bidi w:val="0"/>
        <w:spacing w:before="0" w:after="0"/>
        <w:ind w:left="0" w:right="0" w:hanging="0"/>
        <w:jc w:val="left"/>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4455"/>
        <w:gridCol w:w="60"/>
        <w:gridCol w:w="80"/>
        <w:gridCol w:w="1426"/>
        <w:gridCol w:w="60"/>
        <w:gridCol w:w="60"/>
        <w:gridCol w:w="62"/>
        <w:gridCol w:w="1067"/>
        <w:gridCol w:w="84"/>
        <w:gridCol w:w="62"/>
        <w:gridCol w:w="105"/>
        <w:gridCol w:w="1145"/>
        <w:gridCol w:w="80"/>
        <w:gridCol w:w="60"/>
        <w:gridCol w:w="70"/>
        <w:gridCol w:w="1249"/>
        <w:gridCol w:w="80"/>
      </w:tblGrid>
      <w:tr>
        <w:trPr/>
        <w:tc>
          <w:tcPr>
            <w:tcW w:w="445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50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December 31,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180"/>
              <w:jc w:val="left"/>
              <w:rPr/>
            </w:pPr>
            <w:r>
              <w:rPr/>
              <w:t> </w:t>
            </w:r>
          </w:p>
        </w:tc>
      </w:tr>
      <w:tr>
        <w:trPr/>
        <w:tc>
          <w:tcPr>
            <w:tcW w:w="4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Amounts as reported</w:t>
              <w:br/>
              <w:t>under U.S. GAAP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Investments</w:t>
              <w:br/>
              <w:t>measured at</w:t>
              <w:br/>
              <w:t>fair value</w:t>
              <w:br/>
            </w:r>
            <w:r>
              <w:rPr>
                <w:i/>
                <w:sz w:val="20"/>
              </w:rPr>
              <w:t>(Note (a))</w:t>
            </w:r>
          </w:p>
        </w:tc>
        <w:tc>
          <w:tcPr>
            <w:tcW w:w="84"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Redeemable</w:t>
              <w:br/>
              <w:t>noncontrolling</w:t>
              <w:br/>
              <w:t>interests</w:t>
              <w:br/>
            </w:r>
            <w:r>
              <w:rPr>
                <w:i/>
                <w:sz w:val="20"/>
              </w:rPr>
              <w:t>(Note (b))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Amounts as</w:t>
              <w:br/>
              <w:t>reported under</w:t>
              <w:br/>
              <w:t>IFRS Accounting</w:t>
              <w:br/>
              <w:t>Standards</w:t>
            </w:r>
          </w:p>
        </w:tc>
        <w:tc>
          <w:tcPr>
            <w:tcW w:w="80" w:type="dxa"/>
            <w:tcBorders/>
            <w:vAlign w:val="center"/>
          </w:tcPr>
          <w:p>
            <w:pPr>
              <w:pStyle w:val="TableContents"/>
              <w:bidi w:val="0"/>
              <w:spacing w:before="0" w:after="283"/>
              <w:ind w:left="0" w:right="0" w:hanging="180"/>
              <w:jc w:val="left"/>
              <w:rPr/>
            </w:pPr>
            <w:r>
              <w:rPr/>
              <w:t> </w:t>
            </w:r>
          </w:p>
        </w:tc>
      </w:tr>
      <w:tr>
        <w:trPr/>
        <w:tc>
          <w:tcPr>
            <w:tcW w:w="4455" w:type="dxa"/>
            <w:tcBorders/>
            <w:shd w:fill="CCEEFF" w:val="clear"/>
            <w:vAlign w:val="center"/>
          </w:tcPr>
          <w:p>
            <w:pPr>
              <w:pStyle w:val="TableContents"/>
              <w:bidi w:val="0"/>
              <w:spacing w:before="0" w:after="283"/>
              <w:jc w:val="left"/>
              <w:rPr>
                <w:sz w:val="20"/>
              </w:rPr>
            </w:pPr>
            <w:r>
              <w:rPr>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sz w:val="20"/>
              </w:rPr>
            </w:pPr>
            <w:r>
              <w:rPr>
                <w:sz w:val="20"/>
              </w:rPr>
              <w:t>25,830,685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sz w:val="20"/>
              </w:rPr>
            </w:pPr>
            <w:r>
              <w:rPr>
                <w:sz w:val="20"/>
              </w:rPr>
              <w:t>(13,800,189</w:t>
            </w:r>
          </w:p>
        </w:tc>
        <w:tc>
          <w:tcPr>
            <w:tcW w:w="84" w:type="dxa"/>
            <w:tcBorders/>
            <w:shd w:fill="CCEEFF" w:val="clear"/>
            <w:vAlign w:val="center"/>
          </w:tcPr>
          <w:p>
            <w:pPr>
              <w:pStyle w:val="TableContents"/>
              <w:bidi w:val="0"/>
              <w:spacing w:before="0" w:after="283"/>
              <w:jc w:val="left"/>
              <w:rPr>
                <w:sz w:val="20"/>
              </w:rPr>
            </w:pPr>
            <w:r>
              <w:rPr>
                <w:sz w:val="20"/>
              </w:rPr>
              <w:t>)</w:t>
            </w:r>
          </w:p>
        </w:tc>
        <w:tc>
          <w:tcPr>
            <w:tcW w:w="62"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sz w:val="20"/>
              </w:rPr>
            </w:pPr>
            <w:r>
              <w:rPr>
                <w:sz w:val="20"/>
              </w:rPr>
              <w:t>12,030,496</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4455" w:type="dxa"/>
            <w:tcBorders/>
            <w:shd w:fill="FFFFFF" w:val="clear"/>
            <w:vAlign w:val="center"/>
          </w:tcPr>
          <w:p>
            <w:pPr>
              <w:pStyle w:val="TableContents"/>
              <w:bidi w:val="0"/>
              <w:spacing w:before="0" w:after="283"/>
              <w:jc w:val="left"/>
              <w:rPr>
                <w:sz w:val="20"/>
              </w:rPr>
            </w:pPr>
            <w:r>
              <w:rPr>
                <w:sz w:val="20"/>
              </w:rPr>
              <w:t>Financial assets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sz w:val="20"/>
              </w:rPr>
            </w:pPr>
            <w:r>
              <w:rPr>
                <w:sz w:val="20"/>
              </w:rPr>
              <w:t>15,682,924</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sz w:val="20"/>
              </w:rPr>
            </w:pPr>
            <w:r>
              <w:rPr>
                <w:sz w:val="20"/>
              </w:rPr>
              <w:t>15,682,924</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4455"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195,991,550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1,882,735</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197,874,285</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4455" w:type="dxa"/>
            <w:tcBorders/>
            <w:shd w:fill="FFFFFF" w:val="clear"/>
            <w:vAlign w:val="center"/>
          </w:tcPr>
          <w:p>
            <w:pPr>
              <w:pStyle w:val="TableContents"/>
              <w:bidi w:val="0"/>
              <w:spacing w:before="0" w:after="283"/>
              <w:jc w:val="left"/>
              <w:rPr>
                <w:sz w:val="20"/>
              </w:rPr>
            </w:pPr>
            <w:r>
              <w:rPr>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sz w:val="20"/>
              </w:rPr>
            </w:pPr>
            <w:r>
              <w:rPr>
                <w:sz w:val="20"/>
              </w:rPr>
              <w:t>2,173,117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sz w:val="20"/>
              </w:rPr>
            </w:pPr>
            <w:r>
              <w:rPr>
                <w:sz w:val="20"/>
              </w:rPr>
              <w:t>26,600</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sz w:val="20"/>
              </w:rPr>
            </w:pPr>
            <w:r>
              <w:rPr>
                <w:sz w:val="20"/>
              </w:rPr>
              <w:t>2,199,717</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4455"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53,497,412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26,600</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53,524,012</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4455" w:type="dxa"/>
            <w:tcBorders/>
            <w:shd w:fill="FFFFFF" w:val="clear"/>
            <w:vAlign w:val="center"/>
          </w:tcPr>
          <w:p>
            <w:pPr>
              <w:pStyle w:val="TableContents"/>
              <w:bidi w:val="0"/>
              <w:spacing w:before="0" w:after="283"/>
              <w:jc w:val="left"/>
              <w:rPr>
                <w:b/>
                <w:sz w:val="20"/>
              </w:rPr>
            </w:pPr>
            <w:r>
              <w:rPr>
                <w:b/>
                <w:sz w:val="20"/>
              </w:rPr>
              <w:t>Redeemable noncontrolling interests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b/>
                <w:sz w:val="20"/>
              </w:rPr>
            </w:pPr>
            <w:r>
              <w:rPr>
                <w:b/>
                <w:sz w:val="20"/>
              </w:rPr>
              <w:t>84,272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b/>
                <w:sz w:val="20"/>
              </w:rPr>
            </w:pPr>
            <w:r>
              <w:rPr>
                <w:b/>
                <w:sz w:val="20"/>
              </w:rPr>
              <w:t>-</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b/>
                <w:sz w:val="20"/>
              </w:rPr>
            </w:pPr>
            <w:r>
              <w:rPr>
                <w:b/>
                <w:sz w:val="20"/>
              </w:rPr>
              <w:t>(84,272</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b/>
                <w:sz w:val="20"/>
              </w:rPr>
            </w:pPr>
            <w:r>
              <w:rPr>
                <w:b/>
                <w:sz w:val="20"/>
              </w:rPr>
              <w:t>-</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4455" w:type="dxa"/>
            <w:tcBorders/>
            <w:shd w:fill="CCEEFF" w:val="clear"/>
            <w:vAlign w:val="center"/>
          </w:tcPr>
          <w:p>
            <w:pPr>
              <w:pStyle w:val="TableContents"/>
              <w:bidi w:val="0"/>
              <w:spacing w:before="0" w:after="283"/>
              <w:jc w:val="left"/>
              <w:rPr>
                <w:b/>
                <w:sz w:val="20"/>
              </w:rPr>
            </w:pPr>
            <w:r>
              <w:rPr>
                <w:b/>
                <w:sz w:val="20"/>
              </w:rPr>
              <w:t>Total equity</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142,409,866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1,856,135</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84,272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144,350,273</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4455" w:type="dxa"/>
            <w:tcBorders/>
            <w:shd w:fill="FFFFFF" w:val="clear"/>
            <w:vAlign w:val="center"/>
          </w:tcPr>
          <w:p>
            <w:pPr>
              <w:pStyle w:val="TableContents"/>
              <w:bidi w:val="0"/>
              <w:spacing w:before="0" w:after="283"/>
              <w:jc w:val="left"/>
              <w:rPr>
                <w:b/>
                <w:sz w:val="20"/>
              </w:rPr>
            </w:pPr>
            <w:r>
              <w:rPr>
                <w:b/>
                <w:sz w:val="20"/>
              </w:rPr>
              <w:t>Total liabilities, redeemable noncontrolling interests and shareholders’ equity</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195,991,550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1,882,735</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197,874,285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12"/>
        <w:gridCol w:w="60"/>
        <w:gridCol w:w="81"/>
        <w:gridCol w:w="1433"/>
        <w:gridCol w:w="60"/>
        <w:gridCol w:w="60"/>
        <w:gridCol w:w="60"/>
        <w:gridCol w:w="1010"/>
        <w:gridCol w:w="80"/>
        <w:gridCol w:w="60"/>
        <w:gridCol w:w="105"/>
        <w:gridCol w:w="1145"/>
        <w:gridCol w:w="80"/>
        <w:gridCol w:w="60"/>
        <w:gridCol w:w="70"/>
        <w:gridCol w:w="1252"/>
        <w:gridCol w:w="77"/>
      </w:tblGrid>
      <w:tr>
        <w:trPr/>
        <w:tc>
          <w:tcPr>
            <w:tcW w:w="451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51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June 30,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45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Amounts as reported</w:t>
              <w:br/>
              <w:t>under U.S. GAAP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Investments</w:t>
              <w:br/>
              <w:t>measured at</w:t>
              <w:br/>
              <w:t>fair value</w:t>
              <w:br/>
            </w:r>
            <w:r>
              <w:rPr>
                <w:i/>
                <w:sz w:val="20"/>
              </w:rPr>
              <w:t>(Note (a))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Redeemable</w:t>
              <w:br/>
              <w:t>noncontrolling</w:t>
              <w:br/>
              <w:t>interests</w:t>
              <w:br/>
            </w:r>
            <w:r>
              <w:rPr>
                <w:i/>
                <w:sz w:val="20"/>
              </w:rPr>
              <w:t>(Note (b))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Amounts as</w:t>
              <w:br/>
              <w:t>reported under</w:t>
              <w:br/>
              <w:t>IFRS Accounting</w:t>
              <w:br/>
              <w:t>Standards</w:t>
            </w:r>
          </w:p>
        </w:tc>
        <w:tc>
          <w:tcPr>
            <w:tcW w:w="77" w:type="dxa"/>
            <w:tcBorders/>
            <w:vAlign w:val="center"/>
          </w:tcPr>
          <w:p>
            <w:pPr>
              <w:pStyle w:val="TableContents"/>
              <w:bidi w:val="0"/>
              <w:spacing w:before="0" w:after="283"/>
              <w:ind w:left="0" w:right="0" w:hanging="180"/>
              <w:jc w:val="left"/>
              <w:rPr/>
            </w:pPr>
            <w:r>
              <w:rPr/>
              <w:t> </w:t>
            </w:r>
          </w:p>
        </w:tc>
      </w:tr>
      <w:tr>
        <w:trPr/>
        <w:tc>
          <w:tcPr>
            <w:tcW w:w="4512" w:type="dxa"/>
            <w:tcBorders/>
            <w:shd w:fill="CCEEFF" w:val="clear"/>
            <w:vAlign w:val="center"/>
          </w:tcPr>
          <w:p>
            <w:pPr>
              <w:pStyle w:val="TableContents"/>
              <w:bidi w:val="0"/>
              <w:spacing w:before="0" w:after="283"/>
              <w:jc w:val="left"/>
              <w:rPr>
                <w:sz w:val="20"/>
              </w:rPr>
            </w:pPr>
            <w:r>
              <w:rPr>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right"/>
              <w:rPr>
                <w:sz w:val="20"/>
              </w:rPr>
            </w:pPr>
            <w:r>
              <w:rPr>
                <w:sz w:val="20"/>
              </w:rPr>
              <w:t>27,860,004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(15,990,681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sz w:val="20"/>
              </w:rPr>
            </w:pPr>
            <w:r>
              <w:rPr>
                <w:sz w:val="20"/>
              </w:rPr>
              <w:t>11,869,323</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512" w:type="dxa"/>
            <w:tcBorders/>
            <w:shd w:fill="FFFFFF" w:val="clear"/>
            <w:vAlign w:val="center"/>
          </w:tcPr>
          <w:p>
            <w:pPr>
              <w:pStyle w:val="TableContents"/>
              <w:bidi w:val="0"/>
              <w:spacing w:before="0" w:after="283"/>
              <w:jc w:val="left"/>
              <w:rPr>
                <w:sz w:val="20"/>
              </w:rPr>
            </w:pPr>
            <w:r>
              <w:rPr>
                <w:sz w:val="20"/>
              </w:rPr>
              <w:t>Financial assets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17,706,322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sz w:val="20"/>
              </w:rPr>
            </w:pPr>
            <w:r>
              <w:rPr>
                <w:sz w:val="20"/>
              </w:rPr>
              <w:t>17,706,322</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4512"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208,498,653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1,715,641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210,214,294</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512" w:type="dxa"/>
            <w:tcBorders/>
            <w:shd w:fill="FFFFFF" w:val="clear"/>
            <w:vAlign w:val="center"/>
          </w:tcPr>
          <w:p>
            <w:pPr>
              <w:pStyle w:val="TableContents"/>
              <w:bidi w:val="0"/>
              <w:spacing w:before="0" w:after="283"/>
              <w:jc w:val="left"/>
              <w:rPr>
                <w:sz w:val="20"/>
              </w:rPr>
            </w:pPr>
            <w:r>
              <w:rPr>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sz w:val="20"/>
              </w:rPr>
            </w:pPr>
            <w:r>
              <w:rPr>
                <w:sz w:val="20"/>
              </w:rPr>
              <w:t>2,724,485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18,676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sz w:val="20"/>
              </w:rPr>
            </w:pPr>
            <w:r>
              <w:rPr>
                <w:sz w:val="20"/>
              </w:rPr>
              <w:t>2,743,161</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4512"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54,394,501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18,676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54,413,177</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512" w:type="dxa"/>
            <w:tcBorders/>
            <w:shd w:fill="FFFFFF" w:val="clear"/>
            <w:vAlign w:val="center"/>
          </w:tcPr>
          <w:p>
            <w:pPr>
              <w:pStyle w:val="TableContents"/>
              <w:bidi w:val="0"/>
              <w:spacing w:before="0" w:after="283"/>
              <w:jc w:val="left"/>
              <w:rPr>
                <w:b/>
                <w:sz w:val="20"/>
              </w:rPr>
            </w:pPr>
            <w:r>
              <w:rPr>
                <w:b/>
                <w:sz w:val="20"/>
              </w:rPr>
              <w:t>Redeemable noncontrolling interests</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b/>
                <w:sz w:val="20"/>
              </w:rPr>
            </w:pPr>
            <w:r>
              <w:rPr>
                <w:b/>
                <w:sz w:val="20"/>
              </w:rPr>
              <w:t>87,741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b/>
                <w:sz w:val="20"/>
              </w:rPr>
            </w:pPr>
            <w:r>
              <w:rPr>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b/>
                <w:sz w:val="20"/>
              </w:rPr>
            </w:pPr>
            <w:r>
              <w:rPr>
                <w:b/>
                <w:sz w:val="20"/>
              </w:rPr>
              <w:t>(87,741</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sz w:val="20"/>
              </w:rPr>
            </w:pPr>
            <w:r>
              <w:rPr>
                <w:sz w:val="20"/>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4512" w:type="dxa"/>
            <w:tcBorders/>
            <w:shd w:fill="CCEEFF" w:val="clear"/>
            <w:vAlign w:val="center"/>
          </w:tcPr>
          <w:p>
            <w:pPr>
              <w:pStyle w:val="TableContents"/>
              <w:bidi w:val="0"/>
              <w:spacing w:before="0" w:after="283"/>
              <w:jc w:val="left"/>
              <w:rPr>
                <w:b/>
                <w:sz w:val="20"/>
              </w:rPr>
            </w:pPr>
            <w:r>
              <w:rPr>
                <w:b/>
                <w:sz w:val="20"/>
              </w:rPr>
              <w:t>Total equity</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154,016,411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1,696,965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87,741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155,801,117</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4512" w:type="dxa"/>
            <w:tcBorders/>
            <w:shd w:fill="FFFFFF" w:val="clear"/>
            <w:vAlign w:val="center"/>
          </w:tcPr>
          <w:p>
            <w:pPr>
              <w:pStyle w:val="TableContents"/>
              <w:bidi w:val="0"/>
              <w:spacing w:before="0" w:after="283"/>
              <w:jc w:val="left"/>
              <w:rPr>
                <w:b/>
                <w:sz w:val="20"/>
              </w:rPr>
            </w:pPr>
            <w:r>
              <w:rPr>
                <w:b/>
                <w:sz w:val="20"/>
              </w:rPr>
              <w:t>Total liabilities, redeemable noncontrolling interests and shareholders' equity</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208,498,653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1,715,641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2"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210,214,294</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of Preparation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responsible for preparation of the Reconciliation Statement in accordance with the relevant requirements of the Hong Kong Listing Rules and relevant guidance in HKEX-GL111-22. The Reconciliation Statement was prepared based on the Company’s unaudited condensed consolidated financial information for the six months ended June 30, 2025 prepared under U.S. GAAP, with material adjustments made (if any) thereto in arriving at the unaudited financial information of the Company prepared under IFRS Accounting Standards. The adjustments reflect the material differences between the Company’s accounting policies under U.S. GAAP and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Investments measured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NetEase applied the measurement alternative to record the investments in equity securities (including preferred shares and ordinary shares without significant influence) without readily determinable fair values at cost, less impairment, and plus or minus subsequent adjustments for observable price changes recognized in the consolidated income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these investments were classified as financial assets at fair value through profit or loss and measured at fair value with changes in fair value recognized through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 Redeemable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GAAP, SEC guidance provides for mezzanine-equity (temporary equity) category in addition to the financial liability and permanent equity categories. The purpose of this “in-between” category is to indicate that a security whose redemption is outside the control of the issuer may not be classified as a permanent part of equity. NetEase classified the redeemable preferred shares issued by certain subsidiaries as redeemable noncontrolling interests in the condensed consolidated balance sheets and recorded them initially at fair value, net of issuance costs. NetEase recognized accretion to the respective redemption value of the redeemable preferred shares over the period starting from issuance date to the earliest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IFRS Accounting Standards, there is no concept of mezzanine or temporary equity classification. NetEase designated the redeemable preferred shares as financial liabilities at fair value through profit or loss which are measured at fair value. Subsequent to initial recognition, the amounts of changes in fair value that were attributed to changes in credit risk of the issuer were recognized in other comprehensive income, and the remaining amounts of changes in fair value were recognized in the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6344</Words>
  <Characters>36968</Characters>
  <CharactersWithSpaces>45709</CharactersWithSpaces>
  <Paragraphs>5692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