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482d1_6k.htm"/>
      <w:bookmarkStart w:id="1" w:name="kstm262348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UNDER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NETEASE,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802, 8/F, China Life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Tower A, One HarbourGate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18 Hung Luen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Kowloon,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60"/>
        <w:gridCol w:w="9090"/>
      </w:tblGrid>
      <w:tr>
        <w:trPr/>
        <w:tc>
          <w:tcPr>
            <w:tcW w:w="1055" w:type="dxa"/>
            <w:tcBorders/>
            <w:vAlign w:val="center"/>
          </w:tcPr>
          <w:p>
            <w:pPr>
              <w:pStyle w:val="TableContents"/>
              <w:bidi w:val="0"/>
              <w:spacing w:before="0" w:after="283"/>
              <w:jc w:val="left"/>
              <w:rPr/>
            </w:pPr>
            <w:hyperlink w:anchor="tm2623482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both"/>
              <w:rPr/>
            </w:pPr>
            <w:hyperlink w:anchor="tm2623482d1_ex99-1.htm">
              <w:r>
                <w:rPr>
                  <w:rStyle w:val="InternetLink"/>
                  <w:rFonts w:ascii="Times New Roman;Times;Serif" w:hAnsi="Times New Roman;Times;Serif"/>
                  <w:sz w:val="20"/>
                </w:rPr>
                <w:t>Announcement with The Stock Exchange of Hong Kong Limited – Announcement of the Second Quarter 2026 Results and Interim Results for the Six Months Ended June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610" w:type="dxa"/>
        <w:jc w:val="left"/>
        <w:tblInd w:w="0" w:type="dxa"/>
        <w:tblLayout w:type="fixed"/>
        <w:tblCellMar>
          <w:top w:w="0" w:type="dxa"/>
          <w:left w:w="0" w:type="dxa"/>
          <w:bottom w:w="0" w:type="dxa"/>
          <w:right w:w="0" w:type="dxa"/>
        </w:tblCellMar>
      </w:tblPr>
      <w:tblGrid>
        <w:gridCol w:w="75"/>
        <w:gridCol w:w="485"/>
        <w:gridCol w:w="80"/>
        <w:gridCol w:w="1970"/>
      </w:tblGrid>
      <w:tr>
        <w:trPr/>
        <w:tc>
          <w:tcPr>
            <w:tcW w:w="75" w:type="dxa"/>
            <w:tcBorders/>
            <w:vAlign w:val="center"/>
          </w:tcPr>
          <w:p>
            <w:pPr>
              <w:pStyle w:val="TableContents"/>
              <w:bidi w:val="0"/>
              <w:spacing w:before="0" w:after="283"/>
              <w:jc w:val="left"/>
              <w:rPr/>
            </w:pPr>
            <w:r>
              <w:rPr/>
              <w:t> </w:t>
            </w:r>
          </w:p>
        </w:tc>
        <w:tc>
          <w:tcPr>
            <w:tcW w:w="2535" w:type="dxa"/>
            <w:gridSpan w:val="3"/>
            <w:tcBorders/>
            <w:vAlign w:val="center"/>
          </w:tcPr>
          <w:p>
            <w:pPr>
              <w:pStyle w:val="TableContents"/>
              <w:bidi w:val="0"/>
              <w:spacing w:before="0" w:after="283"/>
              <w:jc w:val="left"/>
              <w:rPr>
                <w:b/>
              </w:rPr>
            </w:pPr>
            <w:r>
              <w:rPr>
                <w:b/>
              </w:rPr>
              <w:t>NETEASE,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bottom w:val="single" w:sz="8" w:space="0" w:color="000000"/>
            </w:tcBorders>
            <w:tcMar>
              <w:bottom w:w="28" w:type="dxa"/>
            </w:tcMar>
            <w:vAlign w:val="center"/>
          </w:tcPr>
          <w:p>
            <w:pPr>
              <w:pStyle w:val="TableContents"/>
              <w:bidi w:val="0"/>
              <w:spacing w:before="0" w:after="283"/>
              <w:jc w:val="left"/>
              <w:rPr/>
            </w:pPr>
            <w:r>
              <w:rPr/>
              <w:t>/s/ 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 w:name="tm2623482d1_ex99-1.htm"/>
      <w:bookmarkStart w:id="3" w:name="kstm262348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125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NETEASE, INC.</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eastAsia="Times New Roman;Times;Serif"/>
          <w:b w:val="false"/>
          <w:i w:val="false"/>
          <w:caps w:val="false"/>
          <w:smallCaps w:val="false"/>
          <w:sz w:val="28"/>
        </w:rPr>
      </w:pPr>
      <w:r>
        <w:rPr>
          <w:rFonts w:eastAsia="Times New Roman;Times;Serif"/>
          <w:b/>
          <w:i w:val="false"/>
          <w:caps w:val="false"/>
          <w:smallCaps w:val="false"/>
          <w:sz w:val="28"/>
        </w:rPr>
        <w:t>網易股份有限公司</w:t>
      </w:r>
      <w:r>
        <w:rPr>
          <w:rFonts w:eastAsia="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(incorporated in the Cayman Islands with limited liability)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9999)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ANNOUNCEMENT OF THE SECOND QUARTER 2026 RESULTS AND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RESULTS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pleased to announce the unaudited consolidated results of the Group for the three months and six months ended June 30, 2026. The Group’s unaudited consolidated financial information has been prepared in accordance with U.S. GAAP and reviewed by the audit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results announcement, “we”, “us”, and “our” refer to the Company and where the context otherwise requires,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robust performance in the first half of 2026 reflects players’ growing enthusiasm for both our newly launched and established games, underscoring our ability to create distinctive and refreshing experiences with lasting appeal,” said Mr. William Ding, Chief Executive Officer and Director of NetEase. “As we continue to strengthen both our live game operations and new title pipeline, we are sharpening our focus on original gameplay, cutting-edge technology and deeper global reach to support our enduring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will remain committed to creating original content that shapes industry trends, building evergreen franchises, and cultivating vibrant communities that sustain player engagement. Backed by disciplined execution and an expanding global presence, we aim to keep pushing creative boundaries, delivering exceptional gaming experiences and creating long-term value for our players, partners and shareholders,” Mr. Ding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rFonts w:ascii="Symbol" w:hAnsi="Symbol"/>
                <w:sz w:val="20"/>
              </w:rPr>
              <w:t>·</w:t>
            </w:r>
            <w:r>
              <w:rPr/>
              <w:t xml:space="preserve"> </w:t>
            </w:r>
          </w:p>
        </w:tc>
        <w:tc>
          <w:tcPr>
            <w:tcW w:w="100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revenues were RMB30.1 billion (US$4.4 billion), an increase of 7.9%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rFonts w:ascii="Symbol" w:hAnsi="Symbol"/>
                <w:sz w:val="20"/>
              </w:rPr>
              <w:t>·</w:t>
            </w:r>
            <w:r>
              <w:rPr/>
              <w:t xml:space="preserve"> </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Games and related value-added services net revenues were RMB25.0 billion (US$3.7 billion), an increase of 9.7%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rFonts w:ascii="Symbol" w:hAnsi="Symbol"/>
                <w:sz w:val="20"/>
              </w:rPr>
              <w:t>·</w:t>
            </w:r>
            <w:r>
              <w:rPr/>
              <w:t xml:space="preserve"> </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Youdao net revenues were RMB1.5 billion (US$216.2 million), an increase of 3.5%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rFonts w:ascii="Symbol" w:hAnsi="Symbol"/>
                <w:sz w:val="20"/>
              </w:rPr>
              <w:t>·</w:t>
            </w:r>
            <w:r>
              <w:rPr/>
              <w:t xml:space="preserve"> </w:t>
            </w:r>
          </w:p>
        </w:tc>
        <w:tc>
          <w:tcPr>
            <w:tcW w:w="100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NetEase Cloud Music net revenues were RMB2.0 billion (US$291.4 million), which was relatively stable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rFonts w:ascii="Symbol" w:hAnsi="Symbol"/>
                <w:sz w:val="20"/>
              </w:rPr>
              <w:t>·</w:t>
            </w:r>
            <w:r>
              <w:rPr/>
              <w:t xml:space="preserve"> </w:t>
            </w:r>
          </w:p>
        </w:tc>
        <w:tc>
          <w:tcPr>
            <w:tcW w:w="100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Innovative businesses and others net revenues were RMB1.6 billion (US$241.6 million), a decrease of 3.5%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rFonts w:ascii="Symbol" w:hAnsi="Symbol"/>
                <w:sz w:val="20"/>
              </w:rPr>
              <w:t>·</w:t>
            </w:r>
            <w:r>
              <w:rPr/>
              <w:t xml:space="preserve"> </w:t>
            </w:r>
          </w:p>
        </w:tc>
        <w:tc>
          <w:tcPr>
            <w:tcW w:w="100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was RMB21.2 billion (US$3.1 billion), an increase of 17.5%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rFonts w:ascii="Symbol" w:hAnsi="Symbol"/>
                <w:sz w:val="20"/>
              </w:rPr>
              <w:t>·</w:t>
            </w:r>
            <w:r>
              <w:rPr/>
              <w:t xml:space="preserve"> </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operating expenses were RMB9.1 billion (US$1.3 billion), an increase of 1.5%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9"/>
        <w:gridCol w:w="10029"/>
      </w:tblGrid>
      <w:tr>
        <w:trPr/>
        <w:tc>
          <w:tcPr>
            <w:tcW w:w="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pPr>
            <w:r>
              <w:rPr>
                <w:rFonts w:ascii="Symbol" w:hAnsi="Symbol"/>
                <w:sz w:val="20"/>
              </w:rPr>
              <w:t>·</w:t>
            </w:r>
            <w:r>
              <w:rPr/>
              <w:t xml:space="preserve"> </w:t>
            </w:r>
          </w:p>
        </w:tc>
        <w:tc>
          <w:tcPr>
            <w:tcW w:w="100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attributable to the Company’s shareholders was RMB7.0 billion (US$1.0 billion). Non-GAAP net income attributable to the Company’s shareholders was RMB7.7 billion (US$1.1 billion).</w:t>
            </w:r>
            <w:r>
              <w:rPr>
                <w:rFonts w:ascii="Times New Roman;Times;Serif" w:hAnsi="Times New Roman;Times;Serif"/>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rFonts w:ascii="Symbol" w:hAnsi="Symbol"/>
                <w:sz w:val="20"/>
              </w:rPr>
              <w:t>·</w:t>
            </w:r>
            <w:r>
              <w:rPr/>
              <w:t xml:space="preserve"> </w:t>
            </w:r>
          </w:p>
        </w:tc>
        <w:tc>
          <w:tcPr>
            <w:tcW w:w="10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Basic net income per share was US$0.32 (US$1.61 per ADS). Non-GAAP basic net income per share was US$0.36 (US$1.78 per ADS).</w:t>
            </w:r>
            <w:r>
              <w:rPr>
                <w:rFonts w:ascii="Times New Roman;Times;Serif" w:hAnsi="Times New Roman;Times;Serif"/>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 used in this announcement, non-GAAP net income attributable to the Company’s shareholders and non-GAAP basic and diluted net income per share and per ADS are defined to exclude share-based compensation expenses. See the unaudited reconciliation of GAAP and non-GAAP results within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rFonts w:ascii="Symbol" w:hAnsi="Symbol"/>
                <w:sz w:val="20"/>
              </w:rPr>
              <w:t>·</w:t>
            </w:r>
            <w:r>
              <w:rPr/>
              <w:t xml:space="preserve"> </w:t>
            </w:r>
          </w:p>
        </w:tc>
        <w:tc>
          <w:tcPr>
            <w:tcW w:w="100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revenues were RMB60.7 billion (US$8.9 billion), an increase of 7.0% compared with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rFonts w:ascii="Symbol" w:hAnsi="Symbol"/>
                <w:sz w:val="20"/>
              </w:rPr>
              <w:t>·</w:t>
            </w:r>
            <w:r>
              <w:rPr/>
              <w:t xml:space="preserve"> </w:t>
            </w:r>
          </w:p>
        </w:tc>
        <w:tc>
          <w:tcPr>
            <w:tcW w:w="100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Games and related value-added services net revenues were RMB50.7 billion (US$7.5 billion), an increase of 8.3% compared with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rFonts w:ascii="Symbol" w:hAnsi="Symbol"/>
                <w:sz w:val="20"/>
              </w:rPr>
              <w:t>·</w:t>
            </w:r>
            <w:r>
              <w:rPr/>
              <w:t xml:space="preserve"> </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Youdao net revenues were RMB2.8 billion (US$414.9 million), an increase of 3.6% compared with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rFonts w:ascii="Symbol" w:hAnsi="Symbol"/>
                <w:sz w:val="20"/>
              </w:rPr>
              <w:t>·</w:t>
            </w:r>
            <w:r>
              <w:rPr/>
              <w:t xml:space="preserve"> </w:t>
            </w:r>
          </w:p>
        </w:tc>
        <w:tc>
          <w:tcPr>
            <w:tcW w:w="100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NetEase Cloud Music net revenues were RMB4.0 billion (US$583.4 million), an increase of 3.4% compared with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rFonts w:ascii="Symbol" w:hAnsi="Symbol"/>
                <w:sz w:val="20"/>
              </w:rPr>
              <w:t>·</w:t>
            </w:r>
            <w:r>
              <w:rPr/>
              <w:t xml:space="preserve"> </w:t>
            </w:r>
          </w:p>
        </w:tc>
        <w:tc>
          <w:tcPr>
            <w:tcW w:w="100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Innovative businesses and others net revenues were RMB3.2 billion (US$469.9 million), a decrease of 4.0% compared with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rFonts w:ascii="Symbol" w:hAnsi="Symbol"/>
                <w:sz w:val="20"/>
              </w:rPr>
              <w:t>·</w:t>
            </w:r>
            <w:r>
              <w:rPr/>
              <w:t xml:space="preserve"> </w:t>
            </w:r>
          </w:p>
        </w:tc>
        <w:tc>
          <w:tcPr>
            <w:tcW w:w="100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was RMB42.4 billion (US$6.3 billion), an increase of 16.2% compared with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rFonts w:ascii="Symbol" w:hAnsi="Symbol"/>
                <w:sz w:val="20"/>
              </w:rPr>
              <w:t>·</w:t>
            </w:r>
            <w:r>
              <w:rPr/>
              <w:t xml:space="preserve"> </w:t>
            </w:r>
          </w:p>
        </w:tc>
        <w:tc>
          <w:tcPr>
            <w:tcW w:w="10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operating expenses were RMB17.7 billion (US$2.6 billion), an increase of 3.9% compared with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rFonts w:ascii="Symbol" w:hAnsi="Symbol"/>
                <w:sz w:val="20"/>
              </w:rPr>
              <w:t>·</w:t>
            </w:r>
            <w:r>
              <w:rPr/>
              <w:t xml:space="preserve"> </w:t>
            </w:r>
          </w:p>
        </w:tc>
        <w:tc>
          <w:tcPr>
            <w:tcW w:w="100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Net income attributable to the Company’s shareholders was RMB17.7 billion (US$2.6 billion). Non-GAAP net income attributable to the Company’s shareholders was RMB19.0 billion (US$2.8 billion). </w:t>
            </w:r>
            <w:r>
              <w:rPr>
                <w:rFonts w:ascii="Times New Roman;Times;Serif" w:hAnsi="Times New Roman;Times;Serif"/>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rFonts w:ascii="Symbol" w:hAnsi="Symbol"/>
                <w:sz w:val="20"/>
              </w:rPr>
              <w:t>·</w:t>
            </w:r>
            <w:r>
              <w:rPr/>
              <w:t xml:space="preserve"> </w:t>
            </w:r>
          </w:p>
        </w:tc>
        <w:tc>
          <w:tcPr>
            <w:tcW w:w="10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Basic net income per share was US$0.81 (US$4.06 per ADS). Non-GAAP basic net income per share was US$0.88 (US$4.38 per ADS).</w:t>
            </w:r>
            <w:r>
              <w:rPr>
                <w:rFonts w:ascii="Times New Roman;Times;Serif" w:hAnsi="Times New Roman;Times;Serif"/>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drive innovation across both newly launched and established titles, while further advancing our pipeline of titles in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some recent highlights from our key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Games and related value-added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Fantasy Westward Journey</w:t>
      </w:r>
      <w:r>
        <w:rPr>
          <w:rFonts w:ascii="Times New Roman;Times;Serif" w:hAnsi="Times New Roman;Times;Serif"/>
          <w:b w:val="false"/>
          <w:i w:val="false"/>
          <w:caps w:val="false"/>
          <w:smallCaps w:val="false"/>
          <w:sz w:val="20"/>
        </w:rPr>
        <w:t xml:space="preserve"> franchise, </w:t>
      </w:r>
      <w:r>
        <w:rPr>
          <w:rFonts w:ascii="Times New Roman;Times;Serif" w:hAnsi="Times New Roman;Times;Serif"/>
          <w:b w:val="false"/>
          <w:i/>
          <w:caps w:val="false"/>
          <w:smallCaps w:val="false"/>
          <w:sz w:val="20"/>
        </w:rPr>
        <w:t>Identity 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Eggy Party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Sword of Justice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Where Winds Meet</w:t>
      </w:r>
      <w:r>
        <w:rPr>
          <w:rFonts w:ascii="Times New Roman;Times;Serif" w:hAnsi="Times New Roman;Times;Serif"/>
          <w:b w:val="false"/>
          <w:i w:val="false"/>
          <w:caps w:val="false"/>
          <w:smallCaps w:val="false"/>
          <w:sz w:val="20"/>
        </w:rPr>
        <w:t xml:space="preserve"> sustained solid momentum through ongoing content updates, gameplay innovation and vibrant community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 used in this announcement, non-GAAP net income attributable to the Company’s shareholders and non- GAAP basic and diluted net income per share and per ADS are defined to exclude share-based compensation expenses. See the unaudited reconciliation of GAAP and non-GAAP results within this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advanced our global strategy and enhanced player engagement through strong live operations. For example, </w:t>
      </w:r>
      <w:r>
        <w:rPr>
          <w:rFonts w:ascii="Times New Roman;Times;Serif" w:hAnsi="Times New Roman;Times;Serif"/>
          <w:b w:val="false"/>
          <w:i/>
          <w:caps w:val="false"/>
          <w:smallCaps w:val="false"/>
          <w:sz w:val="20"/>
        </w:rPr>
        <w:t>Where Winds Meet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Marvel Rivals</w:t>
      </w:r>
      <w:r>
        <w:rPr>
          <w:rFonts w:ascii="Times New Roman;Times;Serif" w:hAnsi="Times New Roman;Times;Serif"/>
          <w:b w:val="false"/>
          <w:i w:val="false"/>
          <w:caps w:val="false"/>
          <w:smallCaps w:val="false"/>
          <w:sz w:val="20"/>
        </w:rPr>
        <w:t xml:space="preserve"> further broadened their international reach with a steady stream of fresh content and community-focused initiatives in various markets including North America and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our pipeline of new titles, </w:t>
      </w:r>
      <w:r>
        <w:rPr>
          <w:rFonts w:ascii="Times New Roman;Times;Serif" w:hAnsi="Times New Roman;Times;Serif"/>
          <w:b w:val="false"/>
          <w:i/>
          <w:caps w:val="false"/>
          <w:smallCaps w:val="false"/>
          <w:sz w:val="20"/>
        </w:rPr>
        <w:t>Sea of Remnants</w:t>
      </w:r>
      <w:r>
        <w:rPr>
          <w:rFonts w:ascii="Times New Roman;Times;Serif" w:hAnsi="Times New Roman;Times;Serif"/>
          <w:b w:val="false"/>
          <w:i w:val="false"/>
          <w:caps w:val="false"/>
          <w:smallCaps w:val="false"/>
          <w:sz w:val="20"/>
        </w:rPr>
        <w:t xml:space="preserve"> launched in China in July 2026, while development of </w:t>
      </w:r>
      <w:r>
        <w:rPr>
          <w:rFonts w:ascii="Times New Roman;Times;Serif" w:hAnsi="Times New Roman;Times;Serif"/>
          <w:b w:val="false"/>
          <w:i/>
          <w:caps w:val="false"/>
          <w:smallCaps w:val="false"/>
          <w:sz w:val="20"/>
        </w:rPr>
        <w:t>Ananta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Blood Message</w:t>
      </w:r>
      <w:r>
        <w:rPr>
          <w:rFonts w:ascii="Times New Roman;Times;Serif" w:hAnsi="Times New Roman;Times;Serif"/>
          <w:b w:val="false"/>
          <w:i w:val="false"/>
          <w:caps w:val="false"/>
          <w:smallCaps w:val="false"/>
          <w:sz w:val="20"/>
        </w:rPr>
        <w:t xml:space="preserve"> remained on track, strengthening our innovative pipeline across diverse genres, gameplay and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Youdao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Youdao advanced its AI-native strategy and deepened AI-driven innovation across its ecosystem. In the second quarter, it launched the large language model, Confucius 4, which delivers leading mathematical reasoning capabilities at lower inference costs compared to its previous version. Youdao also advanced its AI agent capabilities toward the autonomous execution of complex work and learning tasks.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Cloud Music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Cloud Music further developed its music-centric ecosystem by nurturing its distinctive community and enriching its differentiated content offering with original music, thereby driving stronger community engagement. It also further improved music-oriented monetization through continued growth in subscription-based memberships.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Innovative businesses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businesses and others remained focused on sustainable development and efficient operations, with Yanxuan maintaining leading positions on major e-commerce platforms in China across its key categories, including pet food, home scents and home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for the second quarter of 2026 were RMB30.1 billion (US$4.4 billion), compared with RMB30.6 billion and RMB27.9 billion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revenues from games and related value-added services were RMB25.0 billion (US$3.7 billion) for the second quarter of 2026, compared with RMB25.7 billion and RMB22.8 billion for the preceding quarter and the same quarter of 2025, respectively. Net revenues from the operation of online games accounted for approximately 97.7% of the segment’s net revenues for the second quarter of 2026, compared with 97.5% and 97.1% for the preceding quarter and the same quarter of 2025, respectively. The quarter-over-quarter decrease was mainly due to a slight decline in net revenues from certain self-developed and licensed games. The year-over-year increase was attributable to higher net revenues from self-developed games, such as the </w:t>
      </w:r>
      <w:r>
        <w:rPr>
          <w:rFonts w:ascii="Times New Roman;Times;Serif" w:hAnsi="Times New Roman;Times;Serif"/>
          <w:b w:val="false"/>
          <w:i/>
          <w:caps w:val="false"/>
          <w:smallCaps w:val="false"/>
          <w:sz w:val="20"/>
        </w:rPr>
        <w:t>Fantasy Westward Journey</w:t>
      </w:r>
      <w:r>
        <w:rPr>
          <w:rFonts w:ascii="Times New Roman;Times;Serif" w:hAnsi="Times New Roman;Times;Serif"/>
          <w:b w:val="false"/>
          <w:i w:val="false"/>
          <w:caps w:val="false"/>
          <w:smallCaps w:val="false"/>
          <w:sz w:val="20"/>
        </w:rPr>
        <w:t xml:space="preserve"> franchise and </w:t>
      </w:r>
      <w:r>
        <w:rPr>
          <w:rFonts w:ascii="Times New Roman;Times;Serif" w:hAnsi="Times New Roman;Times;Serif"/>
          <w:b w:val="false"/>
          <w:i/>
          <w:caps w:val="false"/>
          <w:smallCaps w:val="false"/>
          <w:sz w:val="20"/>
        </w:rPr>
        <w:t>Where Winds Meet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Youdao were RMB1.5 billion (US$216.2 million) for the second quarter of 2026, compared with RMB1.3 billion and RMB1.4 billion for the preceding quarter and the same quarter of 2025, respectively. The quarter-over-quarter and year-over-year increases were mainly attributable to higher net revenues from its learning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NetEase Cloud Music were RMB2.0 billion (US$291.4 million) for the second quarter of 2026, remaining stable compared with the preceding quarter and the same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innovative businesses and others were RMB1.6 billion (US$241.6 million) for the second quarter of 2026, compared with RMB1.5 billion and RMB1.7 billion for the preceding quarter and the same quarter of 2025, respectively. The quarter-over-quarter increase was mainly attributable to higher net revenues from e-commerce business and several other businesses included within the segment. The year-over-year decrease was mainly due to decreased net revenues from the e-commerce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second quarter of 2026 was RMB8.9 billion (US$1.3 billion), compared with RMB9.4 billion and RMB9.8 billion for the preceding quarter and the same quarter of 2025, respectively. The quarter-over-quarter decrease was mainly due to lower revenue-sharing costs. The year-over-year decrease was mainly due to lower revenue-sharing and product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second quarter of 2026 was RMB21.2 billion (US$3.1 billion), compared with RMB21.2 billion and RMB18.1 billion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second quarter of 2026 were RMB9.1 billion (US$1.3 billion), compared with RMB8.6 billion and RMB9.0 billion for the preceding quarter and the same quarter of 2025, respectively. The quarter-over-quarter increase was primarily due to increased marketing expenditures, staff-related costs and research and development expenditures. The year-over-year increase was primarily due to increased research and development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Income/(Expenses)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income/(expenses) consisted of net investment income/(loss), interest income, net exchange gains/(losses) and others. The quarter-over-quarter and year-over-year fluctuations in other income/(expenses) were mainly due to a decline in the fair value of equity security investments and impairment provisions made during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recorded a net income tax charge of RMB2.5 billion (US$362.4 million) for the second quarter of 2026, compared with RMB2.5 billion and RMB1.6 billion for the preceding quarter and the same quarter of 2025, respectively. The effective tax rate for the second quarter of 2026 was 25.5%, compared with 18.9% and 14.7% for the preceding quarter and the same quarter of 2025, respectively. The effective tax rate represents certain estimates by the Group as to the tax obligations and benefits applicable to it in each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 Income and Non-GAAP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Company’s shareholders totaled RMB7.0 billion (US$1.0 billion) for the second quarter of 2026, compared with RMB10.7 billion and RMB8.6 billion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was US$0.32 per share (US$1.61 per ADS) for the second quarter of 2026, compared with US$0.49 per share (US$2.46 per ADS) and US$0.40 per share (US$1.99 per ADS)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attributable to the Company’s shareholders totaled RMB7.7 billion (US$1.1 billion) for the second quarter of 2026, compared with RMB11.3 billion and RMB9.5 billion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basic net income was US$0.36 per share (US$1.78 per ADS) for the second quarter of 2026, compared with US$0.52 per share (US$2.60 per ADS) and US$0.44 per share (US$2.20 per ADS)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for the six months ended June 30, 2026 were RMB60.7 billion (US$8.9 billion), compared with RMB56.7 billion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revenues from games and related value-added services were RMB50.7 billion (US$7.5 billion) for the six months ended June 30, 2026, compared with RMB46.9 billion for the same period of 2025. Net revenues from the operation of online games accounted for approximately 97.6% of the segment’s net revenues for the six months ended June 30, 2026, compared with approximately 97.3% for the same period of 2025. The increase was attributable to higher net revenues from self-developed games, such as the </w:t>
      </w:r>
      <w:r>
        <w:rPr>
          <w:rFonts w:ascii="Times New Roman;Times;Serif" w:hAnsi="Times New Roman;Times;Serif"/>
          <w:b w:val="false"/>
          <w:i/>
          <w:caps w:val="false"/>
          <w:smallCaps w:val="false"/>
          <w:sz w:val="20"/>
        </w:rPr>
        <w:t xml:space="preserve">Fantasy Westward Journey </w:t>
      </w:r>
      <w:r>
        <w:rPr>
          <w:rFonts w:ascii="Times New Roman;Times;Serif" w:hAnsi="Times New Roman;Times;Serif"/>
          <w:b w:val="false"/>
          <w:i w:val="false"/>
          <w:caps w:val="false"/>
          <w:smallCaps w:val="false"/>
          <w:sz w:val="20"/>
        </w:rPr>
        <w:t xml:space="preserve">franchise, </w:t>
      </w:r>
      <w:r>
        <w:rPr>
          <w:rFonts w:ascii="Times New Roman;Times;Serif" w:hAnsi="Times New Roman;Times;Serif"/>
          <w:b w:val="false"/>
          <w:i/>
          <w:caps w:val="false"/>
          <w:smallCaps w:val="false"/>
          <w:sz w:val="20"/>
        </w:rPr>
        <w:t>Where Winds Meet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Eggy 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Youdao were RMB2.8 billion (US$414.9 million) for the six months ended June 30, 2026, compared with RMB2.7 billion for the same period of 2025. The increase was mainly attributable to higher net revenues from its learning services and online marketing services, partially offset by a decrease in net revenues from smart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NetEase Cloud Music were RMB4.0 billion (US$583.4 million) for the six months ended June 30, 2026, compared with RMB3.8 billion for the same period of 2025. The increase was mainly attributable to higher net revenues from online music services, driven by growth in sales of membership subscriptions.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innovative businesses and others were RMB3.2 billion (US$469.9 million) for the six months ended June 30, 2026, compared with RMB3.3 billion for the same period of 2025. The decrease was mainly due to a decline in net revenues from the e-commerce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six months ended June 30, 2026 was RMB18.3 billion (US$2.7 billion), compared with RMB20.2 billion for the same period of 2025. The decrease was mainly due to lower revenue-sharing and product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six months ended June 30, 2026 was RMB42.4 billion (US$6.3 billion), compared with RMB36.5 billion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six months ended June 30, 2026 were RMB17.7 billion (US$2.6 billion), compared with RMB17.0 billion for the same period of 2025. The increase was primarily attributable to higher marketing and research and development expenditures for games and related value-added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Income/(Expenses)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income/(expenses) consisted of net investment income/(loss), interest income, net exchange gains/(losses) and others. The fluctuation in other income/(expenses) was mainly due to a decline in the fair value of equity security investments, increased net exchange losses, and impairment provisions made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recorded a net income tax charge of RMB5.0 billion (US$734.3 million) for the six months ended June 30, 2026, compared with RMB3.5 billion for the same period of 2025. The effective tax rate for the six months ended June 30, 2026 was 21.7%, compared with 15.0% for the same period of 2025. The effective tax rate represents certain estimates by the Group as to the tax obligations and benefits applicable to it in each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 Income and Non-GAAP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Company’s shareholders totaled RMB17.7 billion (US$2.6 billion) for the six months ended June 30, 2026, compared with RMB18.9 billion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was US$0.81 per share (US$4.06 per ADS) for the six months ended June 30, 2026, compared with US$0.88 per share (US$4.38 per ADS)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attributable to the Company’s shareholders totaled RMB19.0 billion (US$2.8 billion) for the six months ended June 30, 2026, compared with RMB20.8 billion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basic net income was US$0.88 per share (US$4.38 per ADS) for the six months ended June 30, 2026, compared with US$0.96 per share (US$4.81 per ADS)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net cash (total cash and cash equivalents, current and non-current time deposits and restricted cash, as well as short-term investments balance, minus loans) totaled RMB167.5 billion (US$24.7 billion), compared with RMB163.5 billion as of December 31, 2025. Net cash provided by operating activities was RMB10.0 billion (US$1.5 billion) for the second quarter of 2026, compared with RMB13.7 billion and RMB10.9 billion for the preceding quarter and the second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dollar (US$) amounts disclosed in this announcement are presented solely for the convenience of the reader. The percentages stated are calculated based on RMB.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Renminbi (RMB) into US$ is based on the noon buying rate of US$1.00 = RMB6.7851 on the last trading day of June 2026 (June 30, 2026) as set forth in the H.10 statistical release of the U.S. Federal Reserve Board. No representation is made that the RMB amounts could have been, or could be, converted into US$ at that rate on June 30, 2026, or at any other certain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NetEase’s management team will host a teleconference call with a simultaneous webcast at 8:00 a.m. Eastern Time on Thursday, August 20, 2026 (Beijing/Hong Kong Time: 8:00 p.m., Thursday, August 20, 2026). NetEase’s management will be on the call to discuss the results and answer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parties may participate in the conference call by dialing 1-914-202-3258 and providing conference ID: 10056362, 15 minutes prior to the initiation of the call. A replay of the call will be available by dialing 1-855-883-1031 and entering PIN: 10056362. The replay will be available through 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call will be webcast live, and the replay will be available for 12 months. Both will be available on NetEase’s Investor Relations website at </w:t>
      </w:r>
      <w:r>
        <w:rPr>
          <w:rFonts w:ascii="Times New Roman;Times;Serif" w:hAnsi="Times New Roman;Times;Serif"/>
          <w:b w:val="false"/>
          <w:i w:val="false"/>
          <w:caps w:val="false"/>
          <w:smallCaps w:val="false"/>
          <w:sz w:val="20"/>
          <w:u w:val="single"/>
        </w:rPr>
        <w:t>http://ir.netease.com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NETEASE,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Inc. (NASDAQ: NTES and HKEX: 9999, “NetEase”) is a leading internet and game services provider centered around premium content. With extensive offerings across its expanding gaming ecosystem, the Company develops and operates some of the most popular and longest-running mobile and PC games available in China and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Powered by one of the largest in-house game R&amp;D teams focused on mobile, PC and console, NetEase creates superior gaming experiences, inspires players, and passionately delivers value for its thriving community worldwide. By infusing play with culture, and education with technology, NetEase transforms gaming into a meaningful vehicle to build a more entertaining and enlightened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Beyond games, NetEase service offerings include its majority-controlled subsidiaries </w:t>
      </w:r>
      <w:r>
        <w:rPr>
          <w:rFonts w:ascii="Times New Roman;Times;Serif" w:hAnsi="Times New Roman;Times;Serif"/>
          <w:b w:val="false"/>
          <w:i/>
          <w:caps w:val="false"/>
          <w:smallCaps w:val="false"/>
          <w:sz w:val="20"/>
        </w:rPr>
        <w:t>Youdao</w:t>
      </w:r>
      <w:r>
        <w:rPr>
          <w:rFonts w:ascii="Times New Roman;Times;Serif" w:hAnsi="Times New Roman;Times;Serif"/>
          <w:b w:val="false"/>
          <w:i w:val="false"/>
          <w:caps w:val="false"/>
          <w:smallCaps w:val="false"/>
          <w:sz w:val="20"/>
        </w:rPr>
        <w:t xml:space="preserve"> (NYSE: DAO), an intelligent learning and advertising solutions provider, and </w:t>
      </w:r>
      <w:r>
        <w:rPr>
          <w:rFonts w:ascii="Times New Roman;Times;Serif" w:hAnsi="Times New Roman;Times;Serif"/>
          <w:b w:val="false"/>
          <w:i/>
          <w:caps w:val="false"/>
          <w:smallCaps w:val="false"/>
          <w:sz w:val="20"/>
        </w:rPr>
        <w:t>NetEase Cloud Music</w:t>
      </w:r>
      <w:r>
        <w:rPr>
          <w:rFonts w:ascii="Times New Roman;Times;Serif" w:hAnsi="Times New Roman;Times;Serif"/>
          <w:b w:val="false"/>
          <w:i w:val="false"/>
          <w:caps w:val="false"/>
          <w:smallCaps w:val="false"/>
          <w:sz w:val="20"/>
        </w:rPr>
        <w:t xml:space="preserve"> (HKEX: 9899), a well-known online music platform featuring a vibrant content community, as well as </w:t>
      </w:r>
      <w:r>
        <w:rPr>
          <w:rFonts w:ascii="Times New Roman;Times;Serif" w:hAnsi="Times New Roman;Times;Serif"/>
          <w:b w:val="false"/>
          <w:i/>
          <w:caps w:val="false"/>
          <w:smallCaps w:val="false"/>
          <w:sz w:val="20"/>
        </w:rPr>
        <w:t>Yanxuan</w:t>
      </w:r>
      <w:r>
        <w:rPr>
          <w:rFonts w:ascii="Times New Roman;Times;Serif" w:hAnsi="Times New Roman;Times;Serif"/>
          <w:b w:val="false"/>
          <w:i w:val="false"/>
          <w:caps w:val="false"/>
          <w:smallCaps w:val="false"/>
          <w:sz w:val="20"/>
        </w:rPr>
        <w:t>, NetEase’s private-label consumer lifestyle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http://ir.netease.com/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for Media and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ir@service.netease.com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expressions. In addition, statements that are not historical facts, including statements about NetEase’s strategies and business plans, its expectations regarding the growth of its business and its revenue and the quotations from management in this announcement are or contain forward-looking statements. NetEase may also make forward-looking statements in its periodic reports to the U.S. Securities and Exchange Commission (the “SEC”), in announcements made on the website of The Stock Exchange of Hong Kong Limited (the “Hong Kong Stock Exchange”), in press releases and other written materials and in oral statements made by its officers, directors or employees to third parties. The accuracy of these statements may be impacted by a number of business risks and uncertainties that could cause actual results to differ materially from those projected or anticipated, including risks related to: the risk that the online games market will not continue to grow or that NetEase will not be able to maintain its position in that market in China or globally; risks associated with NetEase’s business and operating strategies and its ability to implement such strategies; NetEase’s ability to develop and manage its operations and business; competition for, among other things, capital, technology and skilled personnel; potential changes in regulatory environment in the markets where NetEase operates, including policy or rule changes on taxation; the risk that NetEase may not be able to continuously develop new and creative online services or that NetEase will not be able to set, or follow in a timely manner, trends in the market; risks related to evolving economic cycles and geopolitical tensions, including the direct or indirect impacts of national trade, investment, protectionist, tax or other laws or policies as well as export controls and economic or trade sanctions; risks related to the expansion of NetEase’s businesses and operations internationally; risks associated with cybersecurity threats or incidents; and fluctuations in foreign currency exchange rates that could adversely affect NetEase’s business and financial results. Further information regarding these and other risks is included in NetEase’s filings with the SEC and announcements on the website of the Hong Kong Stock Exchange. NetEase does not undertake any obligation to update this forward-looking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considers and uses non-GAAP financial measures, such as non-GAAP net income attributable to the Company’s shareholders and non-GAAP basic and diluted net income per ADS and per share, as supplemental metrics in reviewing and assessing its operating performance and formulating its business plan. The presentation of non-GAAP financial measures is not intended to be considered in isolation or as a substitute for the financial information prepared and presented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defines non-GAAP net income attributable to the Company’s shareholders as net income attributable to the Company’s shareholders excluding share-based compensation expenses. Non-GAAP net income attributable to the Company’s shareholders enables NetEase’s management to assess its operating results without considering the impact of share-based compensation expenses. NetEase believes that this non-GAAP financial measure provides useful information to investors in understanding and evaluating the Company’s current operating performance and prospects in the same manner as management does, if they so choose. NetEase also believes that the use of this non-GAAP financial measure facilitates investors’ assessment of its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are not defined under U.S. GAAP and are not presented in accordance with U.S. GAAP. Non-GAAP financial measures have limitations as analytical tools. One of the key limitations of using non-GAAP net income attributable to the Company’s shareholders is that it does not reflect all items of expense/income that affect the Company’s operations. Share-based compensation expenses have been and may continue to be incurred in NetEase’s business and are not reflected in the presentation of non-GAAP net income attributable to the Company’s shareholders. In addition, the non-GAAP financial measures NetEase uses may differ from the non-GAAP measures used by other companies, including peer companies, and therefore their comparability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compensates for these limitations by reconciling non-GAAP net income attributable to the Company’s shareholders to the nearest U.S. GAAP performance measure, all of which should be considered when evaluating the Company’s performance. NetEase encourages you to review its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reconciliation of GAAP and non-GAAP results is set out as follows in RMB and US$ (in thousands, except per share data or per ADS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0"/>
        <w:gridCol w:w="60"/>
        <w:gridCol w:w="60"/>
        <w:gridCol w:w="845"/>
        <w:gridCol w:w="60"/>
        <w:gridCol w:w="60"/>
        <w:gridCol w:w="60"/>
        <w:gridCol w:w="950"/>
        <w:gridCol w:w="60"/>
        <w:gridCol w:w="60"/>
        <w:gridCol w:w="60"/>
        <w:gridCol w:w="845"/>
        <w:gridCol w:w="60"/>
        <w:gridCol w:w="60"/>
        <w:gridCol w:w="60"/>
        <w:gridCol w:w="845"/>
        <w:gridCol w:w="60"/>
        <w:gridCol w:w="60"/>
        <w:gridCol w:w="60"/>
        <w:gridCol w:w="950"/>
        <w:gridCol w:w="60"/>
        <w:gridCol w:w="60"/>
        <w:gridCol w:w="60"/>
        <w:gridCol w:w="950"/>
        <w:gridCol w:w="60"/>
        <w:gridCol w:w="60"/>
        <w:gridCol w:w="60"/>
        <w:gridCol w:w="845"/>
        <w:gridCol w:w="75"/>
      </w:tblGrid>
      <w:tr>
        <w:trPr/>
        <w:tc>
          <w:tcPr>
            <w:tcW w:w="2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6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8,601,010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10,674,106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6,980,656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18,902,167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17,654,762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2,601,989</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930,921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600,718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766,058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1,366,776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201,438</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attributable to the Company’s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9,531,931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11,274,824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7,746,714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1,141,724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20,768,658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19,021,538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2,803,427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27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42"/>
              <w:jc w:val="left"/>
              <w:rPr/>
            </w:pPr>
            <w:r>
              <w:rPr/>
              <w:t> </w:t>
            </w:r>
          </w:p>
        </w:tc>
      </w:tr>
      <w:tr>
        <w:trPr/>
        <w:tc>
          <w:tcPr>
            <w:tcW w:w="2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0.88</w:t>
            </w:r>
          </w:p>
        </w:tc>
        <w:tc>
          <w:tcPr>
            <w:tcW w:w="75"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27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42"/>
              <w:jc w:val="left"/>
              <w:rPr/>
            </w:pPr>
            <w:r>
              <w:rPr/>
              <w:t> </w:t>
            </w:r>
          </w:p>
        </w:tc>
      </w:tr>
      <w:tr>
        <w:trPr/>
        <w:tc>
          <w:tcPr>
            <w:tcW w:w="2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75"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NETEASE,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BALANCE SHEETS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084" w:type="dxa"/>
        <w:jc w:val="left"/>
        <w:tblInd w:w="0" w:type="dxa"/>
        <w:tblLayout w:type="fixed"/>
        <w:tblCellMar>
          <w:top w:w="0" w:type="dxa"/>
          <w:left w:w="0" w:type="dxa"/>
          <w:bottom w:w="0" w:type="dxa"/>
          <w:right w:w="0" w:type="dxa"/>
        </w:tblCellMar>
      </w:tblPr>
      <w:tblGrid>
        <w:gridCol w:w="6350"/>
        <w:gridCol w:w="60"/>
        <w:gridCol w:w="62"/>
        <w:gridCol w:w="1112"/>
        <w:gridCol w:w="80"/>
        <w:gridCol w:w="60"/>
        <w:gridCol w:w="60"/>
        <w:gridCol w:w="1055"/>
        <w:gridCol w:w="80"/>
        <w:gridCol w:w="60"/>
        <w:gridCol w:w="60"/>
        <w:gridCol w:w="950"/>
        <w:gridCol w:w="95"/>
      </w:tblGrid>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111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ind w:left="0" w:right="0" w:hanging="144"/>
              <w:jc w:val="center"/>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47,167,904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22,814,542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3,362,447</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92,639,378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101,978,645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15,029,792</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4,319,344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4,447,483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655,478</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5,337,819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5,746,080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846,867</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689,183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511,896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75,444</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7,658,346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5,965,371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879,188</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22,803,503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50,599,638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7,457,464</w:t>
            </w:r>
          </w:p>
        </w:tc>
        <w:tc>
          <w:tcPr>
            <w:tcW w:w="95" w:type="dxa"/>
            <w:tcBorders/>
            <w:shd w:fill="CCEEFF" w:val="clear"/>
            <w:vAlign w:val="center"/>
          </w:tcPr>
          <w:p>
            <w:pPr>
              <w:pStyle w:val="TableContents"/>
              <w:bidi w:val="0"/>
              <w:spacing w:before="0" w:after="283"/>
              <w:ind w:left="0" w:right="0" w:hanging="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180,615,477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192,063,655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28,306,680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8,425,327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8,180,276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1,205,623</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4,047,355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3,982,017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586,877</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2,831,423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2,695,809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397,313</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38,319</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18,462,883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21,336,343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3,144,588</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4,033,702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3,686,261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543,287</w:t>
            </w:r>
          </w:p>
        </w:tc>
        <w:tc>
          <w:tcPr>
            <w:tcW w:w="95" w:type="dxa"/>
            <w:tcBorders/>
            <w:shd w:fill="CCEEFF" w:val="clear"/>
            <w:vAlign w:val="center"/>
          </w:tcPr>
          <w:p>
            <w:pPr>
              <w:pStyle w:val="TableContents"/>
              <w:bidi w:val="0"/>
              <w:spacing w:before="0" w:after="283"/>
              <w:ind w:left="0" w:right="0" w:hanging="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40,799,583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40,144,481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5,916,563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221,415,060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232,208,136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34,223,243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Redeemable noncontrolling interests and Shareholders’ equity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643,164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702,263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103,501</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 and welfare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4,889,708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3,764,789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554,861</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3,874,143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3,720,498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548,334</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6,384,417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12,604,170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1,857,625</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20,514,540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19,297,191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2,844,054</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16,062,984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15,529,221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2,288,724</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52,368,956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55,618,132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8,197,099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2,637,258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3,727,316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549,338</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1,304,837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1,300,994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191,742</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3,942,095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5,028,310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741,080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56,311,051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60,646,442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8,938,179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9,837,460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8,781,946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1,294,299</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(1,518,573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(1,617,961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(238,458</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362,172</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(237,770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(1,644,123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(242,314</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149,755,000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159,110,675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23,450,011</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Inc.’s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160,296,119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167,090,540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24,626,098</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4,716,571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644,974</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165,012,690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171,466,756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25,271,072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redeemable noncontrolling interests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221,415,060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232,208,136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34,223,243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NETEASE,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INCOME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 or per ADS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3"/>
        <w:gridCol w:w="60"/>
        <w:gridCol w:w="60"/>
        <w:gridCol w:w="830"/>
        <w:gridCol w:w="80"/>
        <w:gridCol w:w="60"/>
        <w:gridCol w:w="60"/>
        <w:gridCol w:w="830"/>
        <w:gridCol w:w="80"/>
        <w:gridCol w:w="60"/>
        <w:gridCol w:w="60"/>
        <w:gridCol w:w="830"/>
        <w:gridCol w:w="80"/>
        <w:gridCol w:w="60"/>
        <w:gridCol w:w="60"/>
        <w:gridCol w:w="800"/>
        <w:gridCol w:w="80"/>
        <w:gridCol w:w="60"/>
        <w:gridCol w:w="60"/>
        <w:gridCol w:w="890"/>
        <w:gridCol w:w="80"/>
        <w:gridCol w:w="60"/>
        <w:gridCol w:w="60"/>
        <w:gridCol w:w="890"/>
        <w:gridCol w:w="80"/>
        <w:gridCol w:w="60"/>
        <w:gridCol w:w="60"/>
        <w:gridCol w:w="800"/>
        <w:gridCol w:w="82"/>
      </w:tblGrid>
      <w:tr>
        <w:trPr/>
        <w:tc>
          <w:tcPr>
            <w:tcW w:w="2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4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Six Months Ended</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w:t>
            </w:r>
          </w:p>
        </w:tc>
        <w:tc>
          <w:tcPr>
            <w:tcW w:w="82"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27,891,664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30,591,281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30,106,546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4,437,156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56,720,209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60,697,827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8,945,753</w:t>
            </w:r>
          </w:p>
        </w:tc>
        <w:tc>
          <w:tcPr>
            <w:tcW w:w="82"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(9,839,182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(9,374,209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(8,889,221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(1,310,109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(20,188,321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(18,263,430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(2,691,697</w:t>
            </w:r>
          </w:p>
        </w:tc>
        <w:tc>
          <w:tcPr>
            <w:tcW w:w="82"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18,052,482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21,217,072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21,217,325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3,127,047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36,531,888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42,434,397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6,254,056</w:t>
            </w:r>
          </w:p>
        </w:tc>
        <w:tc>
          <w:tcPr>
            <w:tcW w:w="82"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44"/>
              <w:jc w:val="left"/>
              <w:rPr/>
            </w:pPr>
            <w:r>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(3,578,174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(3,441,485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(3,678,809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(542,189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(6,273,771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(7,120,294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(1,049,401</w:t>
            </w:r>
          </w:p>
        </w:tc>
        <w:tc>
          <w:tcPr>
            <w:tcW w:w="82"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(1,056,578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(636,597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(805,268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(118,682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(2,012,915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(1,441,865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(212,505</w:t>
            </w:r>
          </w:p>
        </w:tc>
        <w:tc>
          <w:tcPr>
            <w:tcW w:w="82"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(4,356,646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(4,482,157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(4,643,910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(684,428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(8,742,959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(9,126,067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(1,345,016</w:t>
            </w:r>
          </w:p>
        </w:tc>
        <w:tc>
          <w:tcPr>
            <w:tcW w:w="82"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(8,991,398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(8,560,239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(9,127,987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(1,345,299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(17,029,645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(17,688,226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(2,606,922</w:t>
            </w:r>
          </w:p>
        </w:tc>
        <w:tc>
          <w:tcPr>
            <w:tcW w:w="82"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9,061,084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12,656,833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12,089,338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1,781,748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19,502,243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24,746,171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3,647,134</w:t>
            </w:r>
          </w:p>
        </w:tc>
        <w:tc>
          <w:tcPr>
            <w:tcW w:w="82"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 income/(expenses):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44"/>
              <w:jc w:val="left"/>
              <w:rPr/>
            </w:pPr>
            <w:r>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Investment income/(loss),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328,444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(2,953,671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(435,317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1,021,195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(2,948,199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(434,511</w:t>
            </w:r>
          </w:p>
        </w:tc>
        <w:tc>
          <w:tcPr>
            <w:tcW w:w="82"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953,490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890,267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863,201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2,014,376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1,753,468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258,429</w:t>
            </w:r>
          </w:p>
        </w:tc>
        <w:tc>
          <w:tcPr>
            <w:tcW w:w="82"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Exchange gains/(losses),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114,037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(622,108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(436,492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(64,331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115,840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(1,058,600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(156,018</w:t>
            </w:r>
          </w:p>
        </w:tc>
        <w:tc>
          <w:tcPr>
            <w:tcW w:w="82"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192,167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438,978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62,858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447,482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501,836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73,961</w:t>
            </w:r>
          </w:p>
        </w:tc>
        <w:tc>
          <w:tcPr>
            <w:tcW w:w="82"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 before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10,649,222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13,369,442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9,625,234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1,418,584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23,101,136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22,994,676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3,388,995</w:t>
            </w:r>
          </w:p>
        </w:tc>
        <w:tc>
          <w:tcPr>
            <w:tcW w:w="82"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(1,560,757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(2,523,838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(2,458,674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(362,364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(3,465,900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(4,982,512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(734,331</w:t>
            </w:r>
          </w:p>
        </w:tc>
        <w:tc>
          <w:tcPr>
            <w:tcW w:w="82"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9,088,465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10,845,604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7,166,560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1,056,220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19,635,236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18,012,164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2,654,664</w:t>
            </w:r>
          </w:p>
        </w:tc>
        <w:tc>
          <w:tcPr>
            <w:tcW w:w="82"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Accretion of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82"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(486,404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(170,394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(184,817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(730,969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(355,211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(52,352</w:t>
            </w:r>
          </w:p>
        </w:tc>
        <w:tc>
          <w:tcPr>
            <w:tcW w:w="82"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 attributable to the Company’s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8,601,010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10,674,106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6,980,656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1,028,821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18,902,167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17,654,762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2,601,989</w:t>
            </w:r>
          </w:p>
        </w:tc>
        <w:tc>
          <w:tcPr>
            <w:tcW w:w="82"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44"/>
              <w:jc w:val="left"/>
              <w:rPr/>
            </w:pPr>
            <w:r>
              <w:rPr/>
              <w:t> </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9,088,465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10,845,604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7,166,560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1,056,220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19,635,236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18,012,164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2,654,664</w:t>
            </w:r>
          </w:p>
        </w:tc>
        <w:tc>
          <w:tcPr>
            <w:tcW w:w="82"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44"/>
              <w:jc w:val="left"/>
              <w:rPr/>
            </w:pPr>
            <w:r>
              <w:rPr/>
              <w:t> </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(389,857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(728,683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(770,419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(113,546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(628,819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(1,499,102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(220,940</w:t>
            </w:r>
          </w:p>
        </w:tc>
        <w:tc>
          <w:tcPr>
            <w:tcW w:w="82"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8,698,608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10,116,921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6,396,141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942,674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19,006,417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16,513,062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2,433,724</w:t>
            </w:r>
          </w:p>
        </w:tc>
        <w:tc>
          <w:tcPr>
            <w:tcW w:w="82"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Comprehensive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(470,857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(121,843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(140,619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(690,158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(262,462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(38,682</w:t>
            </w:r>
          </w:p>
        </w:tc>
        <w:tc>
          <w:tcPr>
            <w:tcW w:w="82"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 income attributable to the Company’s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8,227,751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9,995,078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6,255,522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921,949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18,316,259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16,250,600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2,395,042</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44"/>
              <w:jc w:val="left"/>
              <w:rPr/>
            </w:pPr>
            <w:r>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42"/>
              <w:jc w:val="left"/>
              <w:rPr/>
            </w:pPr>
            <w:r>
              <w:rPr/>
              <w:t> </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0.81</w:t>
            </w:r>
          </w:p>
        </w:tc>
        <w:tc>
          <w:tcPr>
            <w:tcW w:w="82"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44"/>
              <w:jc w:val="left"/>
              <w:rPr/>
            </w:pPr>
            <w:r>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42"/>
              <w:jc w:val="left"/>
              <w:rPr/>
            </w:pPr>
            <w:r>
              <w:rPr/>
              <w:t> </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4.06</w:t>
            </w:r>
          </w:p>
        </w:tc>
        <w:tc>
          <w:tcPr>
            <w:tcW w:w="82"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44"/>
              <w:jc w:val="left"/>
              <w:rPr/>
            </w:pPr>
            <w:r>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 average number of ordinary shares used in calculating net income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42"/>
              <w:jc w:val="left"/>
              <w:rPr/>
            </w:pPr>
            <w:r>
              <w:rPr/>
              <w:t> </w:t>
            </w:r>
          </w:p>
        </w:tc>
      </w:tr>
      <w:tr>
        <w:trPr/>
        <w:tc>
          <w:tcPr>
            <w:tcW w:w="2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3,188,634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3,198,123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3,203,046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3,203,046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3,181,307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3,200,598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3,200,598</w:t>
            </w:r>
          </w:p>
        </w:tc>
        <w:tc>
          <w:tcPr>
            <w:tcW w:w="82"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3,214,681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3,227,325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3,221,637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3,221,637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3,210,563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3,224,495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3,224,495</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NETEASE, INC.</w:t>
      </w:r>
      <w:r>
        <w:rPr>
          <w:rFonts w:ascii="Times New Roman;Times;Serif" w:hAnsi="Times New Roman;Times;Serif"/>
          <w:b w:val="false"/>
          <w:i w:val="false"/>
          <w:caps w:val="false"/>
          <w:smallCaps w:val="false"/>
          <w:sz w:val="20"/>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0"/>
        <w:gridCol w:w="60"/>
        <w:gridCol w:w="60"/>
        <w:gridCol w:w="890"/>
        <w:gridCol w:w="80"/>
        <w:gridCol w:w="60"/>
        <w:gridCol w:w="60"/>
        <w:gridCol w:w="890"/>
        <w:gridCol w:w="80"/>
        <w:gridCol w:w="60"/>
        <w:gridCol w:w="60"/>
        <w:gridCol w:w="890"/>
        <w:gridCol w:w="80"/>
        <w:gridCol w:w="60"/>
        <w:gridCol w:w="60"/>
        <w:gridCol w:w="800"/>
        <w:gridCol w:w="80"/>
        <w:gridCol w:w="60"/>
        <w:gridCol w:w="60"/>
        <w:gridCol w:w="890"/>
        <w:gridCol w:w="80"/>
        <w:gridCol w:w="60"/>
        <w:gridCol w:w="60"/>
        <w:gridCol w:w="890"/>
        <w:gridCol w:w="80"/>
        <w:gridCol w:w="60"/>
        <w:gridCol w:w="60"/>
        <w:gridCol w:w="890"/>
        <w:gridCol w:w="95"/>
      </w:tblGrid>
      <w:tr>
        <w:trPr/>
        <w:tc>
          <w:tcPr>
            <w:tcW w:w="2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3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w:t>
            </w:r>
          </w:p>
        </w:tc>
        <w:tc>
          <w:tcPr>
            <w:tcW w:w="9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9,088,465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10,845,604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7,166,560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1,056,220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19,635,236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18,012,164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2,654,664</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428,427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430,583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439,439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64,765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909,188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870,022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128,225</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Fair value changes of equity security, other investments and financial instruments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55,715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1,117,717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2,023,477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298,224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(502,784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3,141,194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462,955</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losses on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161,463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344,871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1,281,917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188,931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250,534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1,626,788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239,759</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946,395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616,180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781,656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1,898,267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1,397,836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206,015</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Allowance for expected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1,183</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Gains on disposal of property, equipment and 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(13,983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(2,144</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Unrealized exchange (gains)/losses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(165,662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643,942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487,982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71,920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(194,115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1,131,924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166,825</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(Gains)/losses on disposal of 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(141,078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(1,071,442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(129,403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(1,065,892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(157,093</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(853,764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532,257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693,742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(525,492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1,225,999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180,690</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of results on equity method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442,575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96,645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539,220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79,471</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Fair value changes of 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(344,604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(385,395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(372,234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(54,861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(546,213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(757,629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(111,661</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953,295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(1,188,837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726,762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(135,665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(462,075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(68,101</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(73,944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143,099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34,048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177,147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26,108</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Prepayments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583,484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288,306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14,640</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119,644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134,445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(105,340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(28,432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4,290</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Salary and welfare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920,662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(2,253,559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1,107,729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163,259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(1,164,449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(1,145,830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(168,874</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(764,372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1,895,324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(2,038,642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(300,459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1,031,751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(143,318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(21,122</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(718,719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1,384,445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(2,511,144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(370,097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1,807,479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(1,126,699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(166,055</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Accrued liabilities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530,718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184,272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24,057</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10,861,863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13,733,071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9,972,929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1,469,827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22,968,515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23,706,000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3,493,832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Purchase of property, equipment and 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(189,842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(312,148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(643,913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(330,933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(48,774</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sale of property, equipment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21,499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2,389</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Purchase of intangible assets, content and licensed copyrights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(313,349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(290,019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(61,554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(612,120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(351,573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(51,815</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changes of short-term investments with terms of three months or less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776,428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(15,766,308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(1,594,496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(5,362,128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(17,360,804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(2,558,666</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Purchase of short-term investments with terms over three months and debt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(5,800,000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(12,851,707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(1,894,107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(8,770,000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(18,736,707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(2,761,449</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maturities of short-term investments with terms over three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5,745,454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4,861,483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3,515,814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518,167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8,454,055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8,377,297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1,234,661</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Investment in equity method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(100,986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(94,021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(3,040,753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(448,152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(155,089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(3,134,774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(462,009</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Investment in other equity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(2,640,655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(3,110,374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(453,871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(66,892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(2,677,518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(3,564,245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(525,304</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disposal of 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784,855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1,353,947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50,733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862,283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1,404,680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207,024</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Placement/rollover of matured time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(27,980,605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(30,608,133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(50,216,128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(7,400,941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(77,582,412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(80,824,261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(11,912,022</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maturities of time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33,617,510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42,018,869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30,056,765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4,429,819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77,543,992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72,075,634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10,622,634</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Change in other long-term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65,909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1,034</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cash provided by/(used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3,892,942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(7,764,122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(34,658,334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(5,108,006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(8,948,060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(42,422,456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(6,252,297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changes from loans with terms of three months or less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2,017,570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1,182,383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420,940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62,039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(236,845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1,603,323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236,300</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of loans with terms over three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6,134,520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1,326,090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195,441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3,978,550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7,460,610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1,099,558</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Payment of loans with terms over three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(1,804,730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(2,620,900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(4,740,407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(2,620,900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(386,273</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Dividends paid to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(3,082,122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(5,156,320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(3,138,873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(462,613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(8,666,654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(8,295,193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(1,222,560</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amounts received/(paid) related to capital contribution from or repurchase of noncontrolling interests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42,400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(2,733</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amounts paid related to repurchase of NetEase’s ADSs/purchase of subsidiaries’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(355,563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(1,314,003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(1,795,596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(264,638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(659,164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(3,109,599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(458,298</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(1,951,445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(1,797,738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(3,182,565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(469,053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(10,239,603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(4,980,303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(734,006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Effect of exchange rate changes on cash, cash equivalents and restricted cash held in foreign currencies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(340,829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(187,753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(88,681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(528,582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(77,903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increase/(decrease)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12,771,611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3,830,382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(28,055,723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(4,134,903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3,692,171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(24,225,341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(3,570,374</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cash equivalents and restricted cash, at the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45,395,483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51,491,141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55,321,523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8,153,384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54,474,923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51,491,141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7,588,855</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cash equivalents and restricted cash, at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58,167,094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55,321,523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27,265,800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4,018,481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58,167,094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27,265,800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4,018,481</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Cash paid for income taxes,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2,184,556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1,464,650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2,487,225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366,572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3,391,111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3,951,875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582,434</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Cash paid for interest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78,326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25,374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161,790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103,700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15,283</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6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Supplemental schedule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Fixed asset purchases financed by 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744,596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463,033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522,371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76,988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744,596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522,371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76,988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NETEASE,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SEGMENT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0"/>
        <w:gridCol w:w="60"/>
        <w:gridCol w:w="60"/>
        <w:gridCol w:w="950"/>
        <w:gridCol w:w="80"/>
        <w:gridCol w:w="60"/>
        <w:gridCol w:w="60"/>
        <w:gridCol w:w="950"/>
        <w:gridCol w:w="80"/>
        <w:gridCol w:w="60"/>
        <w:gridCol w:w="60"/>
        <w:gridCol w:w="950"/>
        <w:gridCol w:w="80"/>
        <w:gridCol w:w="60"/>
        <w:gridCol w:w="60"/>
        <w:gridCol w:w="905"/>
        <w:gridCol w:w="80"/>
        <w:gridCol w:w="60"/>
        <w:gridCol w:w="60"/>
        <w:gridCol w:w="1010"/>
        <w:gridCol w:w="80"/>
        <w:gridCol w:w="60"/>
        <w:gridCol w:w="60"/>
        <w:gridCol w:w="1010"/>
        <w:gridCol w:w="80"/>
        <w:gridCol w:w="60"/>
        <w:gridCol w:w="60"/>
        <w:gridCol w:w="905"/>
        <w:gridCol w:w="85"/>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8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60"/>
              <w:jc w:val="left"/>
              <w:rPr/>
            </w:pPr>
            <w:r>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Games and related value-added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22,806,459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25,712,975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25,022,788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3,687,903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46,854,466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50,735,763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7,477,527</w:t>
            </w:r>
          </w:p>
        </w:tc>
        <w:tc>
          <w:tcPr>
            <w:tcW w:w="85" w:type="dxa"/>
            <w:tcBorders/>
            <w:shd w:fill="FFFFFF" w:val="clear"/>
            <w:vAlign w:val="center"/>
          </w:tcPr>
          <w:p>
            <w:pPr>
              <w:pStyle w:val="TableContents"/>
              <w:bidi w:val="0"/>
              <w:spacing w:before="0" w:after="283"/>
              <w:ind w:left="0" w:right="0" w:hanging="160"/>
              <w:jc w:val="left"/>
              <w:rPr>
                <w:caps w:val="false"/>
                <w:smallCaps w:val="false"/>
              </w:rPr>
            </w:pPr>
            <w:r>
              <w:rPr>
                <w:caps w:val="false"/>
                <w:smallCaps w:val="false"/>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Youdao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1,417,541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1,348,022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1,466,861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2,715,803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2,814,883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414,862</w:t>
            </w:r>
          </w:p>
        </w:tc>
        <w:tc>
          <w:tcPr>
            <w:tcW w:w="85" w:type="dxa"/>
            <w:tcBorders/>
            <w:shd w:fill="CCEEFF" w:val="clear"/>
            <w:vAlign w:val="center"/>
          </w:tcPr>
          <w:p>
            <w:pPr>
              <w:pStyle w:val="TableContents"/>
              <w:bidi w:val="0"/>
              <w:spacing w:before="0" w:after="283"/>
              <w:ind w:left="0" w:right="0" w:hanging="160"/>
              <w:jc w:val="left"/>
              <w:rPr>
                <w:caps w:val="false"/>
                <w:smallCaps w:val="false"/>
              </w:rPr>
            </w:pPr>
            <w:r>
              <w:rPr>
                <w:caps w:val="false"/>
                <w:smallCaps w:val="false"/>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Cloud Music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1,968,729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1,977,472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291,443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3,827,117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3,958,706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583,441</w:t>
            </w:r>
          </w:p>
        </w:tc>
        <w:tc>
          <w:tcPr>
            <w:tcW w:w="85" w:type="dxa"/>
            <w:tcBorders/>
            <w:shd w:fill="FFFFFF" w:val="clear"/>
            <w:vAlign w:val="center"/>
          </w:tcPr>
          <w:p>
            <w:pPr>
              <w:pStyle w:val="TableContents"/>
              <w:bidi w:val="0"/>
              <w:spacing w:before="0" w:after="283"/>
              <w:ind w:left="0" w:right="0" w:hanging="160"/>
              <w:jc w:val="left"/>
              <w:rPr>
                <w:caps w:val="false"/>
                <w:smallCaps w:val="false"/>
              </w:rPr>
            </w:pPr>
            <w:r>
              <w:rPr>
                <w:caps w:val="false"/>
                <w:smallCaps w:val="false"/>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businesses and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1,698,935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1,549,050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1,639,425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241,621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3,322,823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3,188,475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469,923</w:t>
            </w:r>
          </w:p>
        </w:tc>
        <w:tc>
          <w:tcPr>
            <w:tcW w:w="85" w:type="dxa"/>
            <w:tcBorders/>
            <w:shd w:fill="CCEEFF" w:val="clear"/>
            <w:vAlign w:val="center"/>
          </w:tcPr>
          <w:p>
            <w:pPr>
              <w:pStyle w:val="TableContents"/>
              <w:bidi w:val="0"/>
              <w:spacing w:before="0" w:after="283"/>
              <w:ind w:left="0" w:right="0" w:hanging="160"/>
              <w:jc w:val="left"/>
              <w:rPr>
                <w:caps w:val="false"/>
                <w:smallCaps w:val="false"/>
              </w:rPr>
            </w:pPr>
            <w:r>
              <w:rPr>
                <w:caps w:val="false"/>
                <w:smallCaps w:val="false"/>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27,891,664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30,591,281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30,106,546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4,437,156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56,720,209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60,697,827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8,945,753</w:t>
            </w:r>
          </w:p>
        </w:tc>
        <w:tc>
          <w:tcPr>
            <w:tcW w:w="85" w:type="dxa"/>
            <w:tcBorders/>
            <w:shd w:fill="FFFFFF" w:val="clear"/>
            <w:vAlign w:val="center"/>
          </w:tcPr>
          <w:p>
            <w:pPr>
              <w:pStyle w:val="TableContents"/>
              <w:bidi w:val="0"/>
              <w:spacing w:before="0" w:after="283"/>
              <w:ind w:left="0" w:right="0" w:hanging="160"/>
              <w:jc w:val="left"/>
              <w:rPr>
                <w:caps w:val="false"/>
                <w:smallCaps w:val="false"/>
              </w:rPr>
            </w:pPr>
            <w:r>
              <w:rPr>
                <w:caps w:val="false"/>
                <w:smallCaps w:val="false"/>
              </w:rPr>
              <w:t> </w:t>
            </w:r>
          </w:p>
        </w:tc>
      </w:tr>
      <w:tr>
        <w:trPr/>
        <w:tc>
          <w:tcPr>
            <w:tcW w:w="2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60"/>
              <w:jc w:val="left"/>
              <w:rPr/>
            </w:pPr>
            <w:r>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60"/>
              <w:jc w:val="left"/>
              <w:rPr/>
            </w:pPr>
            <w:r>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Games and related value-added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(6,792,240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(6,482,431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(5,973,965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(880,453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(14,287,502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(12,456,396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(1,835,846</w:t>
            </w:r>
          </w:p>
        </w:tc>
        <w:tc>
          <w:tcPr>
            <w:tcW w:w="85" w:type="dxa"/>
            <w:tcBorders/>
            <w:shd w:fill="CCEEFF" w:val="clear"/>
            <w:vAlign w:val="center"/>
          </w:tcPr>
          <w:p>
            <w:pPr>
              <w:pStyle w:val="TableContents"/>
              <w:bidi w:val="0"/>
              <w:spacing w:before="0" w:after="283"/>
              <w:ind w:left="0" w:right="0" w:hanging="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Youdao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(808,181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(745,729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(749,986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(1,492,216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(1,495,715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(220,441</w:t>
            </w:r>
          </w:p>
        </w:tc>
        <w:tc>
          <w:tcPr>
            <w:tcW w:w="85" w:type="dxa"/>
            <w:tcBorders/>
            <w:shd w:fill="FFFFFF" w:val="clear"/>
            <w:vAlign w:val="center"/>
          </w:tcPr>
          <w:p>
            <w:pPr>
              <w:pStyle w:val="TableContents"/>
              <w:bidi w:val="0"/>
              <w:spacing w:before="0" w:after="283"/>
              <w:ind w:left="0" w:right="0" w:hanging="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Cloud Music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(1,258,855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(1,247,066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(1,237,231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(182,345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(2,434,632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(2,484,297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(366,140</w:t>
            </w:r>
          </w:p>
        </w:tc>
        <w:tc>
          <w:tcPr>
            <w:tcW w:w="85" w:type="dxa"/>
            <w:tcBorders/>
            <w:shd w:fill="CCEEFF" w:val="clear"/>
            <w:vAlign w:val="center"/>
          </w:tcPr>
          <w:p>
            <w:pPr>
              <w:pStyle w:val="TableContents"/>
              <w:bidi w:val="0"/>
              <w:spacing w:before="0" w:after="283"/>
              <w:ind w:left="0" w:right="0" w:hanging="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businesses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(979,906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(898,983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(928,039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(136,777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(1,973,971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(1,827,022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(269,270</w:t>
            </w:r>
          </w:p>
        </w:tc>
        <w:tc>
          <w:tcPr>
            <w:tcW w:w="85" w:type="dxa"/>
            <w:tcBorders/>
            <w:shd w:fill="FFFFFF" w:val="clear"/>
            <w:vAlign w:val="center"/>
          </w:tcPr>
          <w:p>
            <w:pPr>
              <w:pStyle w:val="TableContents"/>
              <w:bidi w:val="0"/>
              <w:spacing w:before="0" w:after="283"/>
              <w:ind w:left="0" w:right="0" w:hanging="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(9,839,182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(9,374,209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(8,889,221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(1,310,109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(20,188,321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(18,263,430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(2,691,697</w:t>
            </w:r>
          </w:p>
        </w:tc>
        <w:tc>
          <w:tcPr>
            <w:tcW w:w="85" w:type="dxa"/>
            <w:tcBorders/>
            <w:shd w:fill="CCEEFF" w:val="clear"/>
            <w:vAlign w:val="center"/>
          </w:tcPr>
          <w:p>
            <w:pPr>
              <w:pStyle w:val="TableContents"/>
              <w:bidi w:val="0"/>
              <w:spacing w:before="0" w:after="283"/>
              <w:ind w:left="0" w:right="0" w:hanging="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60"/>
              <w:jc w:val="left"/>
              <w:rPr/>
            </w:pPr>
            <w:r>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60"/>
              <w:jc w:val="left"/>
              <w:rPr/>
            </w:pPr>
            <w:r>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Games and related value-added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16,014,219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19,230,544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19,048,823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2,807,450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32,566,964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38,279,367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5,641,681</w:t>
            </w:r>
          </w:p>
        </w:tc>
        <w:tc>
          <w:tcPr>
            <w:tcW w:w="85" w:type="dxa"/>
            <w:tcBorders/>
            <w:shd w:fill="FFFFFF" w:val="clear"/>
            <w:vAlign w:val="center"/>
          </w:tcPr>
          <w:p>
            <w:pPr>
              <w:pStyle w:val="TableContents"/>
              <w:bidi w:val="0"/>
              <w:spacing w:before="0" w:after="283"/>
              <w:ind w:left="0" w:right="0" w:hanging="160"/>
              <w:jc w:val="left"/>
              <w:rPr>
                <w:caps w:val="false"/>
                <w:smallCaps w:val="false"/>
              </w:rPr>
            </w:pPr>
            <w:r>
              <w:rPr>
                <w:caps w:val="false"/>
                <w:smallCaps w:val="false"/>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Youdao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609,360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602,293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716,875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1,223,587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1,319,168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194,421</w:t>
            </w:r>
          </w:p>
        </w:tc>
        <w:tc>
          <w:tcPr>
            <w:tcW w:w="85" w:type="dxa"/>
            <w:tcBorders/>
            <w:shd w:fill="CCEEFF" w:val="clear"/>
            <w:vAlign w:val="center"/>
          </w:tcPr>
          <w:p>
            <w:pPr>
              <w:pStyle w:val="TableContents"/>
              <w:bidi w:val="0"/>
              <w:spacing w:before="0" w:after="283"/>
              <w:ind w:left="0" w:right="0" w:hanging="160"/>
              <w:jc w:val="left"/>
              <w:rPr>
                <w:caps w:val="false"/>
                <w:smallCaps w:val="false"/>
              </w:rPr>
            </w:pPr>
            <w:r>
              <w:rPr>
                <w:caps w:val="false"/>
                <w:smallCaps w:val="false"/>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Cloud Music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709,874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740,241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1,392,485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1,474,409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217,301</w:t>
            </w:r>
          </w:p>
        </w:tc>
        <w:tc>
          <w:tcPr>
            <w:tcW w:w="85" w:type="dxa"/>
            <w:tcBorders/>
            <w:shd w:fill="FFFFFF" w:val="clear"/>
            <w:vAlign w:val="center"/>
          </w:tcPr>
          <w:p>
            <w:pPr>
              <w:pStyle w:val="TableContents"/>
              <w:bidi w:val="0"/>
              <w:spacing w:before="0" w:after="283"/>
              <w:ind w:left="0" w:right="0" w:hanging="160"/>
              <w:jc w:val="left"/>
              <w:rPr>
                <w:caps w:val="false"/>
                <w:smallCaps w:val="false"/>
              </w:rPr>
            </w:pPr>
            <w:r>
              <w:rPr>
                <w:caps w:val="false"/>
                <w:smallCaps w:val="false"/>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businesses and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719,029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1,348,852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200,653</w:t>
            </w:r>
          </w:p>
        </w:tc>
        <w:tc>
          <w:tcPr>
            <w:tcW w:w="85" w:type="dxa"/>
            <w:tcBorders/>
            <w:shd w:fill="CCEEFF" w:val="clear"/>
            <w:vAlign w:val="center"/>
          </w:tcPr>
          <w:p>
            <w:pPr>
              <w:pStyle w:val="TableContents"/>
              <w:bidi w:val="0"/>
              <w:spacing w:before="0" w:after="283"/>
              <w:ind w:left="0" w:right="0" w:hanging="160"/>
              <w:jc w:val="left"/>
              <w:rPr>
                <w:caps w:val="false"/>
                <w:smallCaps w:val="false"/>
              </w:rPr>
            </w:pPr>
            <w:r>
              <w:rPr>
                <w:caps w:val="false"/>
                <w:smallCaps w:val="false"/>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18,052,482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21,217,072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21,217,325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3,127,047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36,531,888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42,434,397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6,254,056</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INTERIM FINANCIAL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854"/>
        <w:gridCol w:w="9189"/>
      </w:tblGrid>
      <w:tr>
        <w:trPr/>
        <w:tc>
          <w:tcPr>
            <w:tcW w:w="16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b/>
              </w:rPr>
            </w:pPr>
            <w:r>
              <w:rPr>
                <w:b/>
              </w:rPr>
              <w:t>1.</w:t>
            </w:r>
          </w:p>
        </w:tc>
        <w:tc>
          <w:tcPr>
            <w:tcW w:w="9189" w:type="dxa"/>
            <w:tcBorders/>
            <w:vAlign w:val="center"/>
          </w:tcPr>
          <w:p>
            <w:pPr>
              <w:pStyle w:val="TableContents"/>
              <w:bidi w:val="0"/>
              <w:spacing w:before="0" w:after="283"/>
              <w:jc w:val="both"/>
              <w:rPr>
                <w:b/>
              </w:rPr>
            </w:pPr>
            <w:r>
              <w:rPr>
                <w:b/>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information was prepared in accordance with accounting principles generally accepted in the United States of America. There were no significant changes to the significant accounting policies from the audited consolidated financial statements for the preceding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prepared and presented in this announcement might be different from that published and to be published by NetEase’s listed subsidiary to meet the disclosure requirements under different accounting standards requirements.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223"/>
        <w:gridCol w:w="8750"/>
      </w:tblGrid>
      <w:tr>
        <w:trPr/>
        <w:tc>
          <w:tcPr>
            <w:tcW w:w="23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b/>
              </w:rPr>
            </w:pPr>
            <w:r>
              <w:rPr>
                <w:b/>
              </w:rPr>
              <w:t>2.</w:t>
            </w:r>
          </w:p>
        </w:tc>
        <w:tc>
          <w:tcPr>
            <w:tcW w:w="8750" w:type="dxa"/>
            <w:tcBorders/>
            <w:vAlign w:val="center"/>
          </w:tcPr>
          <w:p>
            <w:pPr>
              <w:pStyle w:val="TableContents"/>
              <w:bidi w:val="0"/>
              <w:spacing w:before="0" w:after="283"/>
              <w:jc w:val="both"/>
              <w:rPr>
                <w:b/>
              </w:rPr>
            </w:pPr>
            <w:r>
              <w:rPr>
                <w:b/>
              </w:rPr>
              <w:t>Net 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net revenues by type for the six months ended June 30, 2025 and 2026 (in thousands):</w:t>
      </w:r>
    </w:p>
    <w:p>
      <w:pPr>
        <w:pStyle w:val="TextBody"/>
        <w:bidi w:val="0"/>
        <w:spacing w:before="0" w:after="0"/>
        <w:ind w:left="0" w:right="0" w:hanging="0"/>
        <w:jc w:val="left"/>
        <w:rPr>
          <w:caps w:val="false"/>
          <w:smallCaps w:val="false"/>
        </w:rPr>
      </w:pPr>
      <w:r>
        <w:rPr>
          <w:caps w:val="false"/>
          <w:smallCaps w:val="false"/>
        </w:rPr>
        <w:t> </w:t>
      </w:r>
    </w:p>
    <w:tbl>
      <w:tblPr>
        <w:tblW w:w="6293" w:type="dxa"/>
        <w:jc w:val="left"/>
        <w:tblInd w:w="0" w:type="dxa"/>
        <w:tblLayout w:type="fixed"/>
        <w:tblCellMar>
          <w:top w:w="0" w:type="dxa"/>
          <w:left w:w="0" w:type="dxa"/>
          <w:bottom w:w="0" w:type="dxa"/>
          <w:right w:w="0" w:type="dxa"/>
        </w:tblCellMar>
      </w:tblPr>
      <w:tblGrid>
        <w:gridCol w:w="3290"/>
        <w:gridCol w:w="60"/>
        <w:gridCol w:w="80"/>
        <w:gridCol w:w="1274"/>
        <w:gridCol w:w="80"/>
        <w:gridCol w:w="80"/>
        <w:gridCol w:w="80"/>
        <w:gridCol w:w="1274"/>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Games and related value-added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46,854,466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50,735,763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music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2,967,269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3,067,428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Learning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1,423,084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entertainment services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859,848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891,278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4,778,374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4,580,274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56,720,209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60,697,827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372"/>
        <w:gridCol w:w="8573"/>
      </w:tblGrid>
      <w:tr>
        <w:trPr/>
        <w:tc>
          <w:tcPr>
            <w:tcW w:w="26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b/>
              </w:rPr>
            </w:pPr>
            <w:r>
              <w:rPr>
                <w:b/>
              </w:rPr>
              <w:t>3.</w:t>
            </w:r>
          </w:p>
        </w:tc>
        <w:tc>
          <w:tcPr>
            <w:tcW w:w="8573" w:type="dxa"/>
            <w:tcBorders/>
            <w:vAlign w:val="center"/>
          </w:tcPr>
          <w:p>
            <w:pPr>
              <w:pStyle w:val="TableContents"/>
              <w:bidi w:val="0"/>
              <w:spacing w:before="0" w:after="283"/>
              <w:jc w:val="both"/>
              <w:rPr>
                <w:b/>
              </w:rPr>
            </w:pPr>
            <w:r>
              <w:rPr>
                <w:b/>
              </w:rPr>
              <w:t>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components of income tax expenses for the six months ended June 30, 2025 and 2026 (in thousands):</w:t>
      </w:r>
    </w:p>
    <w:p>
      <w:pPr>
        <w:pStyle w:val="TextBody"/>
        <w:bidi w:val="0"/>
        <w:spacing w:before="0" w:after="0"/>
        <w:ind w:left="0" w:right="0" w:hanging="0"/>
        <w:jc w:val="left"/>
        <w:rPr>
          <w:caps w:val="false"/>
          <w:smallCaps w:val="false"/>
        </w:rPr>
      </w:pPr>
      <w:r>
        <w:rPr>
          <w:caps w:val="false"/>
          <w:smallCaps w:val="false"/>
        </w:rPr>
        <w:t> </w:t>
      </w:r>
    </w:p>
    <w:tbl>
      <w:tblPr>
        <w:tblW w:w="4597" w:type="dxa"/>
        <w:jc w:val="left"/>
        <w:tblInd w:w="0" w:type="dxa"/>
        <w:tblLayout w:type="fixed"/>
        <w:tblCellMar>
          <w:top w:w="0" w:type="dxa"/>
          <w:left w:w="0" w:type="dxa"/>
          <w:bottom w:w="0" w:type="dxa"/>
          <w:right w:w="0" w:type="dxa"/>
        </w:tblCellMar>
      </w:tblPr>
      <w:tblGrid>
        <w:gridCol w:w="1595"/>
        <w:gridCol w:w="60"/>
        <w:gridCol w:w="88"/>
        <w:gridCol w:w="1243"/>
        <w:gridCol w:w="117"/>
        <w:gridCol w:w="88"/>
        <w:gridCol w:w="88"/>
        <w:gridCol w:w="1243"/>
        <w:gridCol w:w="75"/>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133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3,994,278</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3,756,513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(528,378</w:t>
            </w:r>
          </w:p>
        </w:tc>
        <w:tc>
          <w:tcPr>
            <w:tcW w:w="1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1,225,999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3,465,900</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4,982,512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666"/>
        <w:gridCol w:w="9413"/>
      </w:tblGrid>
      <w:tr>
        <w:trPr/>
        <w:tc>
          <w:tcPr>
            <w:tcW w:w="12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b/>
              </w:rPr>
            </w:pPr>
            <w:r>
              <w:rPr>
                <w:b/>
              </w:rPr>
              <w:t>4.</w:t>
            </w:r>
          </w:p>
        </w:tc>
        <w:tc>
          <w:tcPr>
            <w:tcW w:w="9413" w:type="dxa"/>
            <w:tcBorders/>
            <w:vAlign w:val="center"/>
          </w:tcPr>
          <w:p>
            <w:pPr>
              <w:pStyle w:val="TableContents"/>
              <w:bidi w:val="0"/>
              <w:spacing w:before="0" w:after="283"/>
              <w:jc w:val="both"/>
              <w:rPr>
                <w:b/>
              </w:rPr>
            </w:pPr>
            <w:r>
              <w:rPr>
                <w:b/>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share-based compensation cost reported in the unaudited condensed consolidated statements of operations and comprehensive income for the six months ended June 30, 2025 and 2026 (in thousands):</w:t>
      </w:r>
    </w:p>
    <w:p>
      <w:pPr>
        <w:pStyle w:val="TextBody"/>
        <w:bidi w:val="0"/>
        <w:spacing w:before="0" w:after="0"/>
        <w:ind w:left="0" w:right="0" w:hanging="0"/>
        <w:jc w:val="left"/>
        <w:rPr>
          <w:caps w:val="false"/>
          <w:smallCaps w:val="false"/>
        </w:rPr>
      </w:pPr>
      <w:r>
        <w:rPr>
          <w:caps w:val="false"/>
          <w:smallCaps w:val="false"/>
        </w:rPr>
        <w:t> </w:t>
      </w:r>
    </w:p>
    <w:tbl>
      <w:tblPr>
        <w:tblW w:w="4628" w:type="dxa"/>
        <w:jc w:val="left"/>
        <w:tblInd w:w="0" w:type="dxa"/>
        <w:tblLayout w:type="fixed"/>
        <w:tblCellMar>
          <w:top w:w="0" w:type="dxa"/>
          <w:left w:w="0" w:type="dxa"/>
          <w:bottom w:w="0" w:type="dxa"/>
          <w:right w:w="0" w:type="dxa"/>
        </w:tblCellMar>
      </w:tblPr>
      <w:tblGrid>
        <w:gridCol w:w="1625"/>
        <w:gridCol w:w="60"/>
        <w:gridCol w:w="89"/>
        <w:gridCol w:w="1256"/>
        <w:gridCol w:w="89"/>
        <w:gridCol w:w="89"/>
        <w:gridCol w:w="89"/>
        <w:gridCol w:w="1256"/>
        <w:gridCol w:w="75"/>
      </w:tblGrid>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3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3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525,037</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510,896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1,373,230</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886,940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1,898,267</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1,397,836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809"/>
        <w:gridCol w:w="9243"/>
      </w:tblGrid>
      <w:tr>
        <w:trPr/>
        <w:tc>
          <w:tcPr>
            <w:tcW w:w="1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b/>
              </w:rPr>
            </w:pPr>
            <w:r>
              <w:rPr>
                <w:b/>
              </w:rPr>
              <w:t>5.</w:t>
            </w:r>
          </w:p>
        </w:tc>
        <w:tc>
          <w:tcPr>
            <w:tcW w:w="9243" w:type="dxa"/>
            <w:tcBorders/>
            <w:vAlign w:val="center"/>
          </w:tcPr>
          <w:p>
            <w:pPr>
              <w:pStyle w:val="TableContents"/>
              <w:bidi w:val="0"/>
              <w:spacing w:before="0" w:after="283"/>
              <w:jc w:val="both"/>
              <w:rPr>
                <w:b/>
              </w:rPr>
            </w:pPr>
            <w:r>
              <w:rPr>
                <w:b/>
              </w:rPr>
              <w:t>Net Income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income per share for the six months ended June 30, 2025 and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5"/>
        <w:gridCol w:w="60"/>
        <w:gridCol w:w="77"/>
        <w:gridCol w:w="1236"/>
        <w:gridCol w:w="77"/>
        <w:gridCol w:w="77"/>
        <w:gridCol w:w="77"/>
        <w:gridCol w:w="1236"/>
        <w:gridCol w:w="80"/>
      </w:tblGrid>
      <w:tr>
        <w:trPr/>
        <w:tc>
          <w:tcPr>
            <w:tcW w:w="7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3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Numerator (RMB in thousands):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Company’s shareholders for basic net income per share calculation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18,902,167</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17,654,762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Company’s shareholders for diluted net income per share calculation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18,887,322</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17,650,305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Denominator (number of shares in thousands):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outstanding,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3,181,307</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Dilutive effect of restricted share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29,256</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outstanding,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3,210,563</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3,224,495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share, basic (RMB)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share, diluted (RMB)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Company’s shareholders for diluted net income per share calculation is calculated as net income attributable to the Company’s shareholders for basic net income per share calculation minus the impact of subsidiaries’ diluted earnings. Basic net income per share is computed using the weighted average number of ordinary shares outstanding during the period. Diluted net income per share is computed using the weighted average number of ordinary shares and potential ordinary shares outstanding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1579"/>
        <w:gridCol w:w="8327"/>
      </w:tblGrid>
      <w:tr>
        <w:trPr/>
        <w:tc>
          <w:tcPr>
            <w:tcW w:w="29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b/>
              </w:rPr>
            </w:pPr>
            <w:r>
              <w:rPr>
                <w:b/>
              </w:rPr>
              <w:t>6.</w:t>
            </w:r>
          </w:p>
        </w:tc>
        <w:tc>
          <w:tcPr>
            <w:tcW w:w="8327" w:type="dxa"/>
            <w:tcBorders/>
            <w:vAlign w:val="center"/>
          </w:tcPr>
          <w:p>
            <w:pPr>
              <w:pStyle w:val="TableContents"/>
              <w:bidi w:val="0"/>
              <w:spacing w:before="0" w:after="283"/>
              <w:jc w:val="both"/>
              <w:rPr>
                <w:b/>
              </w:rPr>
            </w:pPr>
            <w:r>
              <w:rPr>
                <w:b/>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a dividend of US$0.144 per share (US$0.720 per ADS) and US$0.096 per share (US$0.480 per ADS) to holders of ordinary shares and holders of ADSs for the first and second quarter of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a dividend of US$0.135 per share (US$0.675 per ADS) and US$0.114 per share (US$0.570 per ADS) to holders of ordinary shares and holders of ADSs for the first and second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for each quarter was paid in the following quarter. There was no significant dividend payable as of December 31, 2025 and June 30, 2026, respectively.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131"/>
        <w:gridCol w:w="8859"/>
      </w:tblGrid>
      <w:tr>
        <w:trPr/>
        <w:tc>
          <w:tcPr>
            <w:tcW w:w="21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b/>
              </w:rPr>
            </w:pPr>
            <w:r>
              <w:rPr>
                <w:b/>
              </w:rPr>
              <w:t>7.</w:t>
            </w:r>
          </w:p>
        </w:tc>
        <w:tc>
          <w:tcPr>
            <w:tcW w:w="8859" w:type="dxa"/>
            <w:tcBorders/>
            <w:vAlign w:val="center"/>
          </w:tcPr>
          <w:p>
            <w:pPr>
              <w:pStyle w:val="TableContents"/>
              <w:bidi w:val="0"/>
              <w:spacing w:before="0" w:after="283"/>
              <w:jc w:val="both"/>
              <w:rPr>
                <w:b/>
              </w:rPr>
            </w:pPr>
            <w:r>
              <w:rPr>
                <w:b/>
              </w:rPr>
              <w:t>Aging Analysis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aging analysis of the accounts receivable, based on recognition date before allowance,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3699" w:type="dxa"/>
        <w:jc w:val="left"/>
        <w:tblInd w:w="0" w:type="dxa"/>
        <w:tblLayout w:type="fixed"/>
        <w:tblCellMar>
          <w:top w:w="0" w:type="dxa"/>
          <w:left w:w="0" w:type="dxa"/>
          <w:bottom w:w="0" w:type="dxa"/>
          <w:right w:w="0" w:type="dxa"/>
        </w:tblCellMar>
      </w:tblPr>
      <w:tblGrid>
        <w:gridCol w:w="1325"/>
        <w:gridCol w:w="60"/>
        <w:gridCol w:w="76"/>
        <w:gridCol w:w="1098"/>
        <w:gridCol w:w="80"/>
        <w:gridCol w:w="60"/>
        <w:gridCol w:w="60"/>
        <w:gridCol w:w="845"/>
        <w:gridCol w:w="95"/>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c>
          <w:tcPr>
            <w:tcW w:w="109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4,622,891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4,916,978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532,298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224,349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322,394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1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(460,757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(463,191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5,337,819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5,746,080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aging analysis of the accounts payable, based on recognition date,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3239" w:type="dxa"/>
        <w:jc w:val="left"/>
        <w:tblInd w:w="0" w:type="dxa"/>
        <w:tblLayout w:type="fixed"/>
        <w:tblCellMar>
          <w:top w:w="0" w:type="dxa"/>
          <w:left w:w="0" w:type="dxa"/>
          <w:bottom w:w="0" w:type="dxa"/>
          <w:right w:w="0" w:type="dxa"/>
        </w:tblCellMar>
      </w:tblPr>
      <w:tblGrid>
        <w:gridCol w:w="1055"/>
        <w:gridCol w:w="60"/>
        <w:gridCol w:w="92"/>
        <w:gridCol w:w="1082"/>
        <w:gridCol w:w="60"/>
        <w:gridCol w:w="60"/>
        <w:gridCol w:w="60"/>
        <w:gridCol w:w="695"/>
        <w:gridCol w:w="75"/>
      </w:tblGrid>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 w:type="dxa"/>
            <w:tcBorders/>
            <w:vAlign w:val="center"/>
          </w:tcPr>
          <w:p>
            <w:pPr>
              <w:pStyle w:val="TableContents"/>
              <w:bidi w:val="0"/>
              <w:spacing w:before="0" w:after="283"/>
              <w:jc w:val="center"/>
              <w:rPr>
                <w:caps w:val="false"/>
                <w:smallCaps w:val="false"/>
              </w:rPr>
            </w:pPr>
            <w:r>
              <w:rPr>
                <w:caps w:val="false"/>
                <w:smallCaps w:val="false"/>
              </w:rPr>
              <w:t> </w:t>
            </w:r>
          </w:p>
        </w:tc>
        <w:tc>
          <w:tcPr>
            <w:tcW w:w="108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580,898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1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643,164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702,263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AFTER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in this announcement, there were no significant events that might affect the Group since the end of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AND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committed to achieving high standards of corporate governance that it believes are crucial to the Group’s development and safeguard the interests of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the Corporate Governance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conversion of its secondary listing status to dual-primary listing status on the Main Board of the Hong Kong Stock Exchange became effective on the HK Primary Effective Date, since which the Corporate Governance Code set forth in Part 2 of Appendix C1 to the Listing Rules has been applicable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the HK Primary Effective Date up to the date of this announcement, the Company has adopted and complied with all applicable code provisions set out in the Corporate Governance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regularly review and monitor its corporate governance practices to ensure compliance with the Corporate Governance Code and maintain a high standard of corporate governance practices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 OF INTERIM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comprises three independent directors. The audit committee has reviewed with management the accounting principles and practices adopted by the Group and discussed internal control and financial reporting matters, including the review of the unaudited interim financial information. There is no disagreement between the Board and the audit committee regarding the accounting treatment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results for the six months ended June 30, 2026 have not been audited but have been reviewed by PricewaterhouseCoopers, the auditor of the Company, in accordance with International Standard on Review Engagements 2410, “Review of Interim Financial Information Performed by the Independent Auditor of the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SALE OR REDEMPTION OF THE COMPANY’S LISTED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announced the extension of its previously approved share repurchase program of up to US$5.0 billion of the Company’s ADSs and ordinary shares in open market or other transactions for an additional 36 months until January 9, 2029. During the Reporting Period, approximately 2.8 million ADSs (representing 14.0 million ordinary shares) had been repurchased under this program on the Nasdaq for a total cost of US$324.1 million. As of June 30, 2026, approximately 24.9 million ADSs had been repurchased under this program for a total cost of US$2.3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NetEase repurchases its ADSs and its ordinary shares depends upon a variety of factors, including market conditions. These programs may be suspended or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repurchase information on the Nasdaq during the Reporting Period are as follows:</w:t>
      </w:r>
    </w:p>
    <w:p>
      <w:pPr>
        <w:pStyle w:val="TextBody"/>
        <w:bidi w:val="0"/>
        <w:spacing w:before="0" w:after="0"/>
        <w:ind w:left="0" w:right="0" w:hanging="0"/>
        <w:jc w:val="left"/>
        <w:rPr>
          <w:caps w:val="false"/>
          <w:smallCaps w:val="false"/>
        </w:rPr>
      </w:pPr>
      <w:r>
        <w:rPr>
          <w:caps w:val="false"/>
          <w:smallCaps w:val="false"/>
        </w:rPr>
        <w:t> </w:t>
      </w:r>
    </w:p>
    <w:tbl>
      <w:tblPr>
        <w:tblW w:w="5986" w:type="dxa"/>
        <w:jc w:val="left"/>
        <w:tblInd w:w="0" w:type="dxa"/>
        <w:tblLayout w:type="fixed"/>
        <w:tblCellMar>
          <w:top w:w="0" w:type="dxa"/>
          <w:left w:w="0" w:type="dxa"/>
          <w:bottom w:w="0" w:type="dxa"/>
          <w:right w:w="0" w:type="dxa"/>
        </w:tblCellMar>
      </w:tblPr>
      <w:tblGrid>
        <w:gridCol w:w="1025"/>
        <w:gridCol w:w="60"/>
        <w:gridCol w:w="102"/>
        <w:gridCol w:w="1627"/>
        <w:gridCol w:w="60"/>
        <w:gridCol w:w="60"/>
        <w:gridCol w:w="73"/>
        <w:gridCol w:w="592"/>
        <w:gridCol w:w="64"/>
        <w:gridCol w:w="64"/>
        <w:gridCol w:w="68"/>
        <w:gridCol w:w="552"/>
        <w:gridCol w:w="60"/>
        <w:gridCol w:w="60"/>
        <w:gridCol w:w="157"/>
        <w:gridCol w:w="1287"/>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ordinary</w:t>
              <w:br/>
              <w:t xml:space="preserve">shares underlying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1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paid per </w:t>
              <w:br/>
              <w:t>ordinary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 of</w:t>
              <w:br/>
              <w:t>Repurchase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repurchased</w:t>
              <w:br/>
              <w:t>ADSs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Highest</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Lowest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br/>
              <w:t>paid</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4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in millions)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1,665,725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24.15</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4,058,600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23.99</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4,188,930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3,037,365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1,085,310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14,035,930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above, neither the Company nor any of its subsidiaries purchased, sold or redeemed any of the Company’s securities listed (including sale of treasury shares) on the Hong Kong Stock Exchange or Nasdaq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a dividend of US$0.096 per share (US$0.480 per ADS) for the second quarter of 2026 to holders of ordinary shares and holders of ADSs as of the close of business on September 3, 2026, Beijing/Hong Kong Time and New York Time, respectively, payable in U.S. dollars. For holders of ordinary shares, in order to qualify for the dividend, all valid documents for the transfer of shares accompanied by the relevant share certificates must be lodged for registration with the Company’s Hong Kong branch share registrar, Computershare Hong Kong Investor Services Limited, at Shops 1712-1716, 17th Floor, Hopewell Centre, 183 Queen’s Road East, Wanchai, Hong Kong, no later than 4:30 p.m. on September 3, 2026 (Beijing/Hong Kong Time). The payment date is expected to be September 15, 2026 for holders of ordinary shares and on or around September 18, 2026, for holders of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current dividend policy, the determination to make dividend distributions and the amount of such distribution in any particular quarter will be made at the discretion of its Board and will be based upon the Company’s operations and earnings, cash flow, financial condition and other relevant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PUBLICATION OF THE INTERIM RESULTS ANNOUNCEMENT AND INTERIM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interim results announcement is published on the website of the Hong Kong Stock Exchange at </w:t>
      </w:r>
      <w:r>
        <w:rPr>
          <w:rFonts w:ascii="Times New Roman;Times;Serif" w:hAnsi="Times New Roman;Times;Serif"/>
          <w:b w:val="false"/>
          <w:i w:val="false"/>
          <w:caps w:val="false"/>
          <w:smallCaps w:val="false"/>
          <w:sz w:val="20"/>
          <w:u w:val="single"/>
        </w:rPr>
        <w:t>www.hkexnews.hk</w:t>
      </w:r>
      <w:r>
        <w:rPr>
          <w:rFonts w:ascii="Times New Roman;Times;Serif" w:hAnsi="Times New Roman;Times;Serif"/>
          <w:b w:val="false"/>
          <w:i w:val="false"/>
          <w:caps w:val="false"/>
          <w:smallCaps w:val="false"/>
          <w:sz w:val="20"/>
        </w:rPr>
        <w:t xml:space="preserve"> and the website of the Company at </w:t>
      </w:r>
      <w:r>
        <w:rPr>
          <w:rFonts w:ascii="Times New Roman;Times;Serif" w:hAnsi="Times New Roman;Times;Serif"/>
          <w:b w:val="false"/>
          <w:i w:val="false"/>
          <w:caps w:val="false"/>
          <w:smallCaps w:val="false"/>
          <w:sz w:val="20"/>
          <w:u w:val="single"/>
        </w:rPr>
        <w:t>http://ir.netease.com</w:t>
      </w:r>
      <w:r>
        <w:rPr>
          <w:rFonts w:ascii="Times New Roman;Times;Serif" w:hAnsi="Times New Roman;Times;Serif"/>
          <w:b w:val="false"/>
          <w:i w:val="false"/>
          <w:caps w:val="false"/>
          <w:smallCaps w:val="false"/>
          <w:sz w:val="20"/>
        </w:rPr>
        <w:t>. The interim report for the Reporting Period will be published on the aforesaid websites of the Hong Kong Stock Exchange and the Company and will be dispatched to the shareholders (if requested)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9"/>
        <w:gridCol w:w="8486"/>
      </w:tblGrid>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ADSs”</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American Depositary Shares (each representing five ordinary shares)</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Board”</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of the Company</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China” or the “PRC”</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People’s Republic of China</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Company”</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NetEase, Inc., a company incorporated under Cayman Islands laws, and listed on both the Nasdaq Global Select Market under the symbol “NTES” and the Main Board of the Hong Kong Stock Exchange under the stock code “9999”</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Corporate Governance Code”</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Corporate Governance Code set out in Appendix C1 to the Listing Rules</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GAAP” or “U.S. GAAP”</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accounting principles generally accepted in the United States of America</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Group”</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and its subsidiaries and consolidated entities from time to time</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HK Primary Effective Date”</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June 30, 2026, the date on which the Company’s conversion to “dual-primary listing” status in Hong Kong became effective</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Hong Kong Stock Exchange”</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Stock Exchange of Hong Kong Limited</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Listing Rules”</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Governing the Listing of Securities on the Hong Kong Stock Exchange</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NetEase Cloud Music”</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NetEase Cloud Music Inc., a company incorporated under Cayman Islands laws, and listed on the Hong Kong Stock Exchange under the stock code “9899” in December 2021 and a majority-controlled subsidiary of the Company</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Reporting Period”</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six months ended June 30, 2026</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1719" w:type="dxa"/>
            <w:tcBorders/>
            <w:vAlign w:val="center"/>
          </w:tcPr>
          <w:p>
            <w:pPr>
              <w:pStyle w:val="TableContents"/>
              <w:bidi w:val="0"/>
              <w:spacing w:before="0" w:after="283"/>
              <w:jc w:val="left"/>
              <w:rPr/>
            </w:pPr>
            <w:r>
              <w:rPr/>
              <w:t>“</w:t>
            </w:r>
            <w:r>
              <w:rPr>
                <w:rFonts w:ascii="Times New Roman;Times;Serif" w:hAnsi="Times New Roman;Times;Serif"/>
                <w:b/>
                <w:sz w:val="20"/>
              </w:rPr>
              <w:t>Youdao”</w:t>
            </w:r>
          </w:p>
        </w:tc>
        <w:tc>
          <w:tcPr>
            <w:tcW w:w="84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Youdao, Inc., a company incorporated under Cayman Islands laws, and listed on The New York Stock Exchange under the symbol “DAO” in October 2019 and a majority-controlled subsidiary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75"/>
        <w:gridCol w:w="1925"/>
      </w:tblGrid>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 </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William Lei Ding </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directors of the Company comprises Mr. William Lei Ding as the director, and Ms. Grace Tang, Ms. Alice Cheng, Mr. Joseph Tong, Mr. Michael Leung and Mr. Johnny Chan as the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7692</Words>
  <Characters>44322</Characters>
  <CharactersWithSpaces>54379</CharactersWithSpaces>
  <Paragraphs>5905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