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131445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7" w:lineRule="exact"/>
        <w:rPr>
          <w:sz w:val="24"/>
          <w:szCs w:val="24"/>
          <w:color w:val="auto"/>
        </w:rPr>
      </w:pPr>
    </w:p>
    <w:p>
      <w:pPr>
        <w:ind w:left="500" w:hanging="315"/>
        <w:spacing w:after="0"/>
        <w:tabs>
          <w:tab w:leader="none" w:pos="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53" w:lineRule="exact"/>
        <w:rPr>
          <w:rFonts w:ascii="MS PGothic" w:cs="MS PGothic" w:eastAsia="MS PGothic" w:hAnsi="MS PGothic"/>
          <w:sz w:val="16"/>
          <w:szCs w:val="16"/>
          <w:color w:val="auto"/>
        </w:rPr>
      </w:pPr>
    </w:p>
    <w:p>
      <w:pPr>
        <w:ind w:left="48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500" w:right="1500" w:hanging="315"/>
        <w:spacing w:after="0" w:line="301" w:lineRule="auto"/>
        <w:tabs>
          <w:tab w:leader="none" w:pos="5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4840" w:right="1160" w:hanging="4655"/>
        <w:spacing w:after="0" w:line="418" w:lineRule="auto"/>
        <w:tabs>
          <w:tab w:leader="none" w:pos="507"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6"/>
          <w:szCs w:val="16"/>
          <w:color w:val="auto"/>
        </w:rPr>
      </w:pPr>
    </w:p>
    <w:p>
      <w:pPr>
        <w:ind w:left="500" w:hanging="315"/>
        <w:spacing w:after="0"/>
        <w:tabs>
          <w:tab w:leader="none" w:pos="5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this shell company report.</w:t>
      </w:r>
    </w:p>
    <w:p>
      <w:pPr>
        <w:spacing w:after="0" w:line="11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 file number: 000-30666</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4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4"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NetEase Building, No. 599 Wangshang Road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Binjiang District, Hangzhou, 310052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Paul W. Boltz, Jr., General Counsel</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Guoco Midtown #19-01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128 Beach Road, Singapore 189773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+65 6980 0628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ir@service.netease.com</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tc>
        <w:tc>
          <w:tcPr>
            <w:tcW w:w="4000" w:type="dxa"/>
            <w:vAlign w:val="bottom"/>
          </w:tcPr>
          <w:p>
            <w:pPr>
              <w:spacing w:after="0"/>
              <w:rPr>
                <w:sz w:val="18"/>
                <w:szCs w:val="18"/>
                <w:color w:val="auto"/>
              </w:rPr>
            </w:pPr>
          </w:p>
        </w:tc>
      </w:tr>
      <w:tr>
        <w:trPr>
          <w:trHeight w:val="300"/>
        </w:trPr>
        <w:tc>
          <w:tcPr>
            <w:tcW w:w="3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3"/>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Depositary Shares, each representing five</w:t>
            </w:r>
          </w:p>
        </w:tc>
        <w:tc>
          <w:tcPr>
            <w:tcW w:w="1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NTES</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405"/>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405"/>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9999</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Stock Exchange of Hong Kong Limited</w:t>
            </w:r>
          </w:p>
        </w:tc>
      </w:tr>
    </w:tbl>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 for trading, but only in connection with the listing of American depositary shares on the NASDAQ Global Select Market.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ind w:left="4960"/>
        <w:spacing w:after="0"/>
        <w:rPr>
          <w:sz w:val="20"/>
          <w:szCs w:val="20"/>
          <w:color w:val="auto"/>
        </w:rPr>
      </w:pPr>
      <w:r>
        <w:rPr>
          <w:rFonts w:ascii="Times New Roman" w:cs="Times New Roman" w:eastAsia="Times New Roman" w:hAnsi="Times New Roman"/>
          <w:sz w:val="16"/>
          <w:szCs w:val="16"/>
          <w:color w:val="auto"/>
        </w:rPr>
        <w:t>3,167,959,016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15875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7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83" w:lineRule="exact"/>
        <w:rPr>
          <w:sz w:val="20"/>
          <w:szCs w:val="20"/>
          <w:color w:val="auto"/>
        </w:rPr>
      </w:pPr>
    </w:p>
    <w:p>
      <w:pPr>
        <w:ind w:left="440"/>
        <w:spacing w:after="0" w:line="184" w:lineRule="exact"/>
        <w:tabs>
          <w:tab w:leader="none" w:pos="3080" w:val="left"/>
          <w:tab w:leader="none" w:pos="542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0"/>
          <w:szCs w:val="20"/>
          <w:color w:val="auto"/>
        </w:rPr>
      </w:pPr>
    </w:p>
    <w:p>
      <w:pPr>
        <w:ind w:right="200" w:firstLine="8"/>
        <w:spacing w:after="0" w:line="298" w:lineRule="auto"/>
        <w:tabs>
          <w:tab w:leader="none" w:pos="1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43" w:lineRule="exact"/>
        <w:rPr>
          <w:sz w:val="20"/>
          <w:szCs w:val="20"/>
          <w:color w:val="auto"/>
        </w:rPr>
      </w:pPr>
    </w:p>
    <w:p>
      <w:pPr>
        <w:ind w:right="320"/>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53"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48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280"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880" w:hanging="44"/>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63" w:lineRule="exact"/>
        <w:rPr>
          <w:sz w:val="20"/>
          <w:szCs w:val="20"/>
          <w:color w:val="auto"/>
        </w:rPr>
      </w:pPr>
    </w:p>
    <w:p>
      <w:pPr>
        <w:sectPr>
          <w:pgSz w:w="11900" w:h="16838" w:orient="portrait"/>
          <w:cols w:equalWidth="0" w:num="3">
            <w:col w:w="2540" w:space="720"/>
            <w:col w:w="4300" w:space="720"/>
            <w:col w:w="1640"/>
          </w:cols>
          <w:pgMar w:left="980" w:top="661" w:right="999" w:bottom="1440" w:gutter="0" w:footer="0" w:header="0"/>
          <w:type w:val="continuous"/>
        </w:sect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7" w:lineRule="exact"/>
        <w:rPr>
          <w:sz w:val="20"/>
          <w:szCs w:val="20"/>
          <w:color w:val="auto"/>
        </w:rPr>
      </w:pPr>
    </w:p>
    <w:p>
      <w:pPr>
        <w:ind w:left="85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7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91"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676275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110490</wp:posOffset>
            </wp:positionV>
            <wp:extent cx="6292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153670</wp:posOffset>
            </wp:positionV>
            <wp:extent cx="629221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tcBorders>
              <w:top w:val="single" w:sz="8" w:color="CCEEFF"/>
            </w:tcBorders>
            <w:gridSpan w:val="4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INTRODUCTION</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r>
              <w:rPr>
                <w:rFonts w:ascii="Times New Roman" w:cs="Times New Roman" w:eastAsia="Times New Roman" w:hAnsi="Times New Roman"/>
                <w:sz w:val="18"/>
                <w:szCs w:val="18"/>
                <w:color w:val="000000"/>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4A.</w:t>
            </w:r>
          </w:p>
        </w:tc>
        <w:tc>
          <w:tcPr>
            <w:tcW w:w="200" w:type="dxa"/>
            <w:vAlign w:val="bottom"/>
            <w:gridSpan w:val="5"/>
            <w:shd w:val="clear" w:color="auto" w:fill="CCEEFF"/>
          </w:tcPr>
          <w:p>
            <w:pPr>
              <w:spacing w:after="0"/>
              <w:rPr>
                <w:sz w:val="15"/>
                <w:szCs w:val="15"/>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5</w:t>
            </w:r>
            <w:r>
              <w:rPr>
                <w:rFonts w:ascii="Times New Roman" w:cs="Times New Roman" w:eastAsia="Times New Roman" w:hAnsi="Times New Roman"/>
                <w:sz w:val="18"/>
                <w:szCs w:val="18"/>
                <w:color w:val="000000"/>
              </w:rPr>
              <w:t>.</w:t>
            </w:r>
          </w:p>
        </w:tc>
        <w:tc>
          <w:tcPr>
            <w:tcW w:w="200" w:type="dxa"/>
            <w:vAlign w:val="bottom"/>
            <w:gridSpan w:val="5"/>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7</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9</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11</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r>
              <w:rPr>
                <w:rFonts w:ascii="Times New Roman" w:cs="Times New Roman" w:eastAsia="Times New Roman" w:hAnsi="Times New Roman"/>
                <w:sz w:val="18"/>
                <w:szCs w:val="18"/>
                <w:color w:val="000000"/>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14</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16B.</w:t>
            </w:r>
          </w:p>
        </w:tc>
        <w:tc>
          <w:tcPr>
            <w:tcW w:w="120" w:type="dxa"/>
            <w:vAlign w:val="bottom"/>
            <w:shd w:val="clear" w:color="auto" w:fill="CCEEFF"/>
          </w:tcPr>
          <w:p>
            <w:pPr>
              <w:spacing w:after="0"/>
              <w:rPr>
                <w:sz w:val="15"/>
                <w:szCs w:val="15"/>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16C.</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16D.</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16E.</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Item 16I.</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16J</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16K</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r>
              <w:rPr>
                <w:rFonts w:ascii="Times New Roman" w:cs="Times New Roman" w:eastAsia="Times New Roman" w:hAnsi="Times New Roman"/>
                <w:sz w:val="18"/>
                <w:szCs w:val="18"/>
                <w:color w:val="000000"/>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18.</w:t>
            </w:r>
          </w:p>
        </w:tc>
        <w:tc>
          <w:tcPr>
            <w:tcW w:w="240" w:type="dxa"/>
            <w:vAlign w:val="bottom"/>
            <w:gridSpan w:val="7"/>
            <w:shd w:val="clear" w:color="auto" w:fill="CCEEFF"/>
          </w:tcPr>
          <w:p>
            <w:pPr>
              <w:spacing w:after="0"/>
              <w:rPr>
                <w:sz w:val="17"/>
                <w:szCs w:val="17"/>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0" w:type="dxa"/>
            <w:vAlign w:val="bottom"/>
            <w:tcBorders>
              <w:top w:val="single" w:sz="8" w:color="0000EE"/>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19.</w:t>
            </w:r>
          </w:p>
        </w:tc>
        <w:tc>
          <w:tcPr>
            <w:tcW w:w="240" w:type="dxa"/>
            <w:vAlign w:val="bottom"/>
            <w:tcBorders>
              <w:top w:val="single" w:sz="8" w:color="CCEEFF"/>
            </w:tcBorders>
            <w:gridSpan w:val="7"/>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0" w:type="dxa"/>
            <w:vAlign w:val="bottom"/>
            <w:tcBorders>
              <w:top w:val="single" w:sz="8" w:color="0000EE"/>
            </w:tcBorders>
            <w:gridSpan w:val="4"/>
          </w:tcPr>
          <w:p>
            <w:pPr>
              <w:spacing w:after="0"/>
              <w:rPr>
                <w:sz w:val="15"/>
                <w:szCs w:val="15"/>
                <w:color w:val="auto"/>
              </w:rPr>
            </w:pPr>
          </w:p>
        </w:tc>
        <w:tc>
          <w:tcPr>
            <w:tcW w:w="6160" w:type="dxa"/>
            <w:vAlign w:val="bottom"/>
            <w:tcBorders>
              <w:top w:val="single" w:sz="8" w:color="CCEEFF"/>
            </w:tcBorders>
            <w:gridSpan w:val="23"/>
          </w:tcPr>
          <w:p>
            <w:pPr>
              <w:spacing w:after="0"/>
              <w:rPr>
                <w:sz w:val="15"/>
                <w:szCs w:val="15"/>
                <w:color w:val="auto"/>
              </w:rPr>
            </w:pPr>
          </w:p>
        </w:tc>
        <w:tc>
          <w:tcPr>
            <w:tcW w:w="10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as of December 31, 2023 and 2024 and for the years ended December 31, 2022, 2023 and 2024. Translations in this annual report of amounts from RMB into U.S. dollars for the convenience of the reader were calculated at the noon buying rate of US$1.00:RMB7.2993 on the last trading day of 2024 (December 31, 2024) as set forth in the H.10 statistical release of the U.S. Federal Reserve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20-F to:</w:t>
      </w:r>
    </w:p>
    <w:p>
      <w:pPr>
        <w:spacing w:after="0" w:line="21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 RSU Plan” are to our 2009 Restricted Share Unit Plan adopted in November 2009;</w:t>
      </w:r>
    </w:p>
    <w:p>
      <w:pPr>
        <w:spacing w:after="0" w:line="2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Share Plan” are to our Amended and Restated 2019 Share Incentive Plan adopted in October 2019 and amended and restated in February 2023;</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five ordinary shares;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“Blizzard” are to Blizzard Entertainment, Inc., a division of Activision Blizzard, which was acquired by Microsoft;</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“Boguan” are to Guangzhou Boguan Telecommunication Technology Co., Ltd., a company established under PRC laws;</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are to the Cyberspace Administration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 are to the Central Clearing and Settlement System established and operated by HKSCC;</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“CCGs” are to collectible card games;</w:t>
      </w:r>
    </w:p>
    <w:p>
      <w:pPr>
        <w:spacing w:after="0" w:line="198"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and only in the context of describing PRC rules, laws, regulations, regulatory authority and other legal, tax or finance matters in this annual report, such terms exclude Taiwan, Hong Kong and Macau (also referred to as “China mainland” or “Chinese mainland” in this annual report);</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the China Securities Regulatory Commission;</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“GAPP” are to the General Administration of Press and Publication of China, currently known as the NPPA;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NetEase” are to Guangzhou NetEase Computer System Co., Ltd., a company established under PRC laws;</w:t>
      </w:r>
    </w:p>
    <w:p>
      <w:pPr>
        <w:spacing w:after="0" w:line="2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Leihuo” are to Hangzhou NetEase Leihuo Technology Co., Ltd. (formerly named Hangzhou NetEase Leihuo Network Co., Ltd.), a company established under PRC laws;</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NetEase Cloud Music” are to Hangzhou NetEase Cloud Music Technology Co., Ltd., a company established under PRC laws;</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Yuedu” are to Hangzhou Yuedu Technology Co., Ltd., a company established under PRC laws;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“HFCAA” are to the Holding Foreign Companies Accountable Act;</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“HK dollars” are to the legal currency of Hong Kong;</w:t>
      </w:r>
    </w:p>
    <w:p>
      <w:pPr>
        <w:spacing w:after="0" w:line="21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“HKSCC” are to Hong Kong Securities Clearing Company Limited, a wholly-owned subsidiary of Hong Kong Exchange and Clearing Limited;</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“HNTEs” are to High and New Technology Enterprises;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are to The Stock Exchange of Hong Kong Limited;</w:t>
      </w:r>
    </w:p>
    <w:p>
      <w:pPr>
        <w:spacing w:after="0" w:line="19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NetEase” are to Hong Kong NetEase Interactive Entertainment Limited, a company incorporated under Hong Kong laws;</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“ICP(s)” are to internet content provider(s);</w:t>
      </w:r>
    </w:p>
    <w:p>
      <w:pPr>
        <w:spacing w:after="0" w:line="2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developed games” are primarily to games developed solely by our game development teams as well as, in some instances, games co-developed with our collaboration partners;</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 device;</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“MMORPGs” are to massively multi-player online role-playing games;</w:t>
      </w:r>
    </w:p>
    <w:p>
      <w:pPr>
        <w:spacing w:after="0" w:line="2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“MII” and later “MIIT” are to the Ministry of Information Industry of China, which later became the Ministry of Industry and Information Technology of China;</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“MST” are to the Ministry of Science and Technology of China;</w:t>
      </w:r>
    </w:p>
    <w:p>
      <w:pPr>
        <w:spacing w:after="0" w:line="21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“MOC” and later “MOCT” are to the Ministry of Culture of China which later became the Ministry of Culture and Tourism of China;</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“MOE” are to the Ministry of Education of China;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“MOFCOM” are to the Ministry of Commerce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“NCIIC” are to the Ministry of Public Security’s National Citizen Identity Information Center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“NDRC” are to the National Development and Reform Commission of China;</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“NetEase Cloud Music” are to NetEase Cloud Music Inc. (formerly named Cloud Village Inc. and Cloud Music Inc.), a company incorporated under Cayman Islands laws, and listed on the Hong Kong Stock Exchange under the stock code “9899” in December 2021 and a majority-controlled subsidiary of our company; and when italicized are to NetEase Cloud Music Inc.’s music streaming platform or brand;</w:t>
      </w:r>
    </w:p>
    <w:p>
      <w:pPr>
        <w:spacing w:after="0" w:line="16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“NetEase Hangzhou” are to NetEase (Hangzhou) Network Co., Ltd., a company established under PRC laws;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“NMT” are to neural machine translation;</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“NPPA” are to the National Press and Publication Administration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“NRTA” are to the National Radio and Television Administration of China;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“OCR” are to optical character recognition;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are to NetEase, Inc., which is not a PRC operating company but a Cayman Islands holding company with operations primarily conducted through (i) our China mainland subsidiaries and (ii) contractual arrangements with the variable interest entities, or the VIEs, based in China mainland. This structure entails unique risks to investors, see Item 3.D. “Key Information—Risk Factors —Risks Related to Our Corporate Structure” for additional information;</w:t>
      </w:r>
    </w:p>
    <w:p>
      <w:pPr>
        <w:spacing w:after="0" w:line="16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are to research and development;</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the People’s Republic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“RPGs” are to role-playing games;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“PBOC” are to the People’s Bank of China;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U.S. Public Company Accounting Oversight Board;</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are to the State Administration of Foreign Exchange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“SAIC” are to the State Administration for Industry and Commerce of China, currently known as SAMR;</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 are to the State Administration for Market Regulation of China;</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“SAPPRFT” are to the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w:t>
      </w:r>
    </w:p>
    <w:p>
      <w:pPr>
        <w:spacing w:after="0" w:line="16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“SARFT” are to the State Administration of Radio, Film and Television of China;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“SCIO” are to the State Council Information Office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21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are to the Securities and Futures Ordinance (Chapter 571 of the Laws of Hong Kong), as amended or supplemented from time to time;</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to holder(s) of shares and, where the context requires, ADSs;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ordinary share(s) of our company with par value of US$0.0001 per share;</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“SLGs” are to simulation games;</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 are to the State Taxation Administration of China;</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Council” are to the State Council of China;</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and “U.S. dollars” are to the legal currency of the United States;</w:t>
      </w:r>
    </w:p>
    <w:p>
      <w:pPr>
        <w:spacing w:after="0" w:line="2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Act” or “Exchange Act” are to the United States Securities Exchange Act of 1934, as amended, and the rules and regulations promulgated thereunder;</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“NetEase” or “NetEase group” are to NetEase, Inc., its subsidiaries, and, in the context of describing our operations and consolidated financial information, the VIEs in China mainland, including, but not limited to, Guangzhou NetEase, Hangzhou Leihuo, Youdao Computer and Hangzhou Yuedu; all of the VIEs are domestic companies incorporated in China mainland in which we do not have any equity ownership but whose financial results have been consolidated into our consolidated financial statements based solely on contractual arrangements in accordance with U.S. GAAP. See Item 4.B. “Information on the Company— Business Overview—Our Organizational Structure” for an illustrative diagram of our corporate structure;</w:t>
      </w:r>
    </w:p>
    <w:p>
      <w:pPr>
        <w:spacing w:after="0" w:line="17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are to Youdao, Inc., a company incorporated under Cayman Islands laws, and listed on The New York Stock Exchange under the symbol “DAO” in October 2019 and a majority-controlled subsidiary of our company;</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Computer” are to Beijing NetEase Youdao Computer System Co., Ltd., a company established under PRC laws; and</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Information” are to NetEase Youdao Information Technology (Beijing) Co., Ltd., a company established under PRC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or have been licensed the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The accuracy of these statements may be impacted by a number of business risks and uncertainties that could cause actual results to differ materially from those projected or anticipated, including:</w:t>
      </w:r>
    </w:p>
    <w:p>
      <w:pPr>
        <w:spacing w:after="0" w:line="156"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3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not be successful in our product diversification efforts, including the expansion of our mobile and other games into overseas markets, our entry into strategic licensing arrangements and the expansion of our streaming music offerings and online education services;</w:t>
      </w:r>
    </w:p>
    <w:p>
      <w:pPr>
        <w:spacing w:after="0" w:line="13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changes in government regulation of the online game, online education, online music, live streaming, e-commerce or online advertising markets in China or other markets where we operate that limit future growth of our revenues or cause our revenues to decline;</w:t>
      </w:r>
    </w:p>
    <w:p>
      <w:pPr>
        <w:spacing w:after="0" w:line="14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continuously develop new and creative online services or that we will not be able to set, or follow in a timely manner, trends in the market;</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not be able to control our expenses in future periods;</w:t>
      </w:r>
    </w:p>
    <w:p>
      <w:pPr>
        <w:spacing w:after="0" w:line="184"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4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economic uncertainty and capital market disruption, which are significantly impacted by rising inflation and geopolitical instability;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expansion of our businesses and operations internationally;</w:t>
      </w:r>
    </w:p>
    <w:p>
      <w:pPr>
        <w:spacing w:after="0" w:line="18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fluctuations in the value of the Renminbi with respect to other currencies could adversely affect our business and financial results; and</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outlined in our filings with the SEC.</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do not undertake any obligation to update this forward-looking information, except as required under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Contractual Arrangements with the Variable Interest Entities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NetEase, Inc. is not a PRC operating company but a Cayman Islands holding company with operations primarily conducted through (i) our subsidiaries incorporated in China mainland, or China mainland subsidiaries, and (ii) contractual arrangements with the VIEs based in China mainland. Under current PRC laws, investors may not hold equity interests in our operating companies incorporated or based in China mainland. Our online games, music streaming, online intelligent learning services and internet content services businesses in China mainland have been conducted through the applicable VIEs in order to comply with the laws and regulations of China mainland, which restrict and impose conditions on foreign direct investment in companies involved in the provision of such businesses. Accordingly, we operate these businesses in China mainland through the VIEs, and rely on contractual arrangements among NetEase, Inc., our China mainland subsidiaries, the VIEs and their nominee shareholders to control the business operations of the VIEs. In 2022, 2023 and 2024, the amount of revenues generated by the VIEs accounted for 86.4%, 87.7% and 87.2%, respectively, of our total net revenues. Total assets of the VIEs, excluding amounts due from other companies in the NetEase group, represented 7.1% and 6.1% of our consolidated total assets as of December 31, 2023 and 2024, respectively. As used in this annual report, “our company” refers to NetEase, Inc., whereas “we,” “us,” “our,” “NetEase” or “NetEase group” refers to NetEase, Inc., its subsidiaries, and, in the context of describing our operations and consolidated financial information, the VIEs in China mainland. All of the VIEs are domestic companies incorporated in China mainland in which we do not have any equity ownership, but their financial results have been consolidated into our consolidated financial statements based solely on contractual arrangements in accordance with U.S. GAAP. Investors in our ADSs or ordinary shares are not purchasing equity interests in the VIEs in China mainland but instead are purchasing equity interests in a holding company incorporated in the Cayman Islands.</w:t>
      </w:r>
    </w:p>
    <w:p>
      <w:pPr>
        <w:spacing w:after="0" w:line="15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subsidiaries, the VIEs and their nominee shareholders have entered into a series of contractual agreements. These contractual arrangements:</w:t>
      </w:r>
    </w:p>
    <w:p>
      <w:pPr>
        <w:spacing w:after="0" w:line="121" w:lineRule="exact"/>
        <w:rPr>
          <w:sz w:val="20"/>
          <w:szCs w:val="20"/>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receive the economic benefits that could potentially be significant to the VIEs in consideration for the services provided by our subsidiaries;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assigned all of the voting rights underlying the nominee shareholders’ equity interest in the VIEs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contractual arrangements among NetEase, Inc., our subsidiaries, the VIEs and their nominee shareholders generally include shareholder voting rights trust agreements, loan agreements, operating agreements or cooperation agreements, license agreements and purchase and equity pledge agreements. For additional information on these contractual arrangements, see Item 7.B. “Major Shareholders and Related Party Transactions—Related Party Transactions—Material VIE Agreements.” As a result of the contractual arrangements, the shareholders of the VIEs effectively assigned all of their voting rights underlying their equity interests in the VIEs to the primary beneficiaries of these companies, which gives our company or its subsidiaries the power to direct the activities that most significantly impact the VIEs’ economic performance.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effectively assigned us the voting rights in the VIEs. As of the date of the filing of this annual report, the contractual arrangements with the VIEs have not been tested in a court of law in China mainland and this structure may involve unique risks to investors. Furthermore, if we are unable to maintain such effective assignment, we would not be able to continue to consolidate the financial results of these entities in our financial statements. See Item 3.D. “Key Information—Risk Factors —Risks Related to Our Corporate Structure.”</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interpretation and application of current and future laws, regulations and rules of China mainland regarding the status of the rights of our Cayman Islands holding company with respect to its contractual arrangements with the VIEs and their nominee shareholders may change from time to time. It is uncertain whether any new laws or regulations of China mainland relating to variable interest entity structures will be adopted. If we or any of the VIEs are found to be in violation of any existing or future laws or regulations of China mainland, or fail to obtain or maintain any of the required permits or approvals, the relevant PRC regulatory authorities may take action in dealing with such violations or failures in accordance with applicable laws and regulations, which may result in a material change in our operations and could cause the value of the securities of NetEase, Inc. to significantly decline. See Item 3.D. “Key Information— Risk Factors—Risks Related to Our Corporate Structure—There are uncertainties regarding the interpretation and application of current and future PRC laws, regulations, and rules relating to the agreements that establish the VIE structure for our operations in China, including potential future regulatory actions pursuant to the laws and regulations in force at that time,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Foreign Investment Law of the PRC does not explicitly classify contractual arrangements as a form of foreign investment, the definition of “foreign investment” thereunder is relatively wide and contains a catch-all provision which includes investments made by foreign investors through means stipulated in laws or administrative regulations or other methods prescribed by the State Council. Therefore, there is no assurance that foreign investment via contractual arrangement would not be interpreted as a type of indirect foreign investment activity in the future. If any of the VIEs were deemed a foreign invested enterprise under any such future laws, administrative regulations or provisions and any of our businesses would be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In addition, if the PRC regulatory authorities were to find our legal structure and contractual arrangements to be in violation of any laws, administrative regulations or provisions of China mainland, we are uncertain what impact any consequent PRC regulatory authorities’ actions would have on us and our ability to consolidate the VIEs in the consolidated financial statements. For more details, see Item 3.D. “Key Information—Risk Factors—Risks Related to Our Corporate Structure—Our current corporate structure and business operations may be affected by the Foreign Investment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necessary licenses to conduct many of our businesses in China mainland, including to operate our online games, music streaming, online intelligent learning services and internet content services businesses, are held by the VIEs and, as noted above, a significant part of our revenues are generated by the VIEs. An event that results in the deconsolidation of the VIEs would have a material effect on our operations and result in the value of the securities of our company diminishing substantially or even become worthless. Our company, our China mainland subsidiaries, the VIEs and investors of our company face uncertainty about potential future actions pursuant to the laws and regulations in force at that time that could affect the enforceability of the contractual arrangements with the VIEs and, consequently, significantly affect the financial performance of the VIEs and our company as a whole. NetEase, Inc. may not be able to repay its indebtedness and the ADSs or ordinary shares of our company may decline in value or become worthless if we are unable to assert our contractual control rights over the assets of our China mainland subsidiaries and the VIEs that conduct a major portion of our operations. For a detailed description of the risks associated with our corporate structure, please refer to risks disclosed under Item 3.D. “Key Information—Risk Factors—Risks Related to Our Corporate Structure.”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If the CSRC, CAC or other PRC regulatory agencies determine that prior approval is required for any of our offerings of securities overseas or maintenance of the trading status of our ADSs or ordinary shares, we cannot guarantee that we will be able to obtain such approval in a timely manner, or at all. The CSRC, CAC or other PRC regulatory agencies may also take actions requiring us, or making it advisable for us, not to proceed with such offerings or maintain the trading status of our ADSs or ordinary shares. If we proceed with any of such offering or maintain the trading status of our ADSs or ordinary shares without obtaining the CSRC’s, CAC’s or other PRC regulatory agencies’ approval to the extent it is required, or if we are unable to comply with any new approval requirements which might be adopted for offerings that we have completed,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ordinary shares or ADSs.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has published new policies that affect various industries in recent years, including industries in which we operate,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become worthless and could significantly limit or completely hinder our ability to offer or continue to offer securities to investors.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on the permissions required from the PRC authorities for our operations and offerings, please also see Item 4.B. “Information on the Company—Business Overview—Permissions Required from the PRC Authorities for Our Operations and Offerings.”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information on transfers of funds within the NetEase group, certain financial information of NetEase, Inc., its subsidiaries and the VIEs and the restrictions on foreign exchange and the ability to transfer cash between entities, across borders and to U.S. investors, see Item 5.B. “Operating and Financial Review and Prospects—Liquidity and Capital Resources—Transfer of Funds” and “Operating and Financial Review and Prospects—Liquidity and Capital Resources—Management of Capital Resources,” Item 10.E. “Additional Information—Taxation” and Item 10.D. “Additional Information—Exchange Controls.”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China mainland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China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3.D. “Key Information—Risk Factors—Risks related to Our ADSs and Shares—The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Our ADSs and Shares—Our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spacing w:after="0" w:line="396" w:lineRule="exact"/>
        <w:rPr>
          <w:sz w:val="20"/>
          <w:szCs w:val="20"/>
          <w:color w:val="auto"/>
        </w:rPr>
      </w:pPr>
    </w:p>
    <w:p>
      <w:pPr>
        <w:ind w:left="860" w:hanging="852"/>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840" w:hanging="832"/>
        <w:spacing w:after="0"/>
        <w:tabs>
          <w:tab w:leader="none" w:pos="8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60" w:hanging="852"/>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60" w:hanging="852"/>
        <w:spacing w:after="0"/>
        <w:tabs>
          <w:tab w:leader="none" w:pos="8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ADSs or ordinary shares involves significant risks. Below is a summary of material risks we face, organized under relevant headings. All the operational risks associated with being based in and having operations in China mainland also apply to operations in Hong Kong. With respect to the legal risks associated with being based in and having operations in China mainland, the laws, regulations and the discretion of China mainland governmental authorities discussed in this annual report are expected to apply to China mainland entities and businesses, rather than entities or businesses in Hong Kong, which operate under a different set of laws from China mainland. These risks are discussed more fully in Item 3.D. “Key Information—Risk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Games and Related Value-added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developing new online games and growing the popularity of existing online games;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claims regarding our gaming contents resulting in negative publicity or a governmental response;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additional restrictions to limit online game playing by the Chinese government;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uncertainties in obtaining approval for new games;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laws, regulations policies and guidelines applicable to the live streaming and online entertainment industries;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international operations of our online games;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third-party platforms that distribute our mobile games and collect payments;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maintaining our existing licenses of game or intellectual property;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illegal game servers, acts of cheating by players and sales and purchases by players of our game accounts and virtual items through third-party auction websites;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Other Businesses;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Youdao business’s compliance with the relevant after-school tutoring regulations and rules issued by the relevant PRC government authorities;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user acceptance of Youdao, and market trend of integration of technology and learning, and the development and application of Youdao’s technologies to support and expand its product and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Youdao’s business strategies and offerings;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legal and regulatory approvals, licenses or permits of our intelligent learning, music streaming, e-commerce, advertising and other innovative businesses;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licenses for the music content necessary to provide our music streaming services, and our ability to attract and retain users;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generating and maintaining significant advertising revenue;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growing our e-commerce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Operations Overall;</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competing successfully against new entrants and established industry competitors and keeping up with rapid changes in technologies and user behavior and innovating and exploring new areas of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gross profit margin and profitability affected by changes in our mix of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credit risk on our accounts receivable;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prolonged slowdown in the economies of the countries or regions where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economic uncertainty and capital market disruptions caused by rising inflation and geopolitical instability;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laws and other obligations regarding data protection in China and outside of China;</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breaches of our information technology systems and system failure or performance inadequacy that causes interruptions of our services;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retain our existing key employees and to add and retain qualified senior and mid-level managers to our management;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natural disasters, widespread public health problems, other outbreaks and epidemics and other events;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expansion of our businesses and operations internationally;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deemed an “Investment Company” under the Investment Company Act of 1940.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9" w:lineRule="exact"/>
        <w:rPr>
          <w:sz w:val="20"/>
          <w:szCs w:val="20"/>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regulatory changes relating to the contractual arrangements with the VIEs and the viability of our current corporate structure, corporate governance and business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maintaining operational control of the VIEs through contractual arrangements;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shareholders who have significant influence over our company and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arrangements with the VIEs.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China’s political and economic policies;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and changes in PRC laws and regulations relating to telecommunications, internet, foreign investment, tax, online games, virtual asset property rights, consumer protection and financial transactions;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claims and liabilities based on the information and content on our platforms;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uncertainties with respect to the interpretation and implementation of the anti-monopoly related laws in the field of internet platforms;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protect our intellectual property from being infringed;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Shares</w:t>
      </w:r>
    </w:p>
    <w:p>
      <w:pPr>
        <w:spacing w:after="0" w:line="229" w:lineRule="exact"/>
        <w:rPr>
          <w:sz w:val="20"/>
          <w:szCs w:val="20"/>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prohibited from trading on Nasdaq under the HFCAA if the PCAOB cannot continue to inspect our independent registered public accounting firm for two consecutive years;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volatility of the trading price of our ADSs and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different listing rules and regulations that apply to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limitation of the voting, inspection and other rights of holders of ADSs.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set forth in this annual report. If any of the following risks were actually to occur, our business, financial condition and results of operations prospects could be adversely affected and the value of our ADSs and shares would likely suffer.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Games and Related Value-added Services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develop and introduce popular, high-quality online games in a timely and successful manner, we will not be able to compete effectively and our ability to generate revenues will suffer.</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R&amp;D and testing and also typically experiences a long ramp-up period as players become familiar with the game. If we are unsuccessful in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in the past, when the gaming industry was transitioning to mobile games, we began devoting significant resources to developing games that can be operated on mobile devices. As of December 31, 2024, we had commercially launched approximately 100 mobile games, including the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mobile game, </w:t>
      </w:r>
      <w:r>
        <w:rPr>
          <w:rFonts w:ascii="Times New Roman" w:cs="Times New Roman" w:eastAsia="Times New Roman" w:hAnsi="Times New Roman"/>
          <w:sz w:val="18"/>
          <w:szCs w:val="18"/>
          <w:i w:val="1"/>
          <w:iCs w:val="1"/>
          <w:color w:val="auto"/>
        </w:rPr>
        <w:t>Westward Journey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Online </w:t>
      </w:r>
      <w:r>
        <w:rPr>
          <w:rFonts w:ascii="Times New Roman" w:cs="Times New Roman" w:eastAsia="Times New Roman" w:hAnsi="Times New Roman"/>
          <w:sz w:val="18"/>
          <w:szCs w:val="18"/>
          <w:color w:val="auto"/>
        </w:rPr>
        <w:t>mobile game,</w:t>
      </w:r>
      <w:r>
        <w:rPr>
          <w:rFonts w:ascii="Times New Roman" w:cs="Times New Roman" w:eastAsia="Times New Roman" w:hAnsi="Times New Roman"/>
          <w:sz w:val="18"/>
          <w:szCs w:val="18"/>
          <w:i w:val="1"/>
          <w:iCs w:val="1"/>
          <w:color w:val="auto"/>
        </w:rPr>
        <w:t xml:space="preserve"> Infinite Borders </w:t>
      </w:r>
      <w:r>
        <w:rPr>
          <w:rFonts w:ascii="Times New Roman" w:cs="Times New Roman" w:eastAsia="Times New Roman" w:hAnsi="Times New Roman"/>
          <w:sz w:val="18"/>
          <w:szCs w:val="18"/>
          <w:color w:val="auto"/>
        </w:rPr>
        <w:t>(previously known as</w:t>
      </w:r>
      <w:r>
        <w:rPr>
          <w:rFonts w:ascii="Times New Roman" w:cs="Times New Roman" w:eastAsia="Times New Roman" w:hAnsi="Times New Roman"/>
          <w:sz w:val="18"/>
          <w:szCs w:val="18"/>
          <w:i w:val="1"/>
          <w:iCs w:val="1"/>
          <w:color w:val="auto"/>
        </w:rPr>
        <w:t xml:space="preserve"> Invincible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Identity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Eggy Party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Justice </w:t>
      </w:r>
      <w:r>
        <w:rPr>
          <w:rFonts w:ascii="Times New Roman" w:cs="Times New Roman" w:eastAsia="Times New Roman" w:hAnsi="Times New Roman"/>
          <w:sz w:val="18"/>
          <w:szCs w:val="18"/>
          <w:color w:val="auto"/>
        </w:rPr>
        <w:t>mobile game. While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continue to invest in mobile games, the market for mobile games is rapidly evolving with games in an expanding range of genres being introduced by us and our competitors, and we cannot guarantee that we will be able to effectively compete in the mobile game market. Additionally, we have launched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more recently,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on Xbox and on PlayStation consoles, with plans to launch additional console games in the future. We will also need to continue investing in the development of new technologies and bring new features and functionalities to our games, as well as enhance the user experience on our various platforms.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we must utilize this information to effectively incorporate features into our updates and expansion packs to improve the variety and attractiveness of our gameplay and any virtual items sold within the games.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Chinese government has taken steps to limit online game playing time for all minors and to otherwise control the content and operation of online games.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its anti-addiction online game policy, the Chinese government has taken several steps to discourage minors under the age of 18 from continuously playing online games once they exceed a set number of hours of continuous play. For a detailed description of these regulations, see Item 4.B. “Information on the Company—Business Overview—Government Regulations—Regulations on Online Games.”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Law of the PRC on the Protection of Minors, or the Minors Protection Law, issued by the National People’s Congress Standing Committee on September 4, 1991 and last amended on April 26, 2024, online game service providers are required to classify game products in accordance with relevant regulations and standards, give age-appropriate tips and take technical measures to prevent minors from accessing improper games or game functions. Violations of the Minors Protection Law could result in rectification, confiscation of illegal gains and penalties. In 2019, the GAPP restricted play of online gamers under 18 years old to 90 minutes on weekdays and three hours on weekends. In September 2021, the Chinese government and regulatory authorities further limited the play of online gamers under 18 by prohibiting play on weekdays and limiting playing for one hour a day on Fridays, Saturdays, Sundays and PRC statutory holidays. In addition, all online games must be connected to the real-name verification system for anti-addiction to online games operated by the NPPA, and online game operators may not provide game services in any form to any users without real-name registration and login. Furthermore, online transactions of minors in games are capped monthly at certain amounts, depending on a minor’s age.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updated our anti-addiction systems accordingly to comply with the above-mentioned requirements in all material respects. We do not believe that the above-mentioned requirements have had or will have any material impact on our gaming operations because minors comprise only a small percentage of our total user base, but we cannot assure you that any future regulations or restrictive rules will not adversely affect our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if adopted, would stipulate, among other requirements, that online game publishers and operators (i) may not publish and operate online games that make participation in battles compulsory; (ii) may not provide inducement rewards such as daily logins, first recharges, and continuous recharges, and must set user recharge limits; (iii) may not allow the payment of large monetary rewards in the live streaming of online games; and (iv) may not allow minors to pay monetary rewards in online games live streaming or provide loot boxes to minors. For more information, see Item 4.B. “Information on the Company—Business Overview—Government Regulations—Regulations on Online Games.”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would be enacted, interpreted or implemented and how they will affect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took effect on January 1, 2024. This regulation establishes measures that online game service providers must implement to protect minors, including, among other things, verifying the identity information of minor users, reasonably restricting minors’ network service expenditure based on their age groups and setting and optimizing game rules to prevent minors from cyber addiction. As of the date of the filing of this annual report, we have implemented measures to comply with the requirements outlined in this regulation in all material aspects. Moreover, on November 15, 2024, the CAC issued the Guidelines for the Construction of Minors Mode in Mobile Internet. These guidelines outline an overall plan for developing a “minors mode,” which requires mobile smart terminals, mobile internet applications and related distribution platforms to collaborate and improve management of online content, as well as the time minors spend online. When a device is set to “minors mode,” it will feature preset limits on the duration and type of content minors can access, along with options to customize these settings, so as to prevent internet addiction and support parents in supervising their children’s online activities. The spending of minors in games may be further restricted alongside the establishment of the minors mode. We are currently developing the minors mode together with mobile smart terminals and related distribution platforms. However, given that these guidelines and the Regulation on the Protection of Minors in Cyberspace are relatively new, there remain uncertainties as to their interpretation and application.</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difficulties in receiving approval from the relevant government authorities for our new games or new expansion packs for, or material changes to, our existing games could adversely affect such games’ popularity and profitability.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if we are unable to receive government approvals within an expected timeframe, the profitability and popularity of such games could be affected. Game approvals have experienced certain suspensions in the past, during which periods the PRC game regulatory authority, the NPPA, did not release any new domestic online game approvals. We cannot predict whether there will be any similar suspension in the future, and the effect any future suspension may have on our results of operations. Moreover, we are required to have an Online Publishing Service License issued by the NPPA so that we can obtain any such approvals by ourselves. Our current license has expired, and we are in the process of renewing it, although we cannot be certain if or when such renewal will be granted. During this renewal period, we have engaged licensed third parties to obtain such approvals, and our operations have not been materially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content and mechanics of our games are subject to a variety of laws and regulations in China mainland and elsewhere, many of which are unsettled and still developing, which could subject us to claims or otherwise adversely affect our business,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a variety of laws in China mainland and abroad that affect our game business, particularly laws regarding content suitability, consumer protection, and protection of minors, which are continuously evolving and developing. The scope and interpretation of the laws that are or may be applicable to us are often uncertain and may be conflicting. There is a risk that existing or future laws may be interpreted in a manner that is not consistent with our current practices and which could adversely affect our business. It is also likely that as our business grows and evolves and our games are played in a greater number of countries, we will become subject to laws and regulations in additional jurisdictions or other jurisdictions may claim that we are required to comply with their laws and regulations.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games are subject to regulations regarding the appropriateness of their content. For example, the Chinese government and regulatory authorities prohibit any internet content that, among other things, violates PRC laws and regulations, endangers the national security of China, or is obscene, superstitious, violent or defamatory. When ICPs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ICP license and other required licenses to operate our business. ICPs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 Additionally, the Chinese government has enacted regulations that prohibit online game service providers from providing content for minors that might induce addiction, and allowing minors to access improper games or game functions. See “—The Chinese government has taken steps to limit online game playing time for all minors and to otherwise control the content and operation of online games”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are ongoing academic, political and regulatory discussions in many jurisdictions around the globe regarding whether certain game genres, or certain game mechanics such as “loot boxes”, should be subject to a higher level or different type of regulation than other game genres or mechanics to protect consumers, and, if so, what such regulation should include. Several jurisdictions have been regulating and continue to regulate the use of loot boxes in games. For example, China mainland has been developing and tightening regulations on the offering of loot boxes in recent years, including, among other things, that loot boxes cannot be acquired with real money or virtual currency, and the odds of winning must be published. Loot boxes are a commonly used monetization technique in games where a player can acquire a virtual loot box, typically through game play or by in-game purchases, but the player does not know which virtual item(s) he or she will receive (which may be a common, rare, or extremely rare item, and may be a duplicate of an item the player already has in inventory) until the loot box is opened. In a number of our games, certain mechanics may be deemed to be loot boxes. New regulations which we may be required to comply with may vary significantly across jurisdictions.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 mechanics, which would harm our business, financial condition and results of operations. In addition, the increased attention focused upon liability issues as a result of lawsuits and legislative proposals could harm our reputation or otherwise impact our growth.</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growth and development of e-commerce, virtual items and virtual currency may prompt calls for more stringent consumer protection laws. For example, existing laws or new laws regarding the marketing of in-app purchases, labeling of free-to-play games, or regulation of currency, banking institutions, unclaimed property, or money transmission may be interpreted to cover our games and the virtual currency, virtual items or payments that we receive. If that were to occur, we may be required to seek licenses, authorizations or approvals from relevant regulators, the granting of which may be dependent on our meeting certain requirements. We may also be subject to additional regulation and oversight, all of which could significantly increase our operating costs, lessen the growth of our games and impair our business, financial condition or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Because our long-term growth strategy involves further expansion of our online games to players outside of China, our business will be susceptible to risks associated with international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 important component of our growth strategy involves the further expansion of our online games and game player base internationally. In particular, we have launched our popular games </w:t>
      </w:r>
      <w:r>
        <w:rPr>
          <w:rFonts w:ascii="Times New Roman" w:cs="Times New Roman" w:eastAsia="Times New Roman" w:hAnsi="Times New Roman"/>
          <w:sz w:val="18"/>
          <w:szCs w:val="18"/>
          <w:i w:val="1"/>
          <w:iCs w:val="1"/>
          <w:color w:val="auto"/>
        </w:rPr>
        <w:t>Knives 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xml:space="preserve"> in Japan and other markets across the globe, and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Once Human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globally. In the future, we plan to continue to launch our online games in various international markets. The expansion of our online games to markets outside of China will involve a variety of risks, including:</w:t>
      </w:r>
    </w:p>
    <w:p>
      <w:pPr>
        <w:spacing w:after="0" w:line="183"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anticipating the preferences of game players in markets outside of China;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including local game operators, and establishing and maintaining good working relationships with them;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adapting and/or developing games which effectively address cultural differences and consumer preferences and are compliant with the local legal and regulatory environment;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international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information;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regulations that could make it difficult to repatriate earnings and cash.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unlike a large portion of game players in China mainland who access games through PCs and mobile devices, many game players in international markets play games predominantly via consoles such as Xbox and PlayStation. We have launched several games, such as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on console and plan to release numerous additional console game releases in the future. We have, however, limited experience developing and marketing console games or in adopting our PC and mobile games to console formats, and the popularity of such games may not meet our expectations or be as profitable as our PC and mobile games.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proprietary platforms,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in a material way and/or repeatedly, the particular platform provider may discontinue or limit our access to that platform, which could harm our business. Moreover, certain of such terms and conditions are subject to interpretation when applied in specific circumstances, and the platform providers may disagree with our interpretation.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a few of these third-party platforms dominate the distribution of mobile applications. Any changes in the revenue-sharing, payment or other arrangements that we have with any of the major third-party application platforms may materially impact our revenue and profitability. Failure to renew any revenue-sharing agreement or any other material agreement with these major third-party application platforms may result in discontinued or limited access to such platforms, which could harm our business.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spacing w:after="0" w:line="176"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discretionary spending devoted by players to non-essentials such as acquiring in-game virtual items;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of interactive entertainment, particularly games on console systems which are more popular in North America, Europe and Japan but which we have only recently begun offering, and other leisure activities;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PC, smartphone and tablet technologies;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game player demographics and public tastes and preferences;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restrictions on the playing of online games;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alternative gameplay models such as cloud-gaming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assurance that the online game industry will continue to grow in future periods at any particular rate or at all.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making our mobile games profitable, and our profits from mobile games may be relatively lower than the profits we have enjoyed historically for PC games.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games and related value-added services segment, which include both the operation of online games as well as other related or ancillary services to the games, net revenues from the operation of online games accounted for 92.5%, 92.9% and 96.2% for the years ended December 31, 2022, 2023 and 2024, respectively. We generate a large portion of revenue in our operation of online games from our mobile games. Our profits from our mobile games, even if the games are successful, are generally lower than our profits generated from PC games, because, in order to gain access to our games on mobile application stores, which are the primary platforms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mobile games and many of our PC games currently utilize the item-based revenue model, which generates a significant portion of our revenue from games and related value-added services.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Providing a high level of customer service for our players is crucial to maintaining and growing the popularity of our online games, and any failure to do so could harm our reputation and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stable relationships with our existing game licensors and co-developers, and we may experience difficulties in the operation of the online games licensed from them.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mobile and PC games we offer are licensed from third-party developers, which accounted for 9.5%, 4.6% and 7.4% of our total net revenues in 2022, 2023 and 2024, respectively.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affect our business, financial conditions and results of operations.</w:t>
      </w:r>
    </w:p>
    <w:p>
      <w:pPr>
        <w:spacing w:after="0" w:line="18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We have a number of licensing arrangements, including an exclusive agreement with Mojang AB, a subsidiary of Microsoft, pursuant to which Microsoft and Mojang agreed to license the operation of </w:t>
      </w:r>
      <w:r>
        <w:rPr>
          <w:rFonts w:ascii="Times New Roman" w:cs="Times New Roman" w:eastAsia="Times New Roman" w:hAnsi="Times New Roman"/>
          <w:sz w:val="18"/>
          <w:szCs w:val="18"/>
          <w:i w:val="1"/>
          <w:iCs w:val="1"/>
          <w:color w:val="auto"/>
        </w:rPr>
        <w:t>Minecraft</w:t>
      </w:r>
      <w:r>
        <w:rPr>
          <w:rFonts w:ascii="Times New Roman" w:cs="Times New Roman" w:eastAsia="Times New Roman" w:hAnsi="Times New Roman"/>
          <w:sz w:val="18"/>
          <w:szCs w:val="18"/>
          <w:color w:val="auto"/>
        </w:rPr>
        <w:t xml:space="preserve"> in the PRC to us until 2022. The term of such license was extended in 2019 and further renewed in 2023. In addition, following the expiration of the licenses covering the publication of several games of Blizzard in China mainland in January 2023, we entered into a new license arrangement with Blizzard in 2024 to operate those and other titles. These games include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other titles in the </w:t>
      </w:r>
      <w:r>
        <w:rPr>
          <w:rFonts w:ascii="Times New Roman" w:cs="Times New Roman" w:eastAsia="Times New Roman" w:hAnsi="Times New Roman"/>
          <w:sz w:val="18"/>
          <w:szCs w:val="18"/>
          <w:i w:val="1"/>
          <w:iCs w:val="1"/>
          <w:color w:val="auto"/>
        </w:rPr>
        <w:t>Warcraft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Overwatch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Diablo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StarCraft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termination of any such licenses could adversely affect our business, financial conditions and results of operations. 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spacing w:after="0" w:line="17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We also offer games that are co-developed, such as </w:t>
      </w:r>
      <w:r>
        <w:rPr>
          <w:rFonts w:ascii="Times New Roman" w:cs="Times New Roman" w:eastAsia="Times New Roman" w:hAnsi="Times New Roman"/>
          <w:sz w:val="18"/>
          <w:szCs w:val="18"/>
          <w:i w:val="1"/>
          <w:iCs w:val="1"/>
          <w:color w:val="auto"/>
        </w:rPr>
        <w:t>Diablo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Immortal</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color w:val="auto"/>
        </w:rPr>
        <w:t>, which we developed with Blizzard pursuant to an agreement that is in addition to the license discussed above. If we are unable to maintain stable relationships with our co-developers, we may not be able to ensure the smooth development and operation of these co-developed online games, and our co-developers may terminate their business relationships with us, which could harm our business, financial conditions and results of operations.</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receive relatively lower profits from the operation of online games that we license from third-party developers and are subject to certain financial obligations in connection with such licenses.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or a combination of the forgoing.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alliances may expose us to potential risks, including those associated with the assimilation of new operation technologies and personnel, unforeseen or hidden liabilities, and potential business disputes with our partners, among other things.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financial conditions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our material intellectual property licenses could have a material adverse effect on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online games rely on intellectual property license agreements which give us the right to use certain names, characters, logos or storylines in connection with online games developed by us. For example, we have a license agreement with Marvel to operate mobile games based on Marvel characters and storylines. If we were to breach any material term of our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new games may attract game players away from our existing games, which may have a material adverse effect on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Illegal game servers and acts of cheating by players of online games could harm our business and reputation and materially and adversely affect our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suspect a player of installing cheating programs on our online games, or of engaging in other types of unauthorized activities, we may freeze that player’s game account or even ban the player from logging on to our games and other online platforms. Such activities to regulate the behavior of our users are essential to maintaining a fair playing environment for our users. However, our users may dispute our regulatory activities and institute legal proceedings against us for damages or claims. Our business, financial condition and results of operations may be materially and adversely affected as a result.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online games will be less likely to be successful if we cannot adopt and implement innovative and effective marketing strategies to attract attention to our games from game players in our targeted demographic groups.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our 163.com website,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such trading activities could run afoul of PRC regulations on virtual currency and subject traders and us to potential liability. See “—Risks Related to Doing Business in China—Restrictions on virtual currency may adversely affect our online game revenues” for additional information.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laws related to live streaming and online entertainment industries. Any failure to comply with or any changes in the applicable laws, regulations, policies and guidelines may adversely impact the prospects and results of operations of our services in such industries.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and services of live streaming and online entertainment must comply with numerous laws, regulations, policies and guidelines promulgated by PRC authorities. For example, platforms providing show live streaming should have registered their information and business operations by November 30, 2020, and live streaming platforms that provide network audio-visual program services must hold an Audio and Video Service Permission, or AVSP, or complete the registration in the National Network Audio-visual Platform Information Registration Management System. For more information, see Item 4.B. “Information on the Company—Business Overview—Government Regulations—Regulations on Internet Live Streaming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Regulatory authorities in China have been heightening their oversight of live streaming businesses. Pursuant to applicable PRC laws and regulations, users who have not registered with their real names or who are minors are prohibited from engaging in virtual gifting. Also, live broadcasting service providers are not allowed to register online live broadcasting publisher accounts for minors under the age of 16, and must obtain the consent from parents or guardians and verify the identity of the minors before allowing minors aged 16 or above to register live broadcasting publisher accounts. On August 30, 2021, the MOCT published the Online Performance Brokerage Agencies Measures. According to the Online Performance Brokerage Agencies Measures, online performance brokerage agencies cannot provide online performance brokerage services to minors under the age of 16 and, if online performance brokerage services are provided to minors over the age of 16, identity information of the minors must be verified and written consent must be obtained from their guardians. On May 7, 2022, the Office of the Central Guidance Commission on Building Spiritual Civilization, MOCT, NRTA and CAC jointly issued the Opinions on Regulating Online Live Streaming Virtual Gifting and Strengthening the Protection of Minors, or the Live Streaming Opinions, which reiterate the requirements for live streaming platforms in respect of strengthening real-name registration, restrictions on minors from virtual gifting and prohibition on providing live streaming services to minors. The PRC government may further tighten the account registration and identity verification requirements for minors or impose a higher standard with respect to the registration and identity verification for all users on our platforms in the future, which may require us to upgrade our system, purchase additional services from third-party service providers and incur additional costs. Any such event may deter potential users from registering with our platforms, which may in turn adversely affect the growth of our user base and business prospects.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Notice on Strengthening the Administration of Online Show Live and E-commerce Live Streaming, or Notice 78, Online Performance Brokerage Agencies Measures and the Live Streaming Opinions set forth certain restrictions on inducing users to spend or to promote performers on their platform. For detailed information, please refer to Item 4.B. “Information on the Company— Business Overview—Government Regulations —Regulations on Internet Live Streaming Services.” Notice 78, the Online Performance Brokerage Agencies Measures and the Live Streaming Opinions are relatively new, and the interpretation and enforcement of these regulations involve uncertainties. We cannot guarantee that new rules or regulations promulgated in the future will not impose any additional restrictions on live streaming, especially on virtual gifting. Any limits or restrictions on live streaming ultimately imposed may adversely affect our business, financial conditions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Other Businesses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Youdao business’s compliance with the relevant after-school tutoring regulations and rules issued by the relevant PRC government authorities has materially and adversely affected and may continue to affect Youdao’s business, financial condition, results of operations and prospects.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private education industry, especially the after-school tutoring sector, was subject to significant regulatory changes in the second half of 2021 that materially and adversely impacted the business of our majority-controlled subsidiary, Youdao. Youdao disposed of its Academic AST Business in 2021 and no longer offers any AST courses on academic subjects for students receiving compulsory education and for high-school students. With respect to Youdao’s non-academic after-school tutoring services, current laws and regulations require local authorities to identify corresponding competent authorities for different tutoring categories of non-academic after-school tutoring services (e.g., physical education, arts, science, etc.) and set forth standards by categories to approve institutions for offering each category of non-academic after-school tutoring service. Youdao follows internal guidelines to make necessary registrations and filings, except as would not have a material adverse effect on its business, and will use its commercially reasonable efforts to obtain, maintain and renew necessary licenses and permits on a timely basis. However, we cannot assure you that Youdao may be able to obtain and maintain all requisite licenses, permits, approvals and filings or pass all requisite assessments in a timely manner or at all.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certain aspects of our Youdao business may be deemed to not be in full compliance with relevant laws and regulations regarding after-school tutoring services. We have been making and will continue to make efforts to comply with such regulations as well as requirements from the relevant government authorities during such inspections. We cannot assure you, however, that we will be able to comply with such regulatory requirements in a timely manner, or at all. It is also uncertain whether and how the PRC government would promulgate additional laws, regulations and guidance regarding the private education industry, and there is no assurance that we can comply with any such newly promulgated laws, regulations and guidance in a timely manner, or at all. Moreover, Youdao’s business may be required to apply for and obtain additional licenses, permits or recordation or expand the scope of the licenses already obtained, given the uncertainties of the interpretation and implementation of certain regulatory requirements applicable to online education businesses.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success and future growth of our Youdao business will be affected by the user acceptance and market trend of integration of technology and learning</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Youdao’s business model features integrating technology closely with learning to provide a more efficient and engaging learning experience. Intelligent learning remains a relatively new concept in China, and there are limited proven methods to project user demand or preferences or available industry standards. Even with the proliferation of internet and mobile devices in China, we believe that some of Youdao’s target students may still be inclined to choose traditional face-to-face learning approaches over virtual learning as they find the former more intimate and reliable. We cannot assure you that Youdao’s products and services will continue to be attractive to our users in the future. If Youdao’s offering of learning services and smart devices becomes less appealing to our users, the financial condition and results of operations of our Youdao business could be materially and adversely affected.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If Youdao fails to develop and apply technologies to support and expand its product and service offerings or if Youdao fails to timely respond to the rapid changes in industry trends and user preferences, our Youdao business may be materially and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Over the years, Youdao has developed a number of core technologies to support its comprehensive suite of products and services. Youdao also relies on technologies to build and maintain its information technology infrastructure. The intelligent learning industry is subject to rapid technological changes and innovations and affected by unpredictable product lifecycles and user preferences. Youdao’s technologies may become obsolete or insufficient, and Youdao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Youdao’s substantial investments in technologies may not produce expected results. If Youdao fails to continue to develop, innovate and utilize its technologies to support and expand its product and service offerings or if its competitors develop or apply more advanced technologies, the financial condition and results of operations of our Youdao business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changes in Youdao’s business strategies and offerings may make it difficult to evaluate its future prospects.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disposal of its Academic AST Business following the PRC regulatory changes discussed above, Youdao completed its transition to become an AI-powered solutions provider specializing in artificial intelligence applications for the learning and advertising verticals and has developed a comprehensive suite of product and service offerings. Youdao recently introduced a number of new intelligent learning products, such as </w:t>
      </w:r>
      <w:r>
        <w:rPr>
          <w:rFonts w:ascii="Times New Roman" w:cs="Times New Roman" w:eastAsia="Times New Roman" w:hAnsi="Times New Roman"/>
          <w:sz w:val="18"/>
          <w:szCs w:val="18"/>
          <w:i w:val="1"/>
          <w:iCs w:val="1"/>
          <w:color w:val="auto"/>
        </w:rPr>
        <w:t>Youdao Dictionary Pen A7 Pro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Youdao Dictionary Pen X7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significant changes in Youdao’s business strategies and offerings have not only rendered its historical results prior to such disposal no longer indicative of its future performance, but they may also have some or all of the following unintended effects:</w:t>
      </w:r>
    </w:p>
    <w:p>
      <w:pPr>
        <w:spacing w:after="0" w:line="162" w:lineRule="exact"/>
        <w:rPr>
          <w:sz w:val="20"/>
          <w:szCs w:val="20"/>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users, customers and business partners may not receive the changes in Youdao’s business strategies and offerings in a positive manner, and relationships with these parties may be jeopardized;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Youdao’s new products and services may not be accepted by its users as we expect;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Youdao’s new products and services may not attract users and customers or generate the revenue required to succeed;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assumptions and estimates about Youdao’s new businesses and the new markets that it attempts to enter into may prove incorrect, which may cause Youdao’s actual results of operations to fall short of our expectations;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Youdao enters into new businesses, its previous operating history may be of limited use for investors to evaluate Youdao’s future performance and prospects;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products and services could be costly and time-consuming and requires us to make significant investments in research and product development, develop new technologies, and increase sales and marketing efforts, all of which may not be successful;</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will be incurred in the implementation of the new business strategies, which could be substantial;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organizational structure that will be required to support the changes in Youdao’s business strategies and offerings may lead to dissatisfaction among employees which could make it more difficult for Youdao to retain key employees.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and uncertainties, Youdao’s and hence our business, financial condition and results of operations could be materially and adversely affected.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intelligent learning, music streaming, e-commerce, advertising and other innovative businesses are subject to a broad range of laws and regulations, and future laws and regulations may impose additional requirements and other obligations.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our online music business and services, which we conduct through our majority-controlled subsidiary NetEase Cloud Music, must comply with laws, regulations, policies and guidelines promulgated by PRC government authorities related to music streaming, live streaming and online entertainment industries. In addition, NetEase Cloud Music and its subsidiaries are required to obtain various government approvals, licenses and permits or make various registrations and filings to provide internet information services, internet culture services, internet publication services, online audio-visual products and other related value-added telecommunications services, including the requirement to hold an AVSP or complete the registration in the national network audio-visual platform information registration management system. For more information, see Item 4.B. “Information on the Company— Business Overview—Government Regulations—Regulations on Internet Live Streaming Services.” NetEase Cloud Music and its subsidiaries have submitted an application to register with the registration management system, which is currently under review, and we cannot assure you that such registration will be approved or that NetEase Cloud Music will no longer be required to hold an AVSP if and when such registration is completed.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e-commerce business is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Additionally,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“—Risks Related to Our Corporate Structure” and “—Risks Related to Doing Business in China.”</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these industries are evolving rapidly in China, the interpretation and application of existing PRC laws may also evolve in different ways, and new laws, regulations or policies may be adopted. We cannot assure you that we have obtained all the approvals, licenses or permits required for our businesses or will be able to maintain our existing approvals, licenses or permits. If the PRC governmental authorities determine that we are not in compliance with all the requirements under applicable laws and regulations, we may be required to obtain additional licenses or permits or be subject to fines and/or other sanctions.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 including being subject to liabilities, penalties, impediments in development of such business models and disruptions to its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controlling interest in Youdao and/or NetEase Cloud Music may be diluted if Youdao and/or NetEase Cloud Music raise additional capital with the issuance and sale of additional equity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Youdao, our majority-controlled subsidiary listed on the New York Stock Exchange, and/or NetEase Cloud Music, our majority-controlled subsidiary listed on the Hong Kong Stock Exchange, may need additional capital in the future to fund their continued operations and support their business growth. As Youdao and/or NetEase Cloud Music will continue to invest heavily in improving technologies, expanding their marketing efforts, hiring qualified personnel and offering additional products, services and content, Youdao and/or NetEase Cloud Music may not generate sufficient revenue to offset such expenses. In the future, should Youdao and/or NetEase Cloud Music require additional liquidity and capital resources to fund their business and operations, Youdao and/or NetEase Cloud Music may need to obtain additional financing, including issuing and selling additional equity or equity-linked securities, or issuing additional equity awards to incentivize their employees, which would dilute our interests in Youdao and/or NetEase Cloud Music.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Youdao, our majority-controlled subsidiary, relies on our financial support.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formation, Youdao has received various financial support from the NetEase group, among other things, currently including RMB878.0 million outstanding interest-bearing short-term loans as of December 31, 2024 and a US$300.0 million revolving loan facility. If Youdao’s management cannot implement an effective business plan in light of the changing regulatory environment to generate operating cash flows and continue to be able to obtain other sources of financing as necessary for Youdao’s future development, it will continue to rely on the financial support from the NetEase group for its continuing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devoted, and will continue to devote substantial efforts to monetizing our user base in NetEase Cloud Music’s music streaming business. If we fail to effectively execute such monetization strategies, NetEase Cloud Music’s business may be materially and adversely affected which may adversely affect our consolidated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music streaming business is operated by our majority-controlled subsidiary NetEase Cloud Music, and we have devoted substantial efforts to monetizing its user base by increasing the number of paying users and cultivating users’ willingness to pay for music. NetEase Cloud Music monetizes its music streaming platform primarily through the sales of membership subscriptions for online music services and sales of virtual items for social entertainment services. At a strategic level, we plan to continue to optimize our existing monetization strategies and explore new monetization opportunities. It is crucial to balance, on the one hand, creating sufficient monetization opportunities, which enhances the revenues of our platform, and, on the other hand, maintaining an enjoyable platform, which helps to maintain a sizable user base, high user engagement and associated network effects. However, if these efforts fail to achieve our anticipated results, we may not be able to increase or even maintain NetEase Cloud Music’s revenue growth.</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increase the number of our paying users and cultivate our users’ willingness to pay for music content and social entertainment services, we will need to address a number of challenges, including but not limited to providing consistently high-quality and user-friendly experience, continuing to curate a catalogue of engaging content and continuing to introduce new, appealing products, services and content that users are willing to pay for. If we fail to address any of these challenges, especially if we fail to offer high-quality music content and superior user experience to meet user preferences and demands, NetEase Cloud Music may not be successful in increasing the number of paying users and cultivating users’ willingness to pay for music content and social entertainment services, which could have a material adverse impact on NetEase Cloud Music’s business, and negatively impact our consolidated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anticipate user preferences to provide online music streaming content catering to user demands, or maintain the attractiveness of our services to users and business partners, NetEase Cloud Music’s business may be materially and adversely affected, which may adversely affect our consolidated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Constantly changing consumer preferences have affected and will continue to affect the music industry, in particular online music platforms. Given that our music streaming business operates in a rapidly evolving industry, we need to anticipate user preferences and industry changes and respond to such changes in a timely and effective manner. We must stay abreast of emerging consumer preferences and anticipate product trends that will appeal to existing and potential users. If NetEase Cloud Music fails to cater to the needs and preferences of NetEase Cloud Music’s users and control our costs in doing so or fail to deliver compelling user experience, NetEase Cloud Music may suffer from reduced user traffic, and NetEase Cloud Music’s business may be materially and adversely affected, which may adversely affect our consolidated results of operations.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Maintaining and enhancing the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brand is critical to expanding NetEase Cloud Music’s base of users, advertisers, content contributors and other partners. Maintaining and enhancing this brand will depend largely on our ability to continue to develop and provide an innovative and high-quality experience for our listeners and attract advertisers, content owners and other parties to work with us, which we may not do successfully. Our brand may be impaired by a number of other factors, including service outages, data privacy and security issues, listener perception of ad load and exploitation of our trademarks by others without permission. In addition, if our partners fail to maintain high standards for products that integrate our service, the strength of our brand could be adversely affected.</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music streaming business partners include music labels, advertisers, talent agencies and others. We help our advertisers reach and engage with their target users through the services and solutions we offer through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Our ability to grow our revenues to a certain extent depends on our ability to retain and enhance our relationships with our existing business partners and attract new ones. Our success also depends on our ability to provide effective services and solutions that meet the expectations of our business partners. For instance, if we fail to develop new advertisement formats or effective marketing solutions that are appealing to our business partners, they may turn to our competitors for alternative services. Our business also relies on content, services and technologies provided by some business partners. If we fail to retain and enhance our business relationships with these business partners, or if these business partners choose to terminate or change the terms of our cooperation arrangements for strategic, financial or other reasons, we may suffer content loss, service interruptions or reduced revenues, which may have a material and adverse effect on NetEase Cloud Music’s business and may adversely affect our consolidated results of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third-party licenses for a significant portion of our music content, and any adverse changes to, or loss of, our relationships with these music content providers may materially and adversely affect NetEase Cloud Music’s business, which may adversely affect our consolidated results of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portions of our music offerings are licensed from music content partners, including music publishers and labels in China and internationally, with whom we have entered into licensing agreements. There is no assurance that the licenses currently available to us will continue to be available in the future at royalty rates and on terms that are favorable, commercially reasonable or at all.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also no guarantee that we have all of the licenses for the music content available on our platform, as we need to obtain licenses from many copyright owners, some of whom are unknown, and there are complex legal issues such as open questions of law as to when and whether particular licenses are needed. Additionally, there is a risk that copyright owners, talent agencies, or legislative or regulatory bodies may require or attempt to require us to enter into additional license agreements with, and pay royalties to, newly defined groups of copyright owners, some of which may be difficult or impossible to identify.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portion of our revenues is generated from our advertising services, but we may not be able to compete effectively in this market because of its rapidly evolving nature and intense competition, in which case our ability to generate and maintain advertising revenue in the future could be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anticipate that the revenues generated by our online games will continue to constitute the major portion of our future revenues, we believe that we will continue to rely on advertising as a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p>
      <w:pPr>
        <w:spacing w:after="0" w:line="183"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financial conditions of our advertisers and the general level of advertiser spending;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 large base of users possessing demographic characteristics attractive to advertisers;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major and emerging online advertising platforms;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software that blocks internet advertisements before they appear on a user’s screen;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pressure on online advertising prices;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delivery and tracking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government policy could also restrict or curtail our online advertising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e-commerce business is subject to challenges and risks, which may have a negative impact on our financial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established our private label consumer lifestyle brand, Yanxuan, in April 2016. Yanxuan sells a wide range of products, including pet food and supplies, home cleaning products, bedding and other categories of products, which we source from a variety of manufacturers. This business exposes us to challenges and risks that could negatively impact our financial performance. We have incurred significant expenses on a variety of different marketing and brand promotion efforts designed to enhance the recognition of our Yanxuan business and increase sales of our products. However, our brand promotion and marketing activities may not be well received by our customers and may not result in the levels of product sales that we anticipate.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profit margin from the e-commerce business, even if the business is successful, is likely to be relatively lower than our profit margin from certain of our other businesses, such as our online game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 Overall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Chinese market for internet content and services is intensely competitive and rapidly changing. Our competition primarily comes from global online game developers and operators, such as Tencent, established online and offline education service providers and manufacturers of smart hardware or devices in China, as well as leading digital media and entertainment providers. Some of our current and potential competitors are much larger than we are, and currently offer, and could further develop or acquire, content and services that compete with us. We mainly compete to:</w:t>
      </w:r>
    </w:p>
    <w:p>
      <w:pPr>
        <w:spacing w:after="0" w:line="183" w:lineRule="exact"/>
        <w:rPr>
          <w:sz w:val="20"/>
          <w:szCs w:val="20"/>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and retain users based on the design, quality, popularity and efficacy of our content offerings, the overall user experience of our products and services, as well as the effectiveness of our marketing activities;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motivated and capable talent, including engineers, game designers, product developers and creative professionals to build compelling content, tools and functions;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collaboration relationships with game studios and content owners based on our level of expertise in systematically developing original games, delivering a compelling user experience through operational know-how and customizing our established game titles for rapid expansion into overseas markets.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keep up with rapid changes in technologies and user behavior, our future success may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efforts to innovate and explore new areas of operations would be successful or have a positive financial impact on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their acceptance by the targeted customers and our assessment of market demands and trends.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competitors are constantly developing innovations, on both mobile devices and personal computers, to enhance users’ online experience in areas where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will have a positive financial impact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gross profit margin and profitability may be affected by changes in our mix of revenues.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segments, namely Youdao, NetEase Cloud Music and innovative businesses and others, have had lower gross profit margins compared to our games and related value-added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credit risk on our accounts receivable, which may be heightened during periods of uncertain economic conditions.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prolonged slowdown in the economies of the countries or regions where we operate may materially and adversely affect our results of operations and financial condition.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and net income are impacted to a significant extent by economic conditions in the markets where we operate, as well as economic conditions specific to online and mobile internet usage and advertising. Economic conditions, markets and levels of consumer spending are influenced by many factors beyond our control, including consumer perception of current and future economic conditions, political uncertainty, levels of employment, real disposable income, interest rates, taxation and currency exchange rates. Any prolonged slowdown in the economies of the countries or regions where we operate could lead to a reduction in demand for our services and consequently have a material adverse effect on our businesses,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currently operating in a period of economic uncertainty and capital markets disruption, which has been significantly impacted by rising inflation, energy costs and geopolitical instability, any of which could have a material adverse effect on our business,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resulting from increasing inflation, energy costs and the escalation of geopolitical tensions. The Russia-Ukraine conflict, the Hamas-Israel conflict and other volatility in the Middle East and elsewhere have heightened geopolitical tensions across the world and led to further market disruptions, including significant volatility in commodity prices, credit and capital markets, as well as supply chain interruptions, which has further fueled inflation. Although we have not identified any material impact to our business due to inflation or deflation as of the date of the filing of this annual report, any future inflation or deflation in the markets where we operate could affect our costs and consumer spending patterns in ways that negatively impact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have also been concerns about the relationship between China and other countries, such as the U.S., which may potentially have economic effects. In particular, there remains significant uncertainty regarding the future direction, scope, and duration of U.S. tariffs imposed on China, as well as any retaliatory measures that may be adopted by the Chinese government in response. While cross-border trading of goods is not a primary area of strategic focus for us, unfavorable developments in trade relations, such as increased tariffs, could indirectly increase our costs if, for example, our vendors, such as cloud services providers and data center operators, incur higher operating costs resulting from tariffs and pass those on to their customers. Moreover, such developments could adversely impact the businesses of our customers who engage in international commerce and may reduce demand for our products and services or impair our competitive positioning in certain markets. Certain governmental officials have also raised the possibility of targeting services, including online services, through digital services taxes or other means which could adversely affect our business. Additionally, prolonged trade disputes may disrupt global economic conditions, potentially impacting our business and growth prospects. As the duration, impact and interrelationship of the above-mentioned factors are difficult to predict, any of them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sanctions imposed by various jurisdictions may expose us to potential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sanctions laws prohibit us from doing business in or with certain countries, territories or governments, and with certain persons or entities that have been sanctioned by the United States (including without limitation those administered and enforced by the U.S. Department of Treasury’s Office of Foreign Asset Controls and the U.S. Department of State), the United Kingdom, British Overseas Territories (including the Cayman Islands), the European Union and its Member States, and other governments and international or regional organizations, such as the United Nations Security Council. Such trade sanctions programs may change frequently or evolve to regulate new areas of conduct, including with respect to the countries or territories that are already subject to trade sanctions. Additionally, more countries, territories, governments, persons or entities may be exposed to trade sanctions due to geopolitical instability. It is not, however, possible to predict how the international regulatory environment concerning trade sanctions may develop.</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company incorporated in the Cayman Islands, a British Overseas Territory, we are required to comply with sanctions implemented in the Cayman Islands, which generally reflect the United Kingdom sanctions. As regards U.S. sanctions and the sanctions of the European Union or its Member States, given that the substantial majority of our subsidiaries and operations are outside of the U.S. and the European Union, or the EU, we are generally not required to comply with U.S. and EU sanctions to the same extent as U.S. or EU entities. However, for companies like us, our U.S. and EU subsidiaries, employees who are U.S. citizens (or lawful permanent residents) or nationals of EU Member States, activities taking place in the U.S. or the EU, activities involving U.S.-origin goods, technology or services, activities traded in U.S. dollars, and certain conduct or dealings, among other activities, are subject to applicable sanctions requirements. Moreover, although our websites are open and available worldwide, we do not actively solicit business in countries that are subject to comprehensive trade sanctions or from persons who are subject to trade sanctions. Some trade sanctions specifically target China and China-based companies which may affect our business (see “—Export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below). We expect that our exposure to trade sanctions will increase as we continue to expand our international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internal controls to manage and monitor our compliance with applicable trade sanctions, but there can be no assurance that we are able to prevent or detect inadvertent business dealings with or involving sanctioned parties and we have limited control over the activities of our international business partners and non-controlled investees. We also cannot predict with certainty how relevant authorities will interpret, implement or enforce their trade sanction laws or regulations. While we do not believe that we are in violation of any applicable trade sanctions laws or that any of our activities are currently sanctionable under applicable laws, some of our activities or the activities of our affiliates could expose us to penalties under these laws. Any alleged trade sanctions violations may adversely affect our reputation, business, financial condition and results of operations. In addition, as we expand globally, we may incur significant costs related to current, new or changing trade sanctions, embargoes, export controls programs or other restrictions and disclosure requirements, as well as negative publicity, investigations, fines, fees or settlements, which may be difficult to predict.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number of countries and jurisdictions, including China, the U.S., the EU and the United Kingdom have adopted various export control and trade sanctions regimes, which are complex, change frequently with limited or no notice and have generally become more stringent over time. The addition of new entities to restricted party lists can further increase the scope of trade sanctions and export control restrictions applicable to our business.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particular, the U.S. government and other governments have threatened and/or imposed export controls, as well as trade sanctions, targeting China, and a number of China-based companies, including ZTE Corporation, Huawei Technologies Co., Ltd., Tencent Holdings Limited, certain of their respective affiliates, and other PRC-based technology companies. On October 7, 2022, the U.S. Commerce Department’s Bureau of Industry and Security announced a new set of export control rules aimed at restricting China’s ability to obtain advanced semiconductor chips, develop and maintain supercomputers, and manufacture advanced semiconductor chips. As a result, both U.S. and non-U.S. parties cannot export, re-export, or transfer (in-country) certain U.S.-origin advanced computing semiconductor chips, computer commodities that contain such chips, and certain semiconductor manufacturing items to China without export licensing, and the export to China of non-U.S. origin items in these categories from other countries may be subject to U.S. export licensing requirements if they are the product of certain controlled U.S. software and technology or of equipment or facilities that are themselves the product of certain controlled software or technology, or incorporate certain controlled U.S.-origin items. On October 17, 2023, the U.S. Bureau of Industry and Security, or BIS, announced updated export control rules on advanced computing items and semiconductor manufacturing equipment, including setting tighter parameters on existing restrictions on chips, which seek to strengthen and improve the controls imposed on October 7, 2022. On December 2, 2024, BIS announced two further rules strengthening export controls on advanced computing and semiconductor manufacturing items. BIS is continuing to finalize additional new export controls with respect to a wide range of “emerging and foundational” technologies, which could include certain software technologies that are relevant to our business and/or our future growth. In January 2023, Japan and the Netherlands, countries that are homes to some of the world’s most advanced semiconductor equipment manufacturers, also announced that they have agreed to restrict exports of advanced chip-manufacturing equipment to China. These rules may prevent us from acquiring advanced semiconductors which may impede our ability to effectively develop new technologies and services, including in the areas which require significant computer processing power.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possible that the United States or other jurisdictions may impose further export controls and/or trade sanctions, and other heightened regulatory restrictions on China and China-based companies in a wide range of areas. These regulatory restrictions could, among other prohibitions or restrictions, (1) prohibit or restrict firms from selling, exporting, re-exporting or transferring certain technology, components, software and other items to China-based companies, (2) prohibit or restrict persons from entering into transactions with China-based companies, (3) prohibit or restrict China-based companies from accessing data, providing services in or operating in the sanctioning jurisdiction, (4) prohibit purchases and sale of securities of Chinese firms, or (5) prohibit or restrict U.S. investment in China-based companies that operate in certain industries. In addition, Chinese companies, if targeted under U.S. trade sanctions, may lose access to the U.S. markets and the U.S. financial system, including the ability to use U.S. dollars to conduct transactions, settle payments or to maintain correspondent accounts with U.S. financial institutions. U.S. entities and individuals may not be permitted to do business with sanctioned companies or persons, and international banks and other companies may as a matter of law and/or policy decide not to engage in transactions with such companies. In January 2023, the U.S. House of Representatives formed a new Select Committee on the Strategic Competition Between the United States and the Chinese Communist Party, which is authorized to investigate and submit policy recommendations concerning the status of the economic, technological, and security progress of the Chinese Communist Party and its competition with the United States. We cannot predict what recommendations this committee may make from time to time or what new rules and regulations may ultimately be adopted in this regard.</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in December 2023, MOFCOM and MST issued the Announcement on Promulgation of the Catalogue of Technologies Prohibited or Restricted from Export by China which stipulates that certain technologies, including technologies related to personalized information push services based on data analysis, are restricted from export outside the PRC without approval. Some of our technologies could fall within the scope of technologies subject to such export restriction. In addition, according to the PRC Export Control Law which came into effect in December 2020, we, our affiliates and business partners may also be required to obtain licenses, permits and governmental approvals to export certain goods, technologies and services. These and additional regulatory restrictions and requirements that may become effective from time to time may increase our compliance burden and affect our ability and efficiency in expanding to international markets.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materially adversely affected by current or future export controls and/or trade sanctions. Moreover, if any of our expanding portfolio of investee companies, global business partners, joint venture partners or other parties that have collaborative relationships with us were to become affected by export controls or subject to trade sanctions, this might result in significant negative publicity, governmental investigations and reputational harm, as well as losses from impairments or write-offs.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a variety of laws and other obligations regarding data security and personal information protection in China, and our failure to comply with any of them could result in claims, complaints or proceedings against us by governmental entities, individuals or others and could harm our public image and reputation, which could have a material adverse effect on our business, results of operations and financial condition.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the VIEs and among our company, our subsidiaries, the VIEs and other parties with which we have commercial relations. These laws are continuing to develop, and the PRC government may adopt other rules and restrictions in the future. Non-compliance could result in penalties or other significant legal liabilities.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Cybersecurity Law of the PRC, or Cybersecurity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Cybersecurity Law provides that personal information and important data collected and generated by an operator of critical information infrastructure in the course of its operations in the PRC must be stored in the PRC. As of the date of the filing of this annual report, we have not been recognized as the operator of critical information infrastructure. We have undertaken significant measures in an effort to ensure compliance with the Cybersecurity Law. On September 12, 2022, the CAC issued the Decision on Amending the PRC Cybersecurity Law (Draft for Comments), which further refines and enhances the legal liabilities for violating various existing provisions of the Cybersecurity Law. As of the date of the filing of this annual report, these proposed amendments to the Cybersecurity Law have not been formally adopted by the National People’s Congress Standing Committee.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the CAC, NDRC, MIIT and other ten PRC regulatory authorities jointly issued the Cybersecurity Review Measures, which became effective from February 15, 2022. The Cybersecurity Review Measures require that critical information infrastructure operator or network platform operator carrying out the prescribed activities shall be subject to cybersecurity review, but there are uncertainties with respect to the interpretation and implementation of the measures. On September 24, 2024, the State Council issued the Regulations on Network Data Security Management, or the Data Security Regulations, which took effect on January 1, 2025. The Data Security Regulations provide that processors of important data are subject to a series of specific obligations, and cyber data processors whose cyber data processing activities affect or may affect national security shall be subject to national security review. Some of our business operations might be determined by regulatory authorities as involving processing important data, thereby requiring us to comply with corresponding obligations. Moreover, the Data Security Regulations provide no further explanation or interpretation for the criteria on determining the risks that “affect or may affect national security”. Given that the Data Security Regulations are relatively new, there remain uncertainties as to their interpretation and application.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anticipation of the strengthened implementation of cybersecurity laws and regulations and the continued expansion of our business, we face potential risks if we are deemed a “critical information infrastructure operator” or a “network platform operator” that affects or may affect national security under the Cybersecurity Review Measures,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business and diversion of our managerial and financial resources. Any violation of such cybersecurity laws and regulations by us may result in warnings and fines, and if we refuse to rectify or have caused severe consequences such as endangering data security, we may be further subject to suspension of our non-compliant operations, revocation of relevant approvals or business licenses or other sanctions. As of the date of the filing of this annual report, we have not been involved in any investigations or become subject to a cybersecurity review initiated by the CAC based on the Cybersecurity Review Measures, and we have not received any warning or sanction in such respect or any regulatory objections to our listing status from the CAC.</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which became effective on September 1, 2021. The PRC Data Security Law provides a national data security review system under which data processing activities that affect or may affect national security must be reviewed. Any organizational or individual data processing activities that violate the PRC Data Security Law will bear the corresponding civil, administrative or criminal liabilities depending on the specific circumstances. On August 17, 2021, the State Council promulgated the Regulations on Critical Information Infrastructure Security Protection, or the CII Regulations, which became effective on September 1, 2021. Pursuant to the CII Regulations, regulators supervising specific industries are required to formulate detailed guidance to identify critical information infrastructure in the respective sectors, and a critical information infrastructure operator must take the responsibility to protect the security of the critical information infrastructure by performing certain prescribed obligations. If we are deemed to be a “critical information infrastructure operator” under the CII Regulations, violation of provisions thereto could result in rectification, confiscation of illegal gains, fines and other legal or administrative sanctions.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PRC Personal Information Protection Law, or the PIPL, which came into effect on November 1, 2021. The PIPL stipulates the scope of personal information and the ways of processing personal information, establishes rules for processing personal information and for transferring personal information abroad, and clarifies the individual’s rights and the processor’s obligations in the process of personal information. With respect to the cross-border transfer of personal information outside the territory of PRC, PIPL requires that unless otherwise provided in the related international treaties or agreements concluded or acceded to by PRC, the handler of personal information must meet one of the following conditions: (i) pass the security assessment organized by CAC; (ii) have been certified by a specialized agency for protection of personal information in accordance with the provisions of the CAC; (iii) enter into a contract with the overseas recipient under the standard contract formulated by CAC; or (iv) meet other conditions prescribed by laws, administrative regulations or the CAC.</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Regulators have also issued regulations related to artificial intelligence, or AI, services and algorithmic services such as the Administrative Provisions on Internet Information Service Algorithm Recommendation, and the Interim Measures for the Administration of Generative Artificial Intelligence Services. The above provisions impose algorithm filing and security assessment requirements for specific services, and there still remain uncertainties as to whether or to what extent our business would be captured by the aforementioned algorithm filing and security assessment requirements. Any failure to comply with such filing or assessment requirements (to the extent that the relevant regulators deem that such regulatory procedures apply to us) or any other non-compliance or perceived noncompliance with the above provisions may subject us to penalties and liabilities including, among other things, warnings, public denouncement, fines, rectification orders, suspension of the provision of relevant services, and even criminal liabilities.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newly promulgated laws and regulations reflect the PRC government’s further attempts to strengthen the legal protection for national network security, data security, the security of critical information infrastructure and the security of personal information protection. These laws and regulations are relatively new, and therefore there are uncertainties with respect to their interpretation and implementation. We may need to adjust our business operations and systems to comply with these laws and regulations regarding network security, data security and personal information from time to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with respect to the above laws and regulations, see Item 4.B. “Information on the Company—Business Overview—Government Regulations—Regulations on Information Security and Censorship.”</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business operations do not violate any of the above PRC laws and regulations currently in force in any material respect. We have been taking and will continue to take reasonable measures to comply with such laws, regulations, announcement,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 and provisions and future regulations, laws and policies, we could incur additional expenses.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various data protection and privacy laws and regulations in jurisdictions outside of China. Failure to comply with these carries risks including, but not limited to, financial penalties, legal proceedings, claims and/or complaints to regulatory authorities and negative publicity. If these risks materialize, they could harm our reputation and have a material adverse impact on our business, results of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data protection laws and regulations in jurisdictions outside of China where we operate. These include existing regulations such as the European Union General Data Protection Regulation, or EU GDPR, UK GDPR (which is the EU GDPR as saved into the United Kingdom law by virtue of the European Union (Withdrawal) Act 2018 GDPR (as may be amended from time to time)) (together with the EU GDPR, referred to as GDPR), state and federal privacy laws in the United States, including the California Consumer Privacy Act of 2018, as amended by the California Privacy Rights Act of 2020, together the “CCPA”, and similar state laws, as well as federal and provincial privacy laws in Canada. In addition, new laws, regulations and regimes continue to be proposed and enacted. Monitoring, assessing and complying with the continuously evolving requirements can carry substantial costs and has the potential to introduce additional complexities for our business which may necessitate changes to our business plans and practices.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Europe, GDPR imposes a comprehensive privacy compliance regime, setting out rigorous requirements in relation to processing of personal data, including, for example, requirements pertaining to the legality, transparency and fairness of data processing; data minimization; security; data breach reporting and restrictions on transfers of personal data outside of the EU and the United Kingdom. With regards to cross border transfers, case law from the Court of Justice of the European Union states that reliance on standard contractual clauses - a standard form of contract approved by the European Commission as an adequate personal data transfer mechanism – alone may not necessarily be sufficient in all circumstances and that transfers must be assessed on a case by case basis. As the regulatory guidance and enforcement in relation to data transfers continues to develop, this could introduce operational complexities for our business and result in additional costs as well as the risk of complaints, regulatory investigations and/or fines.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Digital Services Act, or DSA, governs, among other things, our potential liability for illegal services or content on our platform, obligations around traceability of business users, and requires enhanced transparency measures. Further changes in the regulatory landscape are expected including through the e-Privacy Regulation. In parallel with these changes, there is also an increasing focus on regulatory enforcement actions; penalties under GDPR alone can, for example, carry maximum fines of up to EUR20,000,000 (GBP17,500,000) or up to 4% of the total worldwide annual turnover. Similarly, fines under the DSA can reach up to 6% of total annual worldwide turnover.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Addressing these challenges can result in unplanned costs to our business. For example, engineering resources may have to be diverted from existing or future projects to build and maintain mechanisms which facilitate compliance or we may need additional dedicated compliance resources and personnel. Finally, an adverse or challenging regulatory environment can also impact demand and the market for our offerings.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potential changes to, and differences in, privacy laws at both the federal and state level introduce operational and compliance complexities. At the federal level, the Federal Trade Commission, or FTC, enforces a variety of data privacy issues such as promises made in privacy policies or failure to appropriately protect the information of individuals and deceptive acts or practices in violation of the FTC Act. Meanwhile, the CCPA established a comprehensive suite of consumer rights including the right of correction and the right for consumers to request businesses limit the use and disclosure of sensitive data such as health or geolocation data. The CCPA also led to the establishment of the California Privacy Protection Agency, or CPPA, a first-of-its-kind government agency with a broad mandate, including the ability to enforce the CCPA, impose fines and create new regulations. The CCPA provides for co-enforcement authority for violations between the CPPA and the California Attorney General, as well as a private right of action for certain data breaches that has increased data breach litigation and could increase liability, in light of the potential for statutory damages.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changes introduce uncertainty in business operations and markets which could have a knock-on effect on our business operations in the U.S. and our results of operations and financial condition. For example, the enactment of the CCPA and introduction of the CPPA have also prompted a wave of similar legislative reviews and developments in other U.S. states and at the federal level. In addition, various laws restricting or governing the use of websites, online services, and platforms by minors have passed or been proposed at the federal level and in certain states. These include laws prohibiting direct advertising to minors (individuals under the age of 18), requiring age verification, limiting the use of minors’ Personal Information (as defined in the following risk factor), mandating parental consent for particular uses, including the selling and sharing of minors’ Personal Information, and providing other parental rights.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Preparing for and complying with the plethora of changing requirements and navigating the overlap or inconsistencies in legal requirements and regulatory approaches will continue to necessitate changes in our operational approach or service deployment in each jurisdiction which will likely impact our efficiency, ability to scale and/or market uptake and may cause us to incur substantial costs. Non-compliance with any of such requirements could result in penalties, fines or significant legal liability, including, as noted above, penalties calculated as a percentage of global revenue under the GDPR or the DSA.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and system failures, either as a result of a cyber attack or other outage, could result in our operations being down. This could materially adversely affect our business, results of operations and financial condition and expose us to liability claims.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the computer systems, hardware, software, technology infrastructure and online sites and networks for both internal and external operations that we rely on and are critical to our business as well as the information we collect and process that relates to individuals and/or constitutes “personal data,” “personal information,” “personally identifiable information,” or similar terms under applicable data privacy laws (referred to as “Personal Information” in this annual report), sensitive information and proprietary information belonging to our business or to our business partners (referred to, collectively, as Confidential Information in this risk factor). This includes threats from diverse threat actors, such as state-sponsored organizations, opportunistic hackers and hacktivists, who are becoming increasingly sophisticated in using techniques and tools—including AI—that circumvent security controls, evade detection and remove forensic evidence. These actors utilize diverse attack vectors such as social engineering/phishing, malware/ransomware, and viruses, worms, bugs, and other malicious software programs to attack websites or other online and mobile platforms and obtain access to networks and data centers. Bad actors may also act in a coordinated manner to launch distributed denial of service attacks (DDoS), or other coordinated attacks, that may cause service outages or other interruptions. Moreover, the potential for bad actors to exploit software, hardware, errors, misconfigurations, bugs and other vulnerabilities in commercial systems that interface with our or our third party service providers’ IT systems, products and services presents another area of vulnerability for our business. We have implemented a number of security measures designed to protect our IT systems and Confidential Information, but we cannot guarantee that these security measures are or will be sufficient.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are not aware of any material hacking activity or cybersecurity incident that allowed unauthorized access to any Confidential Information stored on our IT systems or caused any loss or corruption of Confidential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If a cybersecurity incident allows unauthorized access to or release of Confidential Information and other data of our users, our reputation and brand could be materially damaged, and use of the NetEase websites and other online and mobile platforms could decrease. We could also be exposed to a risk of loss, litigation (including class action lawsuits), regulatory inquiries, enforcement, investigations, and possible liability, which could result in a material adverse effect on our business, results of operations and financial condition.  </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own and manage many of our IT systems but also rely on third parties for a range of IT systems and related products and services, including cloud computing services. Any compromise of the security of our or our third-party vendors’ IT systems could materially adversely affect the operations of NetEase’s websites and other online and mobile platforms and result in unauthorized disclosure of Confidential Information. For example, we use third-party payment platforms for certain mobile and online games and applications. In this context, these vendors will collect, process, transmit and store sensitive and Personal Information of our users. If their security is compromised, this could have a secondary impact on our reputation and operations, and we may be held liable for failing to properly assess and manage our third-party risks.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human error remains a target area for bad actors who may also attempt to fraudulently induce employees or customers into disclosing usernames, passwords or other sensitive information, which may in turn be used to access our IT systems.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Finally, 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we will be required to continue to expend significant resources to protect our IT systems and Confidential Information, but there can be no assurance that our cybersecurity risk management program and processes, including our policies, controls or procedures, will be implemented effectively, complied with or effective in protecting our systems and information. For more information on our Cybersecurity program, see Item 16K. “Cybersecurity.”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relating to AI technologies may present legal, regulatory and business risks and adversely affect our business and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develop and use artificial intelligence technologies, including proprietary AI and machine learning algorithms and models (collectively referred to as “AI technologies”), throughout our businesses, and continue to make investments in this area. For example, in some cases, we have deployed in-game audio and visual generative AI technologies to enhance the user experience by, for example, providing in-game “AI teammates” and using AI technologies in the development process for some of our games. Other examples include a number of Youdao’s products, such as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its large language model designed for the education sector and related AI tools underpinned by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 AI-driven virtual English-speaking tutor,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a conversation-based tutorial function.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 varying stages of developing products, services and internal business tools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performance and accuracy decreases over time without further human intervention to correct such decay. There can be no assurance that the usage of, or our investments in, such technologies will always enhance our products or services or be beneficial to our business or profitability.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products or services that incorporate AI technologies, the market for such products and services is rapidly evolving and consumer acceptance remains uncertain. Important assumptions (such as pricing, performance and demand) about the characteristics of targeted markets for our services or products may be inaccurate. Our failure to successfully develop and commercialize our products or services involving AI technologies could depress the market price of our ADSs and ordinary shares and impair our ability to expand our business, improve and diversify our product offerings, and respond effectively to competitive developments.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governmental bodies and agencies have introduced or are currently considering additional laws and regulations. For example, on November 25, 2022, the CAC, the MIIT and the Ministry of Public Security jointly issued the Administrative Provisions on Deep Synthesis of Internet Information Services, which became effective on January 10, 2023. According to these provisions, no organization or individual may use deep synthesis services to produce, reproduce, release or disseminate information prohibited by laws and administrative regulations, or to engage in activities that endanger national security and interests, damage the national image, infringe upon social public interests, disrupt the economic and social order or undermine the legitimate rights and interests of others. Additionally, the providers of deep synthesis services shall, among other things, establish and maintain management systems for algorithmic mechanism review, data security and personal information protection. On July 10, 2023, the CAC published the Provisional Administrative Measures for Generative Artificial Intelligence Services, which took effect on August 15, 2023. These measures provide, among other things, that any providers of generative AI products with public opinion attributes or social mobilization capabilities shall conduct security assessment in accordance with relevant regulations and complete certain filing procedures. On March 14, 2025, the CAC released the Measures for Labeling Artificial Intelligence Generated Synthetic Contents, effective on September 1, 2025, which require network information service providers to include clear labels indicating any AI-generated synthetic content.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of China mainland, certain existing legal regimes (e.g., relating to data privacy) regulate aspects of AI technologies, and new laws regulating this area are also being enacted. For example, the EU Artificial Intelligence Act, or the EU AI Act, became effective in August 2024, and establishes a comprehensive, risk-based governance framework for AI in the EU market. The EU AI Act applies to companies that develop, use and/or provide AI in the EU and – depending on the AI use case - includes requirements around transparency, conformity assessments and monitoring, risk assessments, human oversight, security, accuracy, general purpose AI and foundation models. Fines under the EU AI Act can reach up to 7% of worldwide annual turnover. Other jurisdictions such as the US, Singapore and Canada are also developing AI regulations, and this area continues to be a focus for regulators globally.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these laws and regulations are still relatively new and significant uncertainties remain with respect to their interpretation and implementation, we cannot assure you whether we will be able to comply with the requirements of such laws and regulations in a timely manner or at all. If we are unable to complete all necessary filings and/or assessments, or to comply with applicable laws and regulations, or if we have any dispute with any third party relating to intellectual property or data security, our reputation, business operation and financial condition may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is dependent on our ability to retain our existing key employees and to attract and retain qualified senior and mid-level managers to our management.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services of our existing key employees. Our success will largely depend on our ability to retain these key employees and to attract and retain qualified senior and mid-level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and other countries in which we operate.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the possible misconduct committed by our employees or third parties.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Misconduct by our employees, such as unauthorized business transactions, bribery, corruption and breach of our internal policies and procedures, or by consultants or other third parties, such as breach of law, may be difficult to detect or prevent. Any such activities could subject us to financial loss and damage our reputation.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zero tolerance toward any illegal activities and have put in place internal policies and procedures against employee and third-party misconduct. For example, our risk management systems, information technology systems and internal control procedures are designed to monitor our operations and overall compliance. Moreover, we have established Ethics &amp; Compliance Committees for our operations inside and outside of China mainland which are responsible for identifying and investigating misconduct and taking appropriate remedial measures.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from time to time identified certain incidents of misconduct involving employees and third-parties. However, there can be no assurance that we will be able to identify non-compliance or illegal activities promptly, or at all. Furthermore, it is not always possible to detect and prevent such non-compliance or illegal activities, and the precautions we take to prevent and detect such activities may not be effective. This may materially and adversely affect our business, brand,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vulnerable to natural disasters and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limited backup systems and have experienced system failures and electrical outages from time to time in the past, which have disrupted our operations. We have servers and routers in several different countries, with most of our servers and routers are currently located at several different locations in China. Our disaster recovery plan may not fully ensure safety in the event of damage from fire, floods, typhoons, earthquakes, power loss, telecommunications failures, break-ins, geopolitical events and similar events. If any of the foregoing occurs, we may experience a system shutdown. We generally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Regulatory and legislative developments related to climate change, may materially adversely affect our business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governmental bodies have introduced or are contemplating legislative and regulatory changes in response to various climate change interest groups and the impact of climate change. Legislation and increased regulation relating to climate change and the transition to a low carbon economy could impose significant costs on us and our suppliers, including costs related to increased energy requirements, capital equipment, environmental monitoring and reporting, and other costs to comply with such regulations. Any future climate change related regulations could also negatively impact our ability to compete with companies situated in areas not subject to such requirements. Given the uncertainty around the impact of climate change and how it should be addressed, we cannot predict how legislation and regulation will affect our financial condition, operating performance and ability to compete. Any of the foregoing could result in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affected by widespread public health or other outbreaks and epidemics.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have been outbreaks of epidemics globally in recent years. Our operations could be disrupted if any future outbreak occurs in the countries or regions where a substantial portion of our revenue is derived or where our employees are located. Our operations could also be severely disrupted if health problems or outbreaks lead to a general slowdown in the global economy or if our suppliers, customers or business partners are affected by such outbreaks or health epidemics.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relating to our acquisitions, investments and joint ventures.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acquired and invested in numerous businesses, particularly with respect to online game development, and have also entered into joint venture arrangements from time to time. At any given time, we may have a number of pending investments and acquisitions that are subject to closing conditions and risks of failure to close. We expect to continue to evaluate and consider a wide array of potential strategic transactions as part of our overall business strategy, including business combinations, acquisitions and dispositions of businesses, technologies, services, products and other assets, as well as strategic investments and joint ventures. At any given time, we may be engaged in discussing or negotiating a range of these types of transactions. These transactions involve significant challenges and risks, including:</w:t>
      </w:r>
    </w:p>
    <w:p>
      <w:pPr>
        <w:spacing w:after="0" w:line="189" w:lineRule="exact"/>
        <w:rPr>
          <w:sz w:val="20"/>
          <w:szCs w:val="20"/>
          <w:color w:val="auto"/>
        </w:rPr>
      </w:pPr>
    </w:p>
    <w:p>
      <w:pPr>
        <w:jc w:val="both"/>
        <w:ind w:left="1000" w:hanging="317"/>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significant and unanticipated additional costs and expenses resulting from, integrating into our business the personnel, operations, products, services, technology, internal controls and financial reporting of the businesses we acquire;</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ongoing business and distractions to our management and employees when engaging in or negotiating these transactions, or when integrating the new business we acquire with our existing business, both of which will increase our expenses;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skilled professionals and experienced management teams of the acquired businesses, in particular senior game designers and programmers;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influence over the controlling partners or shareholders or the misalignment of interests between us and our partners or other shareholders, for those investments in which we may not obtain management and operational control;</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requirements, restrictions and/or scrutiny on our investments and acquisitions in foreign jurisdictions, including those related to national security, anti-monopoly and competition laws, export controls, etc.;</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misconduct, unscrupulous business practices or non-compliance by us and/or any company we acquire or invest in or by its affiliates or current or former employees, whether before, during or after our acquisition or investments;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costs associated with identifying and selecting appropriate targets and strategic partners;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potential opportunities to enter into strategic transactions with competitors of our investee companies and strategic partners;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conducting sufficient and effective due diligence on potential targets to identify hidden liabilities, incidences of non-compliance, operating losses, or costs and expenses, which may adversely affect us following our acquisitions or investments or other strategic transactions;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arising from disposal of investments or split-up of businesses;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impairment charges or write-offs of investments in equity method investees or intangible assets (including intellectual property we acquire), and goodwill recorded in connection with invested businesses, in the event that a decline in fair value below the carrying value of our equity method investments is other-than-temporary, or the carrying amount of a reporting unit to which goodwill is allocated exceeds its fair value. See Item 5.E. “Operating and Financial Review and Prospects—Critical Accounting Estimates—Impairment of long-term investments.”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and other risks could lead to negative publicity, increased regulatory scrutiny, litigation, government inquiries, investigations, actions or penalties against us and the companies we invest in or acquire on the ground of non-compliance with regulatory requirements and may force us to incur significant additional expenses and allocate significant management and human resources to rectify or improve these companies’ corporate governance standards, disclosure controls and procedures or internal controls and systems. Due to business or financial underperformance, regulatory scrutiny or compliance reasons, we may need to divest interests in, or terminate business cooperation with, businesses and entities in which we have invested capital and other resources. As a result, we may experience significant difficulties and uncertainties carrying out investments and acquisitions, and our growth strategy, reputation and/or the trading prices of our ADSs, shares and/or other securities may be materially adversely affected.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strategic investments and acquisitions may adversely affect our financial results, at least in the short term. Acquired businesses that are loss-making may continue to sustain losses and may not become profitable in the near future or at all. The performance of our current and future equity method investees may also adversely affect our net income. There can be no assurance that we will be able to grow our acquired or invested businesses, or realize returns, benefits of synergies and growth opportunities we expect in connection with these investments and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the expansion of our businesses and operations internationally.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risks that generally apply to our acquisitions and investments, we face risks associated with expanding into an increasing number of markets where we have limited or no experience, we may be less well-known or have fewer local resources and we may need to localize our business practices, culture and operations. We also face protectionist or national security policies that could, among other things, hinder our ability to execute our business strategies and put us at a competitive disadvantage relative to domestic companies in other jurisdictions. The expansion of our online game business and potentially other businesses outside of China will also expose us to risks and challenges inherent in operating businesses globally, including: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corporate policies and procedures to operating environments different from that of China, including technology and logistics infrastructure;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maintaining efficient and consolidated internal systems, including IT infrastructure, and customizing and integrating these systems with the other parts of our business;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 and service offerings, and challenges of adapting our offerings to appeal to local tastes;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understand cultural differences, local consumer behavior and preferences and local business practices;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or national security policies that restrict our ability to:</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acquire companies;</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import or export certain technologies;</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technologies that are deemed by local governmental to pose a threat to their national security; or</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maintain the necessary licenses and authorizations to operate our businesses;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increased resources to manage regulatory compliance across our international businesses;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capable talent with international perspectives who can effectively manage and operate local businesses;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and international laws and regulations, including those relating to online games, e-commerce, digital services and platforms, such as the DSA and Digital Markets Act, privacy and data security, such as the GDPR and CCPA, and consumer and labor protection laws, which will increase our compliance costs across different legal systems;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restrictions and barriers on the transfer of data between different jurisdictions;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reliability and security of international and cross-border payment systems and logistics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general economic or political conditions in particular countries or regions, including territorial or trade disputes, war and terrorism.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and challenges could negatively affect our ability to expand our international and cross-border businesses and operations as well as materially and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server and bandwidth service providers fail to provide these services, our business could be materially curtailed.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rely on cloud servers maintained by third-party cloud service providers particularly for the operation of our games outside of China mainland.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held liable for information or content displayed on, retrieved from or linked to the NetEase websites and other NetEase online and mobile platforms.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an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financial conditions and results of operations, if successful. Also, we may be subject to administrative actions brought by relevant PRC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could be subject to copyright, defamation and other claims based upon user-generated content that is accessible on the NetEase websites or other online and mobile platforms such as content and materials posted or uploaded by users on message boards, online communities, voting systems, e-mail, chat rooms or our other online and mobile platforms including our music streaming platform</w:t>
      </w:r>
      <w:r>
        <w:rPr>
          <w:rFonts w:ascii="Times New Roman" w:cs="Times New Roman" w:eastAsia="Times New Roman" w:hAnsi="Times New Roman"/>
          <w:sz w:val="18"/>
          <w:szCs w:val="18"/>
          <w:i w:val="1"/>
          <w:iCs w:val="1"/>
          <w:color w:val="auto"/>
        </w:rPr>
        <w:t>, NetEase Cloud Music</w:t>
      </w:r>
      <w:r>
        <w:rPr>
          <w:rFonts w:ascii="Times New Roman" w:cs="Times New Roman" w:eastAsia="Times New Roman" w:hAnsi="Times New Roman"/>
          <w:sz w:val="18"/>
          <w:szCs w:val="18"/>
          <w:color w:val="auto"/>
        </w:rPr>
        <w:t xml:space="preserve">, and our portal and related mobile app, </w:t>
      </w:r>
      <w:r>
        <w:rPr>
          <w:rFonts w:ascii="Times New Roman" w:cs="Times New Roman" w:eastAsia="Times New Roman" w:hAnsi="Times New Roman"/>
          <w:sz w:val="18"/>
          <w:szCs w:val="18"/>
          <w:i w:val="1"/>
          <w:iCs w:val="1"/>
          <w:color w:val="auto"/>
        </w:rPr>
        <w:t>Wangyi Xinwen</w:t>
      </w:r>
      <w:r>
        <w:rPr>
          <w:rFonts w:ascii="Times New Roman" w:cs="Times New Roman" w:eastAsia="Times New Roman" w:hAnsi="Times New Roman"/>
          <w:sz w:val="18"/>
          <w:szCs w:val="18"/>
          <w:color w:val="auto"/>
        </w:rPr>
        <w:t>. By providing technology for hypertext links to third-party websites, we may be held liable for copyright, trademark or other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89"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unsolicited e-mails;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misplaced messages;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fraudulent use of e-mail;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e-mail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incur significant costs in investigating and defending these claims, even if they do not result in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 of businesses and assets may have a material and adverse effect on our business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us meet our objectives. These decisions are largely based on our management’s assessment of the business models and likelihood of success of these businesses. However, our judgment could be inaccurate, and we may not achieve the desired strategic and financial benefits from these transactions. Additionally, we have undertaken, and may undertake in the future, partial or complete divestitures or other disposal transactions to comply with evolving legal and regulatory requirements, such as Youdao’s disposal of its Academic AST Business as part of its efforts to comply with new regulatory requirements adopted by the PRC government in the second half of 2021.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company were deemed to be an “investment company” under the Investment Company Act of 1940, applicable restrictions could make it impractical for us to continue our business as contemplated and could have a material adverse effect on our business and the price of our ADSs and ordinary shares.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continue to conduct our operations so that our company will not be deemed to be an investment company under the Investment Company Act of 1940 (the “Investment Company Act”). Section 3(a)(1) of the Investment Company Act provides, in relevant part, that an issuer will generally be deemed to be an “investment company” for purposes of the Investment Company Act if, absent an applicable exemption: under Section 3(a)(1)(A), it is or holds itself out as being engaged primarily, or proposes to engage primarily, in the business of investing, reinvesting or trading in securities; or, under Section 3(a)(1)(C),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Rule 3a-1 under the Investment Company Act generally provides that an entity will not be deemed to be an “investment company”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engaged primarily in the business of providing internet-related services and products and not in the business of investing, reinvesting or trading in securities. Furthermore, our company’s assets and income are of a nature that we believe allows our company to satisfy the requirements set forth in the 45% test in Rule 3a-1 under the Investment Company Act as described in clause (b) of the description provided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and as of December 31, 2024, we held assets consisting of a significant amount of Chinese banking instruments that have the characteristics of and are referred to as time deposits for purposes of U.S. financial reporting. Our time deposit holdings are of varying maturities, but primarily maturities of less than 12 months, which we hold for a variety of cash management-related purposes. We consider our time deposits with maturities of less than 12 months as “cash items” for purposes of Rule 3a-1 under the Investment Company Act, which we believe is the correct treatment of such assets, and, as such, we satisfy Rule 3a-1’s 45% asset test described above as of December 31, 2024. To our knowledge no court, and neither the SEC nor the SEC Staff, has taken a definitive position as to the circumstances under which time deposits of the type we hold may or may not be “cash items” or “investment securities” for purposes of the various definitions of investment company and exclusions from the definitions under the Investment Company Act. However, we are aware that the SEC Staff may not agree with the treatment of such time deposits as cash items. If all of our time deposits, regardless of their term, were determined to be investment securities by a court or the SEC, then we would have held as of December 31, 2024 investment securities exceeding 45% of the value of our total assets, exclusive of U.S. government securities and cash items, and the SEC or a court might then determine that we are an investment company under the provisions of Section 3(a)(1) (C).</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believe that, even if we were determined to be an investment company under Section 3(a)(1)(C), we are entitled to rely on the exclusion from investment company status afforded by Section 3(b)(1) of the Investment Company Act. Section 3(b)(1) provides, in relevant part, that, notwithstanding Section 3(a)(1)(C) of the Investment Company Act, an “issuer primarily engaged, directly or through</w:t>
      </w:r>
    </w:p>
    <w:p>
      <w:pPr>
        <w:spacing w:after="0" w:line="1" w:lineRule="exact"/>
        <w:rPr>
          <w:sz w:val="20"/>
          <w:szCs w:val="20"/>
          <w:color w:val="auto"/>
        </w:rPr>
      </w:pPr>
    </w:p>
    <w:p>
      <w:pPr>
        <w:jc w:val="both"/>
        <w:ind w:firstLine="8"/>
        <w:spacing w:after="0" w:line="251" w:lineRule="auto"/>
        <w:tabs>
          <w:tab w:leader="none" w:pos="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wholly-owned … subsidiaries, in a business or businesses other than that of investing, reinvesting, owning, holding, or trading in securities” is not an investment company. We are engaged primarily, and have always since our founding in 1997 been engaged, through our direct and indirect wholly-owned subsidiaries, including through contracts between our direct and indirect wholly-owned subsidiaries and the VIEs, in businesses other than investing, reinvesting, or trading in securities (including online games, music streaming, online intelligent learning services, e-commerce and other internet-related services and products). In addition, (i) our filings with the SEC, press releases, other public statements, website, and advertising and marketing materials have solely represented the NetEase group as being engaged in internet-related lines of business and have never emphasized either our investment income or the potential for significant appreciation from investments or cash management activities as a material factor in our business or future growth, (ii) our executive officers and directors are substantially involved in our internet-related business activities and none of them devotes significant time to the management of our cash, short-term or long-term investments, (iii) the overwhelming majority of our income is derived from our internet-related business activities, and (iv) the nature of our asset base is not a function of investment intent or activity but rather a result of our generation of cash flow from operations without the need for a corresponding amount of spending on overhead or capital expenditures for operations. We also do not propose to engage primarily in the business of investing, reinvesting or trading in securities and monitor our holdings of securities regularly to confirm our continued compliance with the assets and income test described above.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our view that we are not an investment company given our ability to rely on Rule 3a-1 under of the Investment Company Act and that, in any event, we fit within the exclusion from the definition of “investment company” afforded by Section 3(b)</w:t>
      </w:r>
    </w:p>
    <w:p>
      <w:pPr>
        <w:jc w:val="both"/>
        <w:ind w:firstLine="8"/>
        <w:spacing w:after="0" w:line="251" w:lineRule="auto"/>
        <w:tabs>
          <w:tab w:leader="none" w:pos="2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it is possible, in view of (i) uncertainty regarding the meaning and application of the term “cash items” as it is used in Rule 3a-1 and (ii) the fact that the availability of the exclusion from investment company status afforded by Section 3(b)(1) of the Investment Company Act is based in part on subjective judgments as to a given issuer’s particular facts and circumstances, that the SEC, a court, or the SEC Staff would determine or take a position that we are indeed an investment company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an issuer organized outside the United States, we would not be eligible to register under the Investment Company Act absent an SEC exemptive order. Accordingly, in order to fall outside the definition of an investment company, we would either have to obtain exemptive relief from the SEC, modify our contractual rights or dispose of certain assets, including shifting some of our cash that is currently maintained in time deposits into more traditional demand deposits and money market funds, which would more clearly qualify as “cash items.” Additionally, we may have to forego potential future acquisitions of interests in companies that may be deemed to be investment securities within the meaning of the Investment Company Act. Finally, failure to avoid being deemed an investment company under the Investment Company Act could also make us unable to comply with our reporting obligations as a public company in the United States and lead to our being delisted from Nasdaq Stock Market LLC, which would have a material adverse effect on the liquidity and value of our ADSs and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There are uncertainties regarding the interpretation and application of current and future PRC laws, regulations, and rules relating to the agreements that establish the VIE structure for our operations in China, including potential future regulatory actions pursuant to the laws and regulations in force at that time,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legal restrictions on foreign investment in Chinese companies providing value-added telecommunications services and holding ICP licenses and other regulated licenses,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(i) the power to direct the activities that most significantly impact the economic performance of the VIEs; (ii) economic benefits of these VIEs; and (iii)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The VIEs and their respective subsidiaries hold the licenses, approvals and key assets that are essential for the major portion of our business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been advised by our PRC counsel that these contractual arrangements are valid and binding under existing PRC laws and regulations, these contractual arrangements may not be as effective in providing control over these VIEs as direct ownership. In addition, we have been further advised by our PRC counsel that there are uncertainties regarding the interpretation and application of current or future PRC laws and regulations. Thus, 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p>
      <w:pPr>
        <w:spacing w:after="0" w:line="192"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our income that they deem to have been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may not be able to comply;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the relevant ownership structure or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financing activities to finance the business and operations of the VIEs;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Moreover, new PRC laws, regulations and rules may be introduced to impose additional requirements, posing additional challenges to our corporate structure and contractual arrangements. If any of these penalties results in our inability to direct the activities of VIEs, our failure to receive the economic benefits from the VIEs and/or our inability to claim our contractual control rights over the assets of the VIEs that conduct substantially all of our operations in China, we may not be able to consolidate the VIEs and their respective subsidiaries into our consolidated financial statements in accordance with U.S. GAAP which could materially and adversely affect our financial condition and results of operations and cause our ADSs and ordinary shares to significantly decline in value or become worthless. Please also see the below risk factors “—Our current corporate structure and business operations may be affected by the Foreign Investment Law.” and “— Risks Related to Doing Business in China—The Chinese government restricts the ability for foreign investors to invest in and operate in certain types of telecommunications and internet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corporate structure and business operations may be affected by the Foreign Investment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15, 2019, the Standing Committee of National People’s Congress promulgated the Foreign Investment Law of the PRC, or the 2019 PRC Foreign Investment Law, which became effective on January 1, 2020. The 2019 PRC Foreign Investment Law replaced the trio of previous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The VIE structure has been adopted by many PRC-based companies, including us, to obtain necessary licenses and permits in the industries that are currently subject to foreign investment restrictions in China. While the 2019 PRC Foreign Investment Law does not comment on the concept of “de facto control” or contractual arrangements with variable interest entities, it does have a catch-all provision under the definition of “foreign investment,” which includes investments made by foreign investors in China through means stipulated by laws or administrative regulations or other methods prescribed by the State Council. As such, there remains leeway for future laws to define contractual arrangements as a form of “foreign investment.” Therefore, there can be no assurance that our consolidation of the VIEs through contractual arrangements will not be deemed as foreign investment in the future.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any possible future laws, administrative regulations or provisions deem contractual arrangements as foreign investment, or if any of our operations through contractual arrangements is classified in the “restricted” or “prohibited” industry in the future “negative list” under the 2019 Foreign Investment Law, our contractual arrangements may be deemed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Failure to take timely and appropriate measures to handle any of these or similar regulatory compliance challenges could materially and adversely affect our current corporate structure, corporate governance and business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contractual arrangements with the VIEs may not be as effective in providing operational control as direct ownership. If the VIEs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PRC laws prohibit or restrict foreign equity ownership in certain types of businesses in China, we have relied and expect to continue to rely on the contractual arrangements with the VIEs and their nominee shareholders to operate our business in China. However, these contractual arrangements may not be as effective as direct ownership in providing us with control over the VIEs, and the VIEs are owned by shareholders whose interests may differ from ours and those of our shareholders because they own a larger percentage of such companies than of our company. These VIEs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us. If these companies or their ultimate shareholders violate our agreements with them, we may have to incur substantial costs and expend significant resources to enforce those arrangements and rely on legal remedies under the PRC laws. In the event we are unable to enforce these agreements, or suffer significant delay or other obstacles in the process of enforcing these agreements, and may materially and adversely affect our results of operations and financial position.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our contractual arrangements with certain of the VIEs and their ultimate shareholders do not detail the parties’ rights and obligations, our remedies for a breach of these arrangements are limited.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relationship with the VIEs, including Guangzhou NetEase, Hangzhou Leihuo, Youdao Computer and Hangzhou Yuedu, and their ultimate shareholders is based on a number of contracts, and these affiliated companies are considered the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VIEs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of our shareholders has significant influence over our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founder, Chief Executive Officer and director, William Lei Ding, beneficially owned, as of February 28, 2025, approximately 45.8%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majority of the share capital of certain of the VIEs is held by our major shareholder, who may cause these agreements to be amended in a manner that is adverse to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William Lei Ding, directly or indirectly holds the majority interest in certain of the VIEs. As a result, Mr. Ding may be able to cause the agreements related to those companies to be amended in a manner that will be adverse to us,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conduct our operations without the services provided by certain of the VIEs.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currently dependent upon our commercial relationships with the VIEs, and we derive most of our revenues from these companies. If these companies are unwilling or unable to perform the agreements which we have entered into with them, we may not be able to conduct our operations in the manner in which we currently do. In addition, the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corporate structure may restrict our ability to receive dividends from, and transfer funds to, our China mainland subsidiaries and VIEs, which could restrict our ability to act in response to changing market conditions and reallocate funds internally in a timely manner.</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NetEase, Inc. is a holding company with no significant assets other than cash on hand and its equity interests in its directly and indirectly-owned subsidiaries, including those set forth in the organizational diagram appearing in Item 4.B. “Information on the Company—Business Overview—Our Organizational Structure.” As a result, our company’s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the VIEs and their respective shareholders in a manner that would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China mainland subsidiaries and the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Any limitation on the ability of our China mainland subsidiaries and the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Therefore, it is difficult to change our capital expenditure plans once the relevant funds have been remitted from our company or our subsidiaries outside of China to our China mainland subsidiaries or the VIEs. These limitations on the free flow of funds between our company and our China mainland subsidiaries and the VIEs could restrict our ability to act in response to changing market conditions and reallocate funds internally in a timely manner.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arrangements with certain of the VIEs and their respective shareholders may cause a transfer pricing adjustment and may be subject to scrutiny by the PRC tax authorities.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could face material and adverse tax consequences if the PRC tax authorities determine that our contracts with the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transfer of shares of the VIEs may trigger tax liability.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need to cause the transfer of shareholdings of the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financial conditions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lose the ability to use and enjoy assets held by any of the principal VIEs that are important to the operation of our business if such VIE declares bankruptcy or becomes subject to a dissolution or liquidation proceeding.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principal VIEs hold assets that are material to our business operations, such as our certain intellectual property and core licenses and permits. Although the VIE contracts between our subsidiaries and the VIEs and the shareholders of the VIEs contain terms that prohibit the shareholders of the VIEs from adversely affecting the existence of the VIEs, in the event the shareholders breach this obligation and voluntarily liquidate the VIEs, or if any of the VIEs declare bankruptcy and all or part of its assets become subject to liens or rights of third-party creditors, we might be unable to continue some or all of our business operations. Furthermore, if any of the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and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political relationships between China and other countries may affect our business, financial condition, results of operations, cash flows and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launched numerous mobile games in global markets since 2015 and also offer certain other services outside of China. Any deterioration of political relationships between China and other foreign jurisdictions may result in bans or restrictions that could impact our products.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 In addition, in August 2020, then U.S. President Trump issued an executive order blocking TikTok and WeChat from processing transactions for U.S. citizens and from being downloaded in U.S. app stores due to national security concerns. In January 2021, he also prohibited transactions between U.S. persons and eight Chinese applications, including AliPay and QQ. In June 2021, former U.S. President Biden rescinded these two executive orders and directed the U.S. Commerce Department to monitor software applications that could affect U.S. national security and make recommendations. In October 2021, the U.S. Commerce Department submitted an initial set of recommendations on data scrutiny. In April 2024, former President Biden signed into law certain measures requiring TikTok owner ByteDance to sell TikTok or face a total ban in the U.S. The law was subsequently upheld by the U.S. Supreme Court in January 2025. In January 2025 and subsequently in April 2025, President Trump granted TikTok two 75-day extensions to comply with the law. Although the foregoing executive orders or actions are not directed at our services and the ban in India has not materially impacted our online games services revenue, there can be no assurance that the deterioration of political relationships between China and other foreign jurisdictions will not result in further bans or restrictions that could impact our products.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regulation of the telecommunications and internet industries in China may result in our having to obtain additional licenses or other governmental approvals to conduct our business, both of which may restrict our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uncertainties. As a result, in certain circumstances, it may be difficult to determine what actions or omissions may be deemed to be in violation of applicable laws and regulations in this area.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uncertain as to how the Chinese government will reclassify our business,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the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Chinese government restricts the ability for foreign investors to invest in and operate in certain types of telecommunications and internet businesses.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internet portal and related mobile app,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portal and related mobile app business is conducted through the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We believe we are in compliance with this requirement because we operate our other innovative businesses and other services through the contractually controlled VIEs.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unclear whether the authorities will deem the VIE structure of the NetEase group as a kind of “indirect way” for foreign investors to gain control over or participate in domestic online game operators, internet-based news information services or internet-based cultural institutions. If the VIE structure is deemed as one such “indirect way,” the VIE structure may be challenged by the authorities and the authorities may require us to restructure the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the VIE structure.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We cannot predict how such regulations will be interpreted and applied.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and ordinary shares. The PRC government has recently indicated an intent to exert more oversight over overseas offerings and/or foreign investment in China-based issuers like us. For example, the Opinions on Strictly Cracking Down on Illegal Securities Activities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Subsequently, CAC, NDRC, MIIT and other ten PRC regulatory authorities jointed issued the Cybersecurity Review Measures and CAC issued the Data Security Regulations which further strengthened the cybersecurity review measures. For example, the Cybersecurity Review Measures require that any network platform operator which has personal information of more than one million users and is going to be listed abroad, is subject to cybersecurity review. For more details, please see “—Risks Related to Our Operations Overall—We are subject to a variety of laws and other obligations regarding data security and personal information protection in China, and our failure to comply with any of them could result in claims, complaints or proceedings against us by governmental entities, individuals or others and could harm our public image and reputation, which could have a material adverse effect on our business, results of operations and financial condition.”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The Filing Rules apply to overseas offerings by domestic companies of equity shares, depository receipts, convertible corporate bonds and other equity securities that are offered and listed overseas, and we may be required to submit filings to the CSRC in connection with future issuances of our equity securities to foreign investors.  In order to support domestic companies’  overseas securities offering and listing pursuant to PRC laws and regulations, as a supplement to the Trial Measures, on February 24, 2023, CSRC and other three PRC regulatory authorities jointly issued the Provisions on Strengthening Confidentiality and Archives Administration of Overseas Securities Offering and Listing by Domestic Companies, or the Confidentiality and Archives Administration Provisions, which took effect on March 31, 2023, according to which, a domestic company that seeks overseas offering and listing and the securities companies and securities service providers that undertake relevant businesses must institute a sound confidentiality and archives administration system, and take necessary measures to fulfil confidentiality and archives administration obligations. For more information with respect to the Filing Rules and the Confidentiality and Archives Administration Provisions, see Item 4.B. “Information on the Company—Business Overview—Government Regulations—Regulations Relating to Overseas Listing.” As the Filing Rules and the Confidentiality and Archives Administration Provisions are relatively new, there are uncertainties with respect to their interpretation and implementation.</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CSRC, CAC or other relevant PRC regulatory agencies subsequently determine that approval is required for any of our future offerings of securities overseas or to maintain the listing status of our ADSs or ordinary shares,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or ordinary shares. If we proceed with any of such offering or maintain the listing status of our ADSs or ordinary shares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or ordinary shares.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or ordinary shares,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Chinese government has not enacted any specific laws regarding virtual asset property rights and, accordingly, it is not clear what liabilities, if any, online game providers may have for virtual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the features of our PC and mobile MMORPG and other games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virtual currency may adversely affect our online game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large part of our online game revenues is collected through the sale of prepaid points, as described elsewhere in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provide for rules on the distribution, trading and trading enterprises of online game coins, as well as rules on the distribution and trading of virtual items for online games, including, among other things, (i) trading of online game coins shall be conducted via real-name digital RMB wallets, and (ii) online game publishers and operators shall not exchange the virtual props of online games acquired by users into legal tender.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will be enacted, interpreted or implemented and how they will affect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Information displayed on, retrieved from or linked to the NetEase websites and other online and mobile platforms may subject us to claims of violating PRC laws.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 things,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 The PRC government and regulatory authorities strengthen the regulation on internet content from time to time. For example, the Administrative Provisions on Mobile Internet Applications Information Services, which were issued by CAC on June 14, 2022 and became effective on August 1, 2022, require the application providers not only to establish sound information content review and management mechanism, establish sound management measures such as user registration, daily inspection and emergency disposal, but also to conduct security assessments in accordance with Chinese laws before launching new technologies, new applications and new functions with the attribute of public opinions or capable of social mobilization.</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We may be liable under any of these pronouncements for content and materials posted, uploaded or transmitted by users on our platform. User-generated content is accessible on the NetEase websites and our other online and mobile platforms including </w:t>
      </w:r>
      <w:r>
        <w:rPr>
          <w:rFonts w:ascii="Times New Roman" w:cs="Times New Roman" w:eastAsia="Times New Roman" w:hAnsi="Times New Roman"/>
          <w:sz w:val="18"/>
          <w:szCs w:val="18"/>
          <w:i w:val="1"/>
          <w:iCs w:val="1"/>
          <w:color w:val="auto"/>
        </w:rPr>
        <w:t>Wangyi Xinwen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such as content and materials posted or uploaded by users on message boards, online communities and social networking platforms. We have implemented an efficient and thorough content screening and monitoring mechanism for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To the extent that PRC regulatory authorities find any content on our platform objectionable, they may require us to limit or eliminate the dissemination of such content on our platform in the form of take-down orders or otherwise. Failure to identify and prevent illegal or inappropriate content from being distributed on our platform may subject us to liability. Recently, PRC governmental authorities have tightened regulations on online content. For example, in 2024, the CAC launched the “Clear and Bright” campaign to rectify a variety of online misconduct, such as misconduct in the field of online live streaming, generative AI services and internet news information services. If the PRC governmental authorities determine that we are not in compliance with all the requirements under applicable laws and regulations relating to internet content, we may be subject to fines and/or other sanctions such as an order to correct the violation, confiscation of illegal earnings, suspension or shutdown of the related business and website, cessation of business operation for rectification, and revocation of business license, any of which could disrupt our operations. In addition, PRC laws and regulations are subject to interpretation by the relevant authorities, and it may not be possible to determine in all cases the types of content that could result in our liability as a platform operator.</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under the relevant regulations, internet companies which provide bulletin board systems, chat rooms or similar services, such as NetEase, must apply for the approval of the State Secrecy Bureau. As the implementing rules of these regulations have not been issued, we do not know how or when we will be expected to comply, or how our business will be affected by the application of these regulations.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uncertainties with respect to the interpretation and implementation of the anti-monopoly related laws in the field of internet platforms.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Violations of such law can result in an order to stop the illegal conduct, confiscation of revenue earned from such conduct and a fine of 1% to 10% of the total amount of revenue earned in the prior year. On February 7, 2021, the Anti-Monopoly Commission of the State Council promulgated the Guidelines to Anti-Monopoly in the Field of Internet Platforms, or the Anti-Monopoly Guidelines, which took effect on the same date and operate as a compliance guidance for platform economy operators under the existing PRC anti-monopoly laws and regulations. The Anti-Monopoly Guidelines aim at specifying some of the circumstances under which an activity of internet platforms may be identified as monopolistic conduct as well as setting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issued the 2022 Amendment to the Anti-Monopoly Law, which amends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amendment also authorizes the relevant authority to investigate transactions where there is evidence that the concentration has or may have the effect of eliminating or restricting competitions, even if such concentration does not reach the filing threshold.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 SAMR has imposed administrative penalties in a number of anti-monopoly cases in the internet industry, and the regulatory environment for anti-monopoly in the internet industry has been entering into a phase of normalized regulation and control. Given the uncertainties of the interpretation and implementation of the Anti-Monopoly Guidelines and the newly amended Anti-Monopoly Law and considering the evolving legislative activities and varied local implementation practices of anti-monopoly and competition laws and regulations in the PRC, we may be required to make expenditures and adjust our business practice to comply with existing or future laws and regulations, which may increase our costs and limit our ability to operate our business. In addition, failure or perceived failure to comply with Anti-Monopoly Guidelines, and the newly amended Anti-Monopoly Law or other anti-monopoly related laws and regulations may result in investigations or enforcement actions, litigation or claims against us and could have an adverse effect on our business, financial conditions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adequately protect our intellectual property and may be exposed to infringement claims by third parties.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“Information on the Company— Business Overview—Intellectual Property.”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consumer protection laws that could require us to modify our current business practices and incur increased costs.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as well as third-party platforms and hurt our business, financial conditions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restrictions on financial transactions may adversely affect the operation and profitability of our business.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currently operate an online payment platform used by both distributors of our prepaid points and end-users of our online services, which requires a permit under the Measures for the Administration of Non-financial Institutions Engaging in Payment and Settlement Services issued by PBOC on June 14, 2010. In addition, on December 28, 2015, the PBOC issued a notice regarding the Administrative Measures for the Internet Payment Services of Non-bank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may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must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 On September 2, 2022, the Standing Committee of the National People’s Congress promulgated the Anti-Telecom and Online Fraud Law of the PRC, effective on December 1, 2022, which requires that non-bank payment institutions, together with banking financial institutions, must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On December 9, 2023, the State Council promulgated the Regulation on Supervision and Administration of Non-bank Payment Institutions, which will become effective on May 1, 2024, to provide principal rules for regulating activities of non-bank payment institutions, such as implementing access management of the non-bank payment institutions by specifying certain access requirements and reinforcing management systems with respect to payment accounts, reserve funds and payment instructions. On July 9, 2024, the PBOC issued the Detailed Rules for the Implementation of the Regulation on Supervision and Administration of Non-Banking Payment Institutions to further implement the Regulation on Supervision and Administration of Non-bank Payment Institutions. On November 11, 2024, the Standing Committee of the National People’s Congress issued the amended PRC Anti-money Laundering Law, which came into effect on January 1, 2025, to require entities such as non-bank payment institutions to fulfill the anti-money laundering obligations of financial institutions under this Law, such as reporting of large-value transactions and doubtful transactions.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 compliance with the PBOC Notice 43 and the recent PBOC requirements to transfer our customer reserve funds to its designated bank account, and we are also in compliance with the new regulation relating to financial transactions in all material aspects.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with respect to the PRC legal system could adversely affect 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decided legal cases under the civil law system may be cited for reference but have less precedential value. In the late 1970s, the Chinese government began to promulgate a comprehensive system of laws and regulations governing economic matters. The overall effect of legislation enacted over the past 50 years has significantly enhanced the protections afforded to foreign invested enterprises in China. However, many of these laws, regulations and legal requirements are relatively recent and are evolving rapidly, and their interpretation and enforcement involve uncertainties. Since PRC administrative and court authorities have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Furthermore, the PRC legal system is based in part on government policies and China mainland is geographically large and divided into various provinces and municipalities. As such, different regulations and policies may have different and varying applications and interpretations in different parts of China mainland, and it is possible that we may not be aware in a timely manner that we have been identified to be in violation of these policies and rules until sometime after the occurrence of the violation. In addition, any administrative and court proceedings may be protracted, resulting in substantial costs and diversion of resources and management attention.</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government has recently published new policies that adversely affected our industry and our business, and we cannot rule out the possibility that it will in the future further release regulations or policies regarding our industry that could further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drafting, interpretation and enforcement in China involve uncertainty.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subject to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China’s Enterprise Income Tax Law, the enterprise income tax, or EIT, rate payable by domestic and foreign invested enterprises is 25.0%. Preferential tax treatments are granted to entities that conduct business in encouraged sectors and to entities that are classified as HNTEs, or “Software Enterprises” or “Key Software Enterprises,” whether such entities are foreign invested enterprises or domestic companies.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number of our China mainland subsidiaries, such as Boguan, NetEase Hangzhou and certain other subsidiaries, enjoyed preferential tax rates of 15.0% for 2022, 2023 and 2024 by being recognized as an HNTE. See Item 5.A. “Operating and Financial Review and Prospects—Operating Results—Income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Without any preferential tax status, the standard EIT rate of 25.0% will apply. Moreover, if there are further changes to the relevant income tax laws and their implementation, our subsidiaries and the VIEs may need to pay additional taxes, which could have a material adverse effect on our results of operations.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were considered a “resident enterprise”, we would be subject to the EIT rate of 25.0% of our global income, and as a result, the amount of dividends we can pay to our shareholders could be reduced.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 We cannot confirm whether we will be considered a “resident enterprise” because the implementation rules are unclear at this time.</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 5%. It is unclear at this stage whether STA Circular 9 applies to dividends from our China mainland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China mainland and Hong Kong.</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our shareholders face uncertainties with respect to indirect transfers of equity interests in PRC resident enterprises by a non-PRC company.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Fluctuation in Renminbi exchange rates could adversely affect the value of our ADSs and ordinary shares and any cash dividend declared on them.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and the foreign exchange policy adopted by the PRC government. In 2022, 2023 and 2024, the value of the Renminbi depreciated by approximately 7.6%, 2.9% and 2.7% against the U.S. dollar, respectively. It is difficult to predict how market forces or PRC or U.S. government policy may impact the exchange rate between the Renminbi and the U.S. dollar in the future. There remains significant international pressure on the PRC government to adopt a more flexible currency policy, including from the U.S. government.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For example, we experienced RMB1.6 billion and RMB255.4 million net foreign exchange gains in 2022 and 2024, respectively, and we experienced a RMB133.0 million net foreign exchange loss in 2023, which were mainly due to the fluctuation of the exchange rate of the RMB against the U.S. dollar. Theses fluctuations had a significant effect on our profit and our cash dividend.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on currency exchange may limit our ability to utilize our revenues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China mainland subsidiaries and affiliates may also retain foreign exchange in its current account to satisfy foreign exchange liabilities or to pay dividends.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a significant amount of our future revenues will be denominated in Renminbi, the existing and any future regulations on currency exchange may limit our ability to utilize revenues generated in Renminbi to fund our business activities outside China, if any, or expenditures denominated in foreign currencies.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foreign exchange transactions under the capital account are subject to limitations and require registration with or approval by the relevant PRC governmental authorities. In particular,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China mainland subsidiaries or the VIEs will depend on our ability to obtain these governmental registrations or approvals. In addition, because of the regulatory issues related to foreign currency loans to, and foreign investment in, domestic PRC enterprises, we may not be able to finance the operations of our China mainland subsidiaries or the VIEs by loans or capital contributions. We cannot assure you that we can obtain these governmental registrations or approvals on a timely basis, if at all. Any future restrictions imposed by SAFE or tightened foreign exchange regulation by SAFE as a matter of practice may adversely affect our ability to utilize our revenues effectively and pay dividends to our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SHARES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a report that vacated its December 16, 2021 determination and removed China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China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China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21, 2025, U.S. President Donald J. Trump issued the “America First Investment Policy,” which mandates that the U.S. administration will, among other things, assess if adequate financial auditing standards are upheld for companies covered by the HFCAA and review the use of VIE structures by companies from designated “foreign adversaries,” including the PRC, to evaluate potential risks to U.S. investors. While specific implementation measures have not yet been announced, we may be subject to heightened scrutiny under the America First Investment Policy given that we conduct our operations in China utilizing VIE structures. If U.S. authorities determine that our auditing practices are insufficient or that our VIE structure poses risks to investors, we could be subject to increased compliance obligations, regulatory penalties or trading restrictions. Such actions and increased compliance costs could adversely affect our business operations and the value of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trading price of our ADSs and shares has been and is likely to continue to be volatile, which could result in substantial losses to holders of our ADSs and/or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US$75.85 to US$114.50 per ADS in 2024 and the trading prices of our ordinary shares ranged from HK$117.10 to HK$180.50 per ordinary share in 2024.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shares and/or ADSs may be highly volatile for factors specific to our operation, including the following:</w:t>
      </w:r>
    </w:p>
    <w:p>
      <w:pPr>
        <w:spacing w:after="0" w:line="162" w:lineRule="exact"/>
        <w:rPr>
          <w:sz w:val="20"/>
          <w:szCs w:val="20"/>
          <w:color w:val="auto"/>
        </w:rPr>
      </w:pPr>
    </w:p>
    <w:p>
      <w:pPr>
        <w:ind w:left="100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results of operations that are not in line with market or research analyst expectations or changes in financial estimates by securities research analysts;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 offerings or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market players in our industries;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other reports, whether or not true, about our business, including negative reports published by short sellers, regardless of their veracity or materiality to us;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allegations or proceedings that involve us and our directors;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management;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market instability or disruptions, and actual or perceived social unrest in the markets where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the Renminbi, the Hong Kong dollar and the U.S. dollar;</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or other dispositions of existing or additional ADSs or other equity or equity-linked securities;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illegal acts of our senior management or other key employees;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customers, licensors and other suppliers.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 in general experiences price and volume fluctuations that are often unrelated or disproportionate to the operating performance of companies like us.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our directors and employees may face additional exposure to claims and lawsuits as a result of their position in other companies. The existence of litigation, claims, investigations and proceedings against our directors and employees, even if they do not involve NetEase, may harm our reputation and adversely affect the trading price of our ADSs.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 future sales or perceived potential sales of our shares, ADSs, or other equity or equity-linked securities in the public market could cause the price of our shares and/or ADSs to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different characteristics of the capital markets in the United States and Hong Kong may negatively affect the trading prices of our shares and/or ADSs.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between our ADSs and shares may adversely affect the liquidity and/or trading price of each other.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compliance with U.S. securities law and the terms of the deposit agreement which governs our ADS program,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time required for the exchange between ADSs and shares might be longer than expected and investors might not be able to settle or effect any sale of their securities during this period, and the exchange of shares into ADSs involves costs.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no direct trading or settlement between Nasdaq and the Hong Kong Stock Exchange on which our ADSs and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a company incorporated in the Cayman Islands, we are permitted to adopt certain home country practices in relation to corporate governance matters that differ significantly from Nasdaq rules.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80" w:lineRule="exact"/>
        <w:rPr>
          <w:sz w:val="20"/>
          <w:szCs w:val="20"/>
          <w:color w:val="auto"/>
        </w:rPr>
      </w:pPr>
    </w:p>
    <w:p>
      <w:pPr>
        <w:ind w:left="1000" w:hanging="31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 (although all of the members of the audit committee must be independent under the U.S.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or a nominating or corporate governance committee consisting entirely of independent directors;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for non-management directors;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executive sessions of solely independent directors each year.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 Specifically, although we sought and obtained shareholder’s approval for the amended and restated 2019 Share Plan at the annual general meeting of shareholders held on June 15, 2023, our board of directors had initially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 foreign private issuer within the meaning of the rules under the U.S. Exchange Act, and as such we are exempt from certain provisions applicable to U.S.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 company listed on the Hong Kong Stock Exchange under Chapter 19C and as such are not subject to certain provisions of the Hong Kong Listing Rules.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listed under Chapter 19C of the Hong Kong Listing Rules, we have adopted different practices as to certain matters as compared with many other companies listed on the Hong Kong Stock Exchange. We are not subject to certain provisions of the Hong Kong Listing Rules pursuant to Rule 19C.11, including, among other things, rules on notifiable transactions, connected transactions, share option schemes, content of financial statements as well as certain other continuing obligations.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been granted a number of waivers and/or exemptions from strict compliance with, among other things, the Hong Kong Listing Rules and the SFO. We have also been granted a ruling from the Securities and Futures Commission of Hong Kong, as a result of which the Takeovers Codes do not apply to us. Therefore, we will adopt different practices as to those matters as compared with other companies listed on the Hong Kong Stock Exchange that do not enjoy those exemptions or waivers. However, if 55% or more of the total worldwide trading volume, by dollar value, of our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Takeovers Codes and the SFO, which could result in our incurring of incremental compliance costs. On December 19, 2022, we were removed from Nasdaq-100 Index, which may cause a reduction in the holdings of our ADS by some institutional investors on NASDAQ. As a result, there may be an increase in the proportion of our total worldwide trading volume taking place on Hong Kong Stock Exchange, and this in turn will increase our risk of losing our ability to enjoy exemptions or waivers from strict compliance with the requirements under the Hong Kong Listing Rules, the Takeovers Codes and the SFO.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voting rights of holders of ADSs are limited by the terms of the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ADSs may exercise their voting rights with respect to the underlying shares represented by their ADSs only in accordance with the provisions of the deposit agreement which governs our ADS programs.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Except in limited circumstances, the depositary will give us a discretionary proxy to vote our shares underlying the ADSs if holders of these ADSs do not give voting instructions to the depositary, which could adversely affect the interests of holders of shares and/or the ADSs.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deposit agreement, the depositary will give us a discretionary proxy to vote the shares underlying the ADSs at shareholders’ meetings if holders of these ADSs do not give voting instructions to the depositary, unless:</w:t>
      </w:r>
    </w:p>
    <w:p>
      <w:pPr>
        <w:spacing w:after="0" w:line="121" w:lineRule="exact"/>
        <w:rPr>
          <w:sz w:val="20"/>
          <w:szCs w:val="20"/>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ADSs may be subject to limitations on transfer of their ADSs.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Holders of ADSs may not receive distributions on our shares if the depositary decides it is impractical or unlawful to make such distributions.</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cash to holders of ADSs to the extent that we decide to distribute cash dividends or other cash distributions on our shares or other deposited securities. 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effective as of December 31, 2024. Our independent registered public accounting firm has also, in its audit report, concluded that our internal control over financial reporting was effective in all material aspects as of December 31, 2024.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Holders of our ADSs and shares may have difficulty effecting service of process and enforcing judgments obtained against us and our management, the ability of U.S. authorities to bring actions in the PRC may also be limited, and our Articles of Association include certain provisions that may be different from common practices in Hong Kong.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is incorporated in the Cayman Islands, and the major portion of our assets are located outside the United States and Hong Kong. A substantial portion of our current operations are conducted in the PRC. In addition, some of our directors and executive officers are nationals and residents of countries or areas other than the United States and Hong Kong. A substantial portion of the assets of these persons are located outside the United States and Hong Kong. As a result, it may be difficult or impossible for holders of our shares and ADSs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may render them unable to enforce a judgment against our assets or the assets of our directors and officers. There is uncertainty as to whether the courts of the Cayman Islands or the PRC would recognize or enforce judgments. Furthermore, class action lawsuits, which are available in the United States for investors to seek remedies, are generally uncommon in the Cayman Islands and the PRC.</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for overseas regulators to conduct investigations or collect evidence within China.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 In addition, on February 24, 2023, CSRC and other three PRC regulatory authorities jointly issued the Confidentiality and Archives Administration Provisions, which took effect on March 31, 2023, according to which, overseas securities regulators and competent overseas authorities may request to inspect, investigate or collect evidence from a domestic company concerning its overseas offering and listing or from the domestic securities companies and securities service providers that undertake relevant businesses for such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As the Confidentiality and Archives Administration Provisions are relatively new, there are uncertainties with respect to their interpretation and implementation.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classified as a passive foreign investment company, or a PFIC, for United States federal income tax purposes, such classification could result in adverse U.S. federal income tax consequences to U.S. investors.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U.S. federal income tax purposes, such characterization could result in adverse U.S. federal income tax consequences to you if you are a U.S. investor. For example, U.S. investors who owned our ADSs or ordinary shares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determination of whether or not we are a PFIC is made on an annual basis and depends on the composition of our income and assets, including goodwill, from time to time. We would be classified as a PFIC for U.S. tax purposes for a taxable year if either (a) 75% or more of our gross income for such taxable year is “passive income” (as defined in the relevant provisions of the U.S. Internal Revenue Code of 1986, as amended, or the Code), or (b) 50% or more of the value of our assets (generally determined on the basis of a quarterly average) during such taxable year is attributable to assets that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value of our assets, including goodwill, and the composition of our income and assets, we do not believe that we were a PFIC for the taxable year ended December 31, 2024. We have not obtained any opinion of counsel or any rulings from the U.S. Internal Revenue Service, or the IRS, regarding our status as a PFIC. The PFIC determination is highly fact-intensive and made at the end of each taxable year. We hold and may continue to hold a substantial amount of cash and cash equivalents. In addition, the value of our assets, including goodwill, for purposes of the asset test will generally be determined by reference to the market price of the ADSs and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or become a PFIC,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ADSs or ordinary shares and any distributions such U.S. investors may receive. We do not expect to provide the information regarding our income that would be necessary in order for a U.S. investor to make a qualified electing fund, or the QEF, election if we are classified as a PFIC. Investors should consult their tax advisors regarding all aspects of the application of the PFIC rules to our ADSs or ordinary shares.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a PFIC in any year with respect to a U.S. investor, the U.S. investor will generally be required to file an annual information return on IRS Form 8621 (or other then applicable IRS Form or statement) regarding distributions received on our ADSs or ordinary shares and any gain realized on the disposition of our ADSs or ordinary shares, and certain U.S. investors will be required to file an annual information return (also on IRS Form 8621 or other then applicable IRS Form or statement) relating to their ownership of our ADSs or ordinary shares. U.S. investors should consult their tax advisors regarding the potential application of the PFIC regime and related reporting requirements.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of the adverse U.S. federal income tax consequences in the event we are classified as a PFIC, see Item 10.E. “Additional Information—Taxation—Material United States Federal Income Taxation Considerations.”</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If a United States person is treated as owning at least 10% of our ADSs or ordinary shares, such holder may be subject to adverse U.S. federal income tax consequences.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U.S. Holder (as defined in Item 10.E. “Additional Information—Taxation—Material United States Federal Income Taxation Considerations”) is treated as owning (directly, indirectly or constructively) at least 10% of the value or voting power of our ADSs or ordinary shares,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ADSs or ordinary shares.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is uncertainty as to whether Hong Kong stamp duty will apply to deposits of our ordinary shares into or withdrawal of our ordinary shares from the ADS facility or trading of our ADSs.</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of shares in Hong Kong, we established a branch register of members in Hong Kong, or the Hong Kong share register. Our shares that are traded on the Hong Kong Stock Exchange, as well as shares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71" w:lineRule="exact"/>
        <w:rPr>
          <w:sz w:val="20"/>
          <w:szCs w:val="20"/>
          <w:color w:val="auto"/>
        </w:rPr>
      </w:pPr>
    </w:p>
    <w:p>
      <w:pPr>
        <w:ind w:left="680" w:hanging="672"/>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was founded in June 1997 and our company was incorporated on July 6, 1999 under the Cayman Companies Act (As Revised). Our principal executive offices are located at NetEase Building, No. 599 Wangshang Road, Binjiang District, Hangzhou, People’s Republic of China 310052. Our telephone number is (86-571) 8985-3378.</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Our key business milestones are summarized below:</w:t>
            </w:r>
          </w:p>
        </w:tc>
        <w:tc>
          <w:tcPr>
            <w:tcW w:w="420" w:type="dxa"/>
            <w:vAlign w:val="bottom"/>
          </w:tcPr>
          <w:p>
            <w:pPr>
              <w:spacing w:after="0"/>
              <w:rPr>
                <w:sz w:val="20"/>
                <w:szCs w:val="20"/>
                <w:color w:val="auto"/>
              </w:rPr>
            </w:pPr>
          </w:p>
        </w:tc>
      </w:tr>
      <w:tr>
        <w:trPr>
          <w:trHeight w:val="44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   Founding of our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4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   Launch of free web-based e-mail services, and business model shifted from software development to internet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38"/>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 with the launch of our NetEase website (“</w:t>
            </w:r>
            <w:r>
              <w:rPr>
                <w:rFonts w:ascii="Times New Roman" w:cs="Times New Roman" w:eastAsia="Times New Roman" w:hAnsi="Times New Roman"/>
                <w:sz w:val="18"/>
                <w:szCs w:val="18"/>
                <w:b w:val="1"/>
                <w:bCs w:val="1"/>
                <w:color w:val="auto"/>
              </w:rPr>
              <w:t>www.163.com</w:t>
            </w: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   Launches of advertisement services, online platforms, online shopping malls, and other internet services in China</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   Listing on Nasdaq on June 30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bl>
    <w:p>
      <w:pPr>
        <w:spacing w:after="0" w:line="198" w:lineRule="exact"/>
        <w:rPr>
          <w:sz w:val="20"/>
          <w:szCs w:val="20"/>
          <w:color w:val="auto"/>
        </w:rPr>
      </w:pPr>
    </w:p>
    <w:p>
      <w:pPr>
        <w:ind w:left="980" w:right="280" w:hanging="323"/>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fee-based premium services and online entertainment services, including online games, wireless2001 value-added services and other subscription-type services</w:t>
      </w:r>
    </w:p>
    <w:p>
      <w:pPr>
        <w:spacing w:after="0" w:line="159" w:lineRule="exact"/>
        <w:rPr>
          <w:rFonts w:ascii="Times New Roman" w:cs="Times New Roman" w:eastAsia="Times New Roman" w:hAnsi="Times New Roman"/>
          <w:sz w:val="18"/>
          <w:szCs w:val="18"/>
          <w:color w:val="auto"/>
        </w:rPr>
      </w:pPr>
    </w:p>
    <w:p>
      <w:pPr>
        <w:ind w:left="980" w:right="280" w:hanging="323"/>
        <w:spacing w:after="0" w:line="284"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 of our first PC-client MMORPG game,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our widely popular in-house developed2001 game series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our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series, our second widely popular original game series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Founding of Youdao, our intelligent learning and advertising solutions provider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our music streaming platform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our first mobile game, the mobile version of </w:t>
            </w:r>
            <w:r>
              <w:rPr>
                <w:rFonts w:ascii="Times New Roman" w:cs="Times New Roman" w:eastAsia="Times New Roman" w:hAnsi="Times New Roman"/>
                <w:sz w:val="18"/>
                <w:szCs w:val="18"/>
                <w:i w:val="1"/>
                <w:iCs w:val="1"/>
                <w:color w:val="auto"/>
              </w:rPr>
              <w:t>Fantasy Westward Journey 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Launch of Yanxuan, our e-commerce 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Listing of Youdao on the New York Stock Exchange on October 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Listing on the Hong Kong Stock Exchange on June 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Listing of NetEase Cloud Music on the Hong Kong Stock Exchange on December 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capital expenditures for 2024, 2023 and 2022 consisted mainly of expenditures related to our new office buildings in Shanghai and Hangzhou in China and the acquisition of new servers in connection with the operation of our business for a total of approximately RMB1.3 billion, RMB2.3 billion and RMB2.1 billion,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capital expenditure commitments of RMB632.3 million (US$86.6 million) for 2025 and thereafter, which primarily consist of commitments made in connection with the construction of new office buildings in Shanghai, Hangzhou and other cities.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spacing w:after="0" w:line="172" w:lineRule="exact"/>
        <w:rPr>
          <w:sz w:val="20"/>
          <w:szCs w:val="20"/>
          <w:color w:val="auto"/>
        </w:rPr>
      </w:pPr>
    </w:p>
    <w:p>
      <w:pPr>
        <w:ind w:left="720" w:hanging="712"/>
        <w:spacing w:after="0"/>
        <w:tabs>
          <w:tab w:leader="none" w:pos="7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through our subsidiaries and the VIEs. Due to legal restrictions and prohibitions on foreign investment in Chinese companies providing, among other things, value-added telecommunications services, internet cultural services and internet publication services,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the: (a) the power to direct the activities that most significantly impact the economic performance of the VIEs and their subsidiaries; (b) the economic benefits of these VIEs and their subsidiaries; and (c) an exclusive option to purchase all or part of the equity interests in the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VIEs, and they operate the NetEase game services in China, education platforms, websites, as well as our other online businesses. For more information on these agreements, see Item 7.B. “Major Shareholders and Related Party Transactions— Related Party Transactions.”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violations by the VIEs of our agreements with them could disrupt our operations or adversely affect our services. See Item 3.D. “Key Information—Risk Factors” for a detailed discussion of the risks to NetEase, Inc. regarding its dependency on these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diagram below summarizes our corporate structure as of March 31, 2025 and identifies the subsidiaries and the VIEs that together are representative of our major business units, including our significant subsidiaries, as that term is defined under Section 1-02 of Regulation S-X under the Securities Act, and other representative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203190" cy="5238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03190" cy="523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NetEase Leihuo Technology Co., Ltd. is owned by two of our employees.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Guangzhou NetEase Computer System Co., Ltd. and Hangzhou Yuedu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NetEase Youdao Computer System Co., Ltd. is 71.1% owned by William Lei Ding and 28.9% owned by the chief executive officer of Youdao,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successful online game business, developing and operating a rich portfolio of highly popular titles. We currently offer over 100 mobile and PC games across a wide range of genres, satisfying the ever growing and diversifying needs of the gamer community. Leveraging our user insights and execution expertise, we have also incubated and developed in-house a pipeline of innovative and successful businesses, including intelligent learning and other businesses, ranging from music streaming and e-commerce to advertising services, e-mail, payment platform and other services. For a breakdown of total revenue by segment for the last three financial years, see Item 5.A. “Operating and Financial Review and Prospects—Operating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Games and Related Value-added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Games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game products and services are comprised of in-house developed mobile and PC games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Game Library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Mobile games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Mobile games have gained increasing popularity and an expanding user base as internet users in China and across the world rely more and more on mobile devices to access the internet. We are one of the largest mobile game providers globally in terms of game revenue, offering around 100 mobile games of various genres as of December 31, 2024, including in-house developed and licensed MMORPGs, casual games, shooting games, racing simulations, CCGs, battle arena games and SLGs, as well as other types of games.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To date, the majority of our most popular mobile games are in-house developed games. We have launched the mobile versions of our in-house developed flagship titles, including the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xml:space="preserve"> mobile games. We distribute our mobile games through partnerships with major Android- and iOS-based application stores in China, as well as our proprietary platforms. We offer a variety of in-game virtual items that players can purchase, including avatars, skills, privileges and other in-game consumables, features and functionalities.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certain of our major in-house developed mobile games: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Game</w:t>
            </w:r>
          </w:p>
        </w:tc>
        <w:tc>
          <w:tcPr>
            <w:tcW w:w="25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Genre</w:t>
            </w: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 Version of Fantasy Westward Journey II</w:t>
            </w:r>
          </w:p>
        </w:tc>
        <w:tc>
          <w:tcPr>
            <w:tcW w:w="1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Turn-based MMORPG</w:t>
            </w:r>
          </w:p>
        </w:tc>
        <w:tc>
          <w:tcPr>
            <w:tcW w:w="2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Fantasy Westward Journey mobile game</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Turn-based MMORPG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March 2015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Westward Journey Online mobile game</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Turn-based MMORPG</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Infinite Borders</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SLG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October 2015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mobile version of Ghost</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Real-time MMORPG</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Onmyoji</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CCG &amp; RPG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Knives Out</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Battle Arena</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Identity V</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Battle Arena</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April 2018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LifeAfter</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Cooperative Survival RPG</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Fantasy Westward Journey H5</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MMORPG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June 2020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Eggy Party</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 Party Mobile Game</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Diablo® Immortal™*</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MMO Action-RPG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June 2022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Racing Master*</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Racing Simulation</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Justice mobile game</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MMORPG</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Dunk City Dynasty</w:t>
            </w:r>
          </w:p>
        </w:tc>
        <w:tc>
          <w:tcPr>
            <w:tcW w:w="2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Basketball</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2023</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Naraka: Bladepoint mobile game</w:t>
            </w:r>
          </w:p>
        </w:tc>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Action Battle Royale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15684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Diablo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Immortal™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xml:space="preserve"> were co-developed with Blizzard and Codemasters, respectively.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PC games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launched our first PC based MMORPG,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xml:space="preserve">, in December 2001. Subsequently, we launched </w:t>
      </w:r>
      <w:r>
        <w:rPr>
          <w:rFonts w:ascii="Times New Roman" w:cs="Times New Roman" w:eastAsia="Times New Roman" w:hAnsi="Times New Roman"/>
          <w:sz w:val="18"/>
          <w:szCs w:val="18"/>
          <w:i w:val="1"/>
          <w:iCs w:val="1"/>
          <w:color w:val="auto"/>
        </w:rPr>
        <w:t>Westward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Journey Online II </w:t>
      </w:r>
      <w:r>
        <w:rPr>
          <w:rFonts w:ascii="Times New Roman" w:cs="Times New Roman" w:eastAsia="Times New Roman" w:hAnsi="Times New Roman"/>
          <w:sz w:val="18"/>
          <w:szCs w:val="18"/>
          <w:color w:val="auto"/>
        </w:rPr>
        <w:t>in August 2002 and our second original PC based MMORPG,</w:t>
      </w:r>
      <w:r>
        <w:rPr>
          <w:rFonts w:ascii="Times New Roman" w:cs="Times New Roman" w:eastAsia="Times New Roman" w:hAnsi="Times New Roman"/>
          <w:sz w:val="18"/>
          <w:szCs w:val="18"/>
          <w:i w:val="1"/>
          <w:iCs w:val="1"/>
          <w:color w:val="auto"/>
        </w:rPr>
        <w:t xml:space="preserve"> Fantasy Westward Journey</w:t>
      </w:r>
      <w:r>
        <w:rPr>
          <w:rFonts w:ascii="Times New Roman" w:cs="Times New Roman" w:eastAsia="Times New Roman" w:hAnsi="Times New Roman"/>
          <w:sz w:val="18"/>
          <w:szCs w:val="18"/>
          <w:color w:val="auto"/>
        </w:rPr>
        <w:t>, in January 2004.</w:t>
      </w:r>
      <w:r>
        <w:rPr>
          <w:rFonts w:ascii="Times New Roman" w:cs="Times New Roman" w:eastAsia="Times New Roman" w:hAnsi="Times New Roman"/>
          <w:sz w:val="18"/>
          <w:szCs w:val="18"/>
          <w:i w:val="1"/>
          <w:iCs w:val="1"/>
          <w:color w:val="auto"/>
        </w:rPr>
        <w:t xml:space="preserve"> Westward Journey Online II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Fantasy Westward Journey </w:t>
      </w:r>
      <w:r>
        <w:rPr>
          <w:rFonts w:ascii="Times New Roman" w:cs="Times New Roman" w:eastAsia="Times New Roman" w:hAnsi="Times New Roman"/>
          <w:sz w:val="18"/>
          <w:szCs w:val="18"/>
          <w:color w:val="auto"/>
        </w:rPr>
        <w:t>were upgraded to</w:t>
      </w:r>
      <w:r>
        <w:rPr>
          <w:rFonts w:ascii="Times New Roman" w:cs="Times New Roman" w:eastAsia="Times New Roman" w:hAnsi="Times New Roman"/>
          <w:sz w:val="18"/>
          <w:szCs w:val="18"/>
          <w:i w:val="1"/>
          <w:iCs w:val="1"/>
          <w:color w:val="auto"/>
        </w:rPr>
        <w:t xml:space="preserve"> Westward Journey Online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Fantasy Westward Journey Online </w:t>
      </w:r>
      <w:r>
        <w:rPr>
          <w:rFonts w:ascii="Times New Roman" w:cs="Times New Roman" w:eastAsia="Times New Roman" w:hAnsi="Times New Roman"/>
          <w:sz w:val="18"/>
          <w:szCs w:val="18"/>
          <w:color w:val="auto"/>
        </w:rPr>
        <w:t xml:space="preserve">in 2013. Both game series remain popular with gamers today as a result of continued content updating and innovation in play modes over the past two decades. On Steam’s Best of 2024 games list,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Once Human</w:t>
      </w:r>
      <w:r>
        <w:rPr>
          <w:rFonts w:ascii="Times New Roman" w:cs="Times New Roman" w:eastAsia="Times New Roman" w:hAnsi="Times New Roman"/>
          <w:sz w:val="18"/>
          <w:szCs w:val="18"/>
          <w:color w:val="auto"/>
        </w:rPr>
        <w:t xml:space="preserve"> were named as “Top Seller” and “Most Played” games.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major in-house developed PC games: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Game</w:t>
            </w: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Genre</w:t>
            </w: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Date(s) of Launch and Major Upgrade</w:t>
            </w:r>
          </w:p>
        </w:tc>
      </w:tr>
      <w:tr>
        <w:trPr>
          <w:trHeight w:val="191"/>
        </w:trPr>
        <w:tc>
          <w:tcPr>
            <w:tcW w:w="40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Westward Journey Online 2 (a comprehensive upgrade</w:t>
            </w:r>
          </w:p>
        </w:tc>
        <w:tc>
          <w:tcPr>
            <w:tcW w:w="1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2D MMORPG, classical</w:t>
            </w:r>
          </w:p>
        </w:tc>
        <w:tc>
          <w:tcPr>
            <w:tcW w:w="14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August 2002</w:t>
            </w:r>
          </w:p>
        </w:tc>
      </w:tr>
      <w:tr>
        <w:trPr>
          <w:trHeight w:val="234"/>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Westward Journey Online II)</w:t>
            </w:r>
          </w:p>
        </w:tc>
        <w:tc>
          <w:tcPr>
            <w:tcW w:w="2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Chinese setting</w:t>
            </w: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2013</w:t>
            </w: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Fantasy Westward Journey Online (previously known as</w:t>
            </w:r>
          </w:p>
        </w:tc>
        <w:tc>
          <w:tcPr>
            <w:tcW w:w="21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2D MMORPG, classical</w:t>
            </w: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January 2004</w:t>
            </w:r>
          </w:p>
        </w:tc>
      </w:tr>
      <w:tr>
        <w:trPr>
          <w:trHeight w:val="234"/>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Fantasy Westward Journey II)</w:t>
            </w: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Chinese setting</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July 2013</w:t>
            </w:r>
          </w:p>
        </w:tc>
      </w:tr>
      <w:tr>
        <w:trPr>
          <w:trHeight w:val="198"/>
        </w:trPr>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Tianxia III</w:t>
            </w:r>
          </w:p>
        </w:tc>
        <w:tc>
          <w:tcPr>
            <w:tcW w:w="21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3D MMORPG, classical</w:t>
            </w: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 2011</w:t>
            </w:r>
          </w:p>
        </w:tc>
      </w:tr>
      <w:tr>
        <w:trPr>
          <w:trHeight w:val="234"/>
        </w:trPr>
        <w:tc>
          <w:tcPr>
            <w:tcW w:w="24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Chinese setting</w:t>
            </w:r>
          </w:p>
        </w:tc>
        <w:tc>
          <w:tcPr>
            <w:tcW w:w="3660" w:type="dxa"/>
            <w:vAlign w:val="bottom"/>
            <w:shd w:val="clear" w:color="auto" w:fill="CCEEFF"/>
          </w:tcPr>
          <w:p>
            <w:pPr>
              <w:spacing w:after="0"/>
              <w:rPr>
                <w:sz w:val="20"/>
                <w:szCs w:val="20"/>
                <w:color w:val="auto"/>
              </w:rPr>
            </w:pP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New Ghost (a new version of Ghost II)</w:t>
            </w:r>
          </w:p>
        </w:tc>
        <w:tc>
          <w:tcPr>
            <w:tcW w:w="21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2.5D MMORPG,</w:t>
            </w: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April 2012</w:t>
            </w:r>
          </w:p>
        </w:tc>
      </w:tr>
      <w:tr>
        <w:trPr>
          <w:trHeight w:val="234"/>
        </w:trPr>
        <w:tc>
          <w:tcPr>
            <w:tcW w:w="2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classical Chinese setting</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2015</w:t>
            </w:r>
          </w:p>
        </w:tc>
      </w:tr>
      <w:tr>
        <w:trPr>
          <w:trHeight w:val="198"/>
        </w:trPr>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Justice</w:t>
            </w:r>
          </w:p>
        </w:tc>
        <w:tc>
          <w:tcPr>
            <w:tcW w:w="21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3D MMORPG, classical</w:t>
            </w: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June 2018</w:t>
            </w:r>
          </w:p>
        </w:tc>
      </w:tr>
      <w:tr>
        <w:trPr>
          <w:trHeight w:val="234"/>
        </w:trPr>
        <w:tc>
          <w:tcPr>
            <w:tcW w:w="24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Chinese setting</w:t>
            </w:r>
          </w:p>
        </w:tc>
        <w:tc>
          <w:tcPr>
            <w:tcW w:w="3660" w:type="dxa"/>
            <w:vAlign w:val="bottom"/>
            <w:shd w:val="clear" w:color="auto" w:fill="CCEEFF"/>
          </w:tcPr>
          <w:p>
            <w:pPr>
              <w:spacing w:after="0"/>
              <w:rPr>
                <w:sz w:val="20"/>
                <w:szCs w:val="20"/>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Naraka: Bladepoint</w:t>
            </w: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Action Battle Royale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July 2021</w:t>
            </w:r>
          </w:p>
        </w:tc>
      </w:tr>
      <w:tr>
        <w:trPr>
          <w:trHeight w:val="198"/>
        </w:trPr>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Once Human*</w:t>
            </w:r>
          </w:p>
        </w:tc>
        <w:tc>
          <w:tcPr>
            <w:tcW w:w="21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Survival\Open-</w:t>
            </w: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July 2024</w:t>
            </w:r>
          </w:p>
        </w:tc>
      </w:tr>
      <w:tr>
        <w:trPr>
          <w:trHeight w:val="234"/>
        </w:trPr>
        <w:tc>
          <w:tcPr>
            <w:tcW w:w="24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world\Crafting</w:t>
            </w:r>
          </w:p>
        </w:tc>
        <w:tc>
          <w:tcPr>
            <w:tcW w:w="3660" w:type="dxa"/>
            <w:vAlign w:val="bottom"/>
            <w:shd w:val="clear" w:color="auto" w:fill="CCEEFF"/>
          </w:tcPr>
          <w:p>
            <w:pPr>
              <w:spacing w:after="0"/>
              <w:rPr>
                <w:sz w:val="20"/>
                <w:szCs w:val="20"/>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Marvel Rivals</w:t>
            </w:r>
          </w:p>
        </w:tc>
        <w:tc>
          <w:tcPr>
            <w:tcW w:w="2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Shooting</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2024</w:t>
            </w:r>
          </w:p>
        </w:tc>
      </w:tr>
      <w:tr>
        <w:trPr>
          <w:trHeight w:val="198"/>
        </w:trPr>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Where Winds Meet*</w:t>
            </w:r>
          </w:p>
        </w:tc>
        <w:tc>
          <w:tcPr>
            <w:tcW w:w="21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Open-world action-</w:t>
            </w: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2024</w:t>
            </w:r>
          </w:p>
        </w:tc>
      </w:tr>
      <w:tr>
        <w:trPr>
          <w:trHeight w:val="234"/>
        </w:trPr>
        <w:tc>
          <w:tcPr>
            <w:tcW w:w="24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adventure RPG</w:t>
            </w:r>
          </w:p>
        </w:tc>
        <w:tc>
          <w:tcPr>
            <w:tcW w:w="3660" w:type="dxa"/>
            <w:vAlign w:val="bottom"/>
            <w:shd w:val="clear" w:color="auto" w:fill="CCEEFF"/>
          </w:tcPr>
          <w:p>
            <w:pPr>
              <w:spacing w:after="0"/>
              <w:rPr>
                <w:sz w:val="20"/>
                <w:szCs w:val="20"/>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60" w:type="dxa"/>
            <w:vAlign w:val="bottom"/>
          </w:tcPr>
          <w:p>
            <w:pPr>
              <w:spacing w:after="0"/>
              <w:rPr>
                <w:sz w:val="8"/>
                <w:szCs w:val="8"/>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Once Human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are cross-platform games which are available both on PC and mobile devices.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Licensed Games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in-house developed mobile and PC games, we also offer games licensed from other international game developers, including Blizzard and Microsoft. For further details, see Item 4.B. “Information on the Company—Business Overview— Our Services—Games and Related Value-added Services—International Partnerships.” Revenues from licensed games accounted for 9.5%, 4.6% and 7.4% of our total revenues in 2022, 2023 and 2024,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Global Presence</w:t>
      </w:r>
    </w:p>
    <w:p>
      <w:pPr>
        <w:spacing w:after="0" w:line="225" w:lineRule="exact"/>
        <w:rPr>
          <w:sz w:val="20"/>
          <w:szCs w:val="20"/>
          <w:color w:val="auto"/>
        </w:rPr>
      </w:pPr>
    </w:p>
    <w:p>
      <w:pPr>
        <w:jc w:val="both"/>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continue to advance our games and make inroads that expand our reach in overseas markets. We have launched numerous mobile games in global markets since 2015. Our mobile game, </w:t>
      </w:r>
      <w:r>
        <w:rPr>
          <w:rFonts w:ascii="Times New Roman" w:cs="Times New Roman" w:eastAsia="Times New Roman" w:hAnsi="Times New Roman"/>
          <w:sz w:val="18"/>
          <w:szCs w:val="18"/>
          <w:i w:val="1"/>
          <w:iCs w:val="1"/>
          <w:color w:val="auto"/>
        </w:rPr>
        <w:t>Knives Out</w:t>
      </w:r>
      <w:r>
        <w:rPr>
          <w:rFonts w:ascii="Times New Roman" w:cs="Times New Roman" w:eastAsia="Times New Roman" w:hAnsi="Times New Roman"/>
          <w:sz w:val="18"/>
          <w:szCs w:val="18"/>
          <w:color w:val="auto"/>
        </w:rPr>
        <w:t xml:space="preserve">, has remained popular in Japan since its launch in 2017 and ranked No.1 and No.2 in Japan’s iOS grossing chart in 2023 and 2024, respectively. We also launched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xml:space="preserve"> in Japan in 2018 and 2024, respectively, further evidencing our potential to operate a diverse range of games in overseas markets over the long term. In addition to our success in Japan, we have expanded our footprint across more regions. We launched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globally in 2022 and 2024, respectively.</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also strengthened our global R&amp;D capabilities by launching or acquiring overseas game studios in North America, Japan and Europe and working with top international game developers.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Partnerships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Building on our strong in-house content development capabilities, we have formed strategic partnerships and collaborations with world-famous game studios and content owners. As a leader in online games in China, we have successfully partnered with leading international game studios and content owners with our development and operational capabilities, such as Blizzard, Marvel and Microsoft, to co-develop and/or operate games in China and abroad. In addition, we established a series of IP collaborations with various third parties.</w:t>
      </w:r>
    </w:p>
    <w:p>
      <w:pPr>
        <w:spacing w:after="0" w:line="18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 xml:space="preserve">For example, we entered into an exclusive license agreement with Blizzard in 2024 to operate a number of its titles including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Hearthstone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titles in the</w:t>
      </w:r>
      <w:r>
        <w:rPr>
          <w:rFonts w:ascii="Times New Roman" w:cs="Times New Roman" w:eastAsia="Times New Roman" w:hAnsi="Times New Roman"/>
          <w:sz w:val="18"/>
          <w:szCs w:val="18"/>
          <w:i w:val="1"/>
          <w:iCs w:val="1"/>
          <w:color w:val="auto"/>
        </w:rPr>
        <w:t xml:space="preserve"> Warcraft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Overwatch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Diablo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StarCraft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universes in China mainland.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previously partnered with Blizzard for the operation of many of these games pursuant to a prior license arrangement from 2008 to 2023.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We have also co-developed and successfully launched </w:t>
      </w:r>
      <w:r>
        <w:rPr>
          <w:rFonts w:ascii="Times New Roman" w:cs="Times New Roman" w:eastAsia="Times New Roman" w:hAnsi="Times New Roman"/>
          <w:sz w:val="18"/>
          <w:szCs w:val="18"/>
          <w:i w:val="1"/>
          <w:iCs w:val="1"/>
          <w:color w:val="auto"/>
        </w:rPr>
        <w:t>Diablo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Immortal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 MMO action-RPG, with Blizzard in 2022 and entered into a license agreement with Marvel in May 2019 to operate original entertainment content based on internationally beloved Marvel characters and stories. In 2019, we launched in the PRC </w:t>
      </w:r>
      <w:r>
        <w:rPr>
          <w:rFonts w:ascii="Times New Roman" w:cs="Times New Roman" w:eastAsia="Times New Roman" w:hAnsi="Times New Roman"/>
          <w:sz w:val="18"/>
          <w:szCs w:val="18"/>
          <w:i w:val="1"/>
          <w:iCs w:val="1"/>
          <w:color w:val="auto"/>
        </w:rPr>
        <w:t>Sky</w:t>
      </w:r>
      <w:r>
        <w:rPr>
          <w:rFonts w:ascii="Times New Roman" w:cs="Times New Roman" w:eastAsia="Times New Roman" w:hAnsi="Times New Roman"/>
          <w:sz w:val="18"/>
          <w:szCs w:val="18"/>
          <w:color w:val="auto"/>
        </w:rPr>
        <w:t xml:space="preserve"> which is an award-winning adventure mobile game featuring unique graphics and gameplay that we have licensed from thatgamecompany, Inc.</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in May 2016, we entered into an exclusive agreement with Microsoft, pursuant to which Microsoft agreed to license both the mobile and PC versions of </w:t>
      </w:r>
      <w:r>
        <w:rPr>
          <w:rFonts w:ascii="Times New Roman" w:cs="Times New Roman" w:eastAsia="Times New Roman" w:hAnsi="Times New Roman"/>
          <w:sz w:val="18"/>
          <w:szCs w:val="18"/>
          <w:i w:val="1"/>
          <w:iCs w:val="1"/>
          <w:color w:val="auto"/>
        </w:rPr>
        <w:t>Minecraft</w:t>
      </w:r>
      <w:r>
        <w:rPr>
          <w:rFonts w:ascii="Times New Roman" w:cs="Times New Roman" w:eastAsia="Times New Roman" w:hAnsi="Times New Roman"/>
          <w:sz w:val="18"/>
          <w:szCs w:val="18"/>
          <w:color w:val="auto"/>
        </w:rPr>
        <w:t xml:space="preserve"> to us for operation in China until 2022. The term of such license was extended in 2019 and further renewed in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continue to establish and deepen collaboration with other leading international game studios, including entering into a joint development agreement with Codemasters, a leading United Kingdom game studio focusing on racing games. In conjunction with Codemasters, we launched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a real-time simulation racing game that has gained widespread acclaim in Hong Kong, Macau, Taiwan, China mainland and Japan.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Game Design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Franchises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continue to build upon existing successful games to offer multi-dimensional content by leveraging our in-house developed franchises and intellectual property. Our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xml:space="preserve"> franchises remain popular and have been instilled in the collective memory of a generation of Chinese players. We further expanded the reach of these franchises through the introduction of </w:t>
      </w:r>
      <w:r>
        <w:rPr>
          <w:rFonts w:ascii="Times New Roman" w:cs="Times New Roman" w:eastAsia="Times New Roman" w:hAnsi="Times New Roman"/>
          <w:sz w:val="18"/>
          <w:szCs w:val="18"/>
          <w:i w:val="1"/>
          <w:iCs w:val="1"/>
          <w:color w:val="auto"/>
        </w:rPr>
        <w:t>Fantasy Westward Journey 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Fantasy Westward Journey H5</w:t>
      </w:r>
      <w:r>
        <w:rPr>
          <w:rFonts w:ascii="Times New Roman" w:cs="Times New Roman" w:eastAsia="Times New Roman" w:hAnsi="Times New Roman"/>
          <w:sz w:val="18"/>
          <w:szCs w:val="18"/>
          <w:color w:val="auto"/>
        </w:rPr>
        <w:t xml:space="preserve"> in 2019 and 2020, respectively, captivating both returning fans and new players. We subsequently successfully launched </w:t>
      </w:r>
      <w:r>
        <w:rPr>
          <w:rFonts w:ascii="Times New Roman" w:cs="Times New Roman" w:eastAsia="Times New Roman" w:hAnsi="Times New Roman"/>
          <w:sz w:val="18"/>
          <w:szCs w:val="18"/>
          <w:i w:val="1"/>
          <w:iCs w:val="1"/>
          <w:color w:val="auto"/>
        </w:rPr>
        <w:t>Westward Journey Return</w:t>
      </w:r>
      <w:r>
        <w:rPr>
          <w:rFonts w:ascii="Times New Roman" w:cs="Times New Roman" w:eastAsia="Times New Roman" w:hAnsi="Times New Roman"/>
          <w:sz w:val="18"/>
          <w:szCs w:val="18"/>
          <w:color w:val="auto"/>
        </w:rPr>
        <w:t xml:space="preserve"> in early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growing and strengthening our existing franchises, we have continually incubated new ideas and delivered new and long-lasting game titles to our users. For example, one of our in-house developed young IPs is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which we believe has the potential to become another successful NetEase franchise. We are continually enriching this IP through a variety of initiatives, including e-sports, game collaborations and off-line activities. We have hosted a number of high-profile events featuring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including both international and regional series tournaments.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programs. For more description on our R&amp;D capabilities, see Item 4.B. “Information on the Company—Business Overview—Our Services—Games and Related Value-added Services—Game R&amp;D and Technologies.”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Content Quality and User Experience</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 In addition to creating a highly realistic and immersive gaming experience through the use of advanced technologies, we also employ innovative gamification thinking that takes into consideration both the in-game and out-of-game user experience.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Game R&amp;D and Technologies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consistent and significant investment in innovative game R&amp;D is a key contributor to the success of our online game business and has been widely recognized in the games industry.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Proprietary Game R&amp;D Capabilities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strive to recruit and grow the best talent in the industry. We were awarded the 2023-2024 ATD Excellence in Practice Award by the Association for Talent Development, one of the most authoritative international awards in the global talent development industry. In addition, we established our in-house game advanced technology research institutions to focus on researching, among other things,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Key Game Technologies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game R&amp;D is centered around using technologies to deliver a superior and differentiated user experience. The key areas of our proprietary game technologies include:</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Proprietary game engines: </w:t>
      </w:r>
      <w:r>
        <w:rPr>
          <w:rFonts w:ascii="Times New Roman" w:cs="Times New Roman" w:eastAsia="Times New Roman" w:hAnsi="Times New Roman"/>
          <w:sz w:val="18"/>
          <w:szCs w:val="18"/>
          <w:color w:val="auto"/>
        </w:rPr>
        <w:t>In addition to game development, we have continually invested in proprietary game engine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initial 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User profile analytics: </w:t>
      </w:r>
      <w:r>
        <w:rPr>
          <w:rFonts w:ascii="Times New Roman" w:cs="Times New Roman" w:eastAsia="Times New Roman" w:hAnsi="Times New Roman"/>
          <w:sz w:val="18"/>
          <w:szCs w:val="18"/>
          <w:color w:val="auto"/>
        </w:rPr>
        <w:t>We perform an in-depth analysis of our users profile by analyzing activities and performances in games,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in-game purchasing preferences and other data and information. We leverage our user data on an aggregate basis to guide game development and upgrades, marketing and other activities.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Intelligent non-player characters (NPCs): </w:t>
      </w:r>
      <w:r>
        <w:rPr>
          <w:rFonts w:ascii="Times New Roman" w:cs="Times New Roman" w:eastAsia="Times New Roman" w:hAnsi="Times New Roman"/>
          <w:sz w:val="18"/>
          <w:szCs w:val="18"/>
          <w:color w:val="auto"/>
        </w:rPr>
        <w:t>Enabled by deep learning technology, we have created intelligent NPCs that can join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players’ in-game 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language processing (NLP): </w:t>
      </w:r>
      <w:r>
        <w:rPr>
          <w:rFonts w:ascii="Times New Roman" w:cs="Times New Roman" w:eastAsia="Times New Roman" w:hAnsi="Times New Roman"/>
          <w:sz w:val="18"/>
          <w:szCs w:val="18"/>
          <w:color w:val="auto"/>
        </w:rPr>
        <w:t>We apply NLP technology in our games to enable players to develop their own storyline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carrying out conversations with NPCs and explore hidden elements in the game, creating an immersive gaming experience for players.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Advanced game graphics: </w:t>
      </w:r>
      <w:r>
        <w:rPr>
          <w:rFonts w:ascii="Times New Roman" w:cs="Times New Roman" w:eastAsia="Times New Roman" w:hAnsi="Times New Roman"/>
          <w:sz w:val="18"/>
          <w:szCs w:val="18"/>
          <w:color w:val="auto"/>
        </w:rPr>
        <w:t>Our advanced game graphics enable game players to create unique characters with customized facial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We also offer automatic character customization based on real-life photographs uploaded by players. In addition, we deploy high-quality 3D game graphics and automatic scene generation in our games.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Value-added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related value-added services include a live streaming service and other related or ancillary value-added services related to games, such as the sales of game-themed merchandise.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Intelligent Learning and Advertising Solutions Provider – Youdao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Youdao’s Products and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 is strategically positioned as an AI-powered solutions provider specializing in artificial intelligence applications for the learning and advertising verticals, which operates in China and a number of overseas markets. We founded Youdao in 2006 and launched the flagship Youdao Dictionary in 2007, which remains the top language app in China in terms of MAUs. Youdao has experienced rapid growth since its founding and completed its public listing on the New York Stock Exchange in October 2019.</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Building on the early success of Youdao Dictionary, we have attracted a massive user base, built a strong brand, and expanded into a broad range of products and services addressing people’s lifelong learning needs, including learning services, AI-driven subscription services and smart devices. Youdao historically offered a major portion of its learning services through its Academic AST Business, but it disposed of such business in 2021 in order to comply with applicable PRC regulatory requirements adopted by the PRC government. Leveraging its strong course and content development capabilities, Youdao continues to develop online learning services, which mainly include digital content services, STEAM courses, and adult courses, such as </w:t>
      </w:r>
      <w:r>
        <w:rPr>
          <w:rFonts w:ascii="Times New Roman" w:cs="Times New Roman" w:eastAsia="Times New Roman" w:hAnsi="Times New Roman"/>
          <w:sz w:val="18"/>
          <w:szCs w:val="18"/>
          <w:i w:val="1"/>
          <w:iCs w:val="1"/>
          <w:color w:val="auto"/>
        </w:rPr>
        <w:t>China University MOOC</w:t>
      </w:r>
      <w:r>
        <w:rPr>
          <w:rFonts w:ascii="Times New Roman" w:cs="Times New Roman" w:eastAsia="Times New Roman" w:hAnsi="Times New Roman"/>
          <w:sz w:val="18"/>
          <w:szCs w:val="18"/>
          <w:color w:val="auto"/>
        </w:rPr>
        <w:t>. Youdao’s smart devices seamlessly integrate advanced AI algorithms and data analytics which supplement its online learning services and further enhance the user experience and efficiency.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Youdao’s revenues consist of three parts: learning services, smart devices and online marketing services. We currently generate the majority of the revenues of Youdao’s learning services from its tutoring services, which mainly include its online courses and digital content services. In addition, we generate revenues from sales of smart devices and from Youdao’s online marketing services through the provision of different formats of advertisements.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Online Learning. </w:t>
      </w:r>
      <w:r>
        <w:rPr>
          <w:rFonts w:ascii="Times New Roman" w:cs="Times New Roman" w:eastAsia="Times New Roman" w:hAnsi="Times New Roman"/>
          <w:sz w:val="18"/>
          <w:szCs w:val="18"/>
          <w:color w:val="auto"/>
        </w:rPr>
        <w:t>We have developed a comprehensive offering of learning services catering to the diverse learning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different age groups. Our learning service offerings primarily consist of (i) digital content services, (ii) STEAM courses, and (iii) adult courses, such as </w:t>
      </w:r>
      <w:r>
        <w:rPr>
          <w:rFonts w:ascii="Times New Roman" w:cs="Times New Roman" w:eastAsia="Times New Roman" w:hAnsi="Times New Roman"/>
          <w:sz w:val="18"/>
          <w:szCs w:val="18"/>
          <w:i w:val="1"/>
          <w:iCs w:val="1"/>
          <w:color w:val="auto"/>
        </w:rPr>
        <w:t>China University MOOC</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1000" w:hanging="317"/>
        <w:spacing w:after="0" w:line="25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Content Services</w:t>
      </w:r>
      <w:r>
        <w:rPr>
          <w:rFonts w:ascii="Times New Roman" w:cs="Times New Roman" w:eastAsia="Times New Roman" w:hAnsi="Times New Roman"/>
          <w:sz w:val="18"/>
          <w:szCs w:val="18"/>
          <w:color w:val="auto"/>
        </w:rPr>
        <w:t>. In 2022, we launched digital content services with interactive learning features,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Youdao Literature</w:t>
      </w:r>
      <w:r>
        <w:rPr>
          <w:rFonts w:ascii="Times New Roman" w:cs="Times New Roman" w:eastAsia="Times New Roman" w:hAnsi="Times New Roman"/>
          <w:sz w:val="18"/>
          <w:szCs w:val="18"/>
          <w:color w:val="auto"/>
        </w:rPr>
        <w:t xml:space="preserve">. For example, within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we customize learning tracks for students based on their diverse and ever-evolving learning needs, providing them with learning performance assessments, personalized exercise banks and quizzes, customized learning planning, and live streaming counselling services to enhance their learning performance.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also adopted a small-size class format to improve students’ learning experience and efficiency. In 2024, we upgraded Youdao Lingshi with a tiered teaching approach tailored to individual learning needs and capabilities. In addition, our video tutorials break down complex topics into manageable segments to help students achieve better learning results.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STEAM Courses. </w:t>
      </w:r>
      <w:r>
        <w:rPr>
          <w:rFonts w:ascii="Times New Roman" w:cs="Times New Roman" w:eastAsia="Times New Roman" w:hAnsi="Times New Roman"/>
          <w:sz w:val="18"/>
          <w:szCs w:val="18"/>
          <w:color w:val="auto"/>
        </w:rPr>
        <w:t>Our current STEAM courses primarily include computer coding courses and other STEAM courses.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transitioned from a large-class format to smaller, more focused sessions, ensuring a more personalized and engaging learning experience for students.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Adult Courses</w:t>
      </w:r>
      <w:r>
        <w:rPr>
          <w:rFonts w:ascii="Times New Roman" w:cs="Times New Roman" w:eastAsia="Times New Roman" w:hAnsi="Times New Roman"/>
          <w:sz w:val="18"/>
          <w:szCs w:val="18"/>
          <w:color w:val="auto"/>
        </w:rPr>
        <w:t>. Our adult courses primarily include</w:t>
      </w:r>
      <w:r>
        <w:rPr>
          <w:rFonts w:ascii="Times New Roman" w:cs="Times New Roman" w:eastAsia="Times New Roman" w:hAnsi="Times New Roman"/>
          <w:sz w:val="18"/>
          <w:szCs w:val="18"/>
          <w:i w:val="1"/>
          <w:iCs w:val="1"/>
          <w:color w:val="auto"/>
        </w:rPr>
        <w:t xml:space="preserve"> China University MOOC</w:t>
      </w:r>
      <w:r>
        <w:rPr>
          <w:rFonts w:ascii="Times New Roman" w:cs="Times New Roman" w:eastAsia="Times New Roman" w:hAnsi="Times New Roman"/>
          <w:sz w:val="18"/>
          <w:szCs w:val="18"/>
          <w:color w:val="auto"/>
        </w:rPr>
        <w:t>. MOOC stands for “massive open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course,” which is a course designed to offer free or low-cost access to learning resources to a wide audience. In collaboration with the Higher Education Press, a publishing house under the supervision of the MOE, we operate </w:t>
      </w: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University MOOC</w:t>
      </w:r>
      <w:r>
        <w:rPr>
          <w:rFonts w:ascii="Times New Roman" w:cs="Times New Roman" w:eastAsia="Times New Roman" w:hAnsi="Times New Roman"/>
          <w:sz w:val="18"/>
          <w:szCs w:val="18"/>
          <w:color w:val="auto"/>
        </w:rPr>
        <w:t>, a platform offering online courses primarily targeting college students and adults in China.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AI-driven Subscription</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Youdao Dictionary</w:t>
      </w:r>
      <w:r>
        <w:rPr>
          <w:rFonts w:ascii="Times New Roman" w:cs="Times New Roman" w:eastAsia="Times New Roman" w:hAnsi="Times New Roman"/>
          <w:sz w:val="18"/>
          <w:szCs w:val="18"/>
          <w:color w:val="auto"/>
        </w:rPr>
        <w:t>. Launched in 2007, Youdao Dictionary is Youdao’s first major product and flagship online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 Today, it is China’s most popular and trusted online dictionary and translation tool with 44.5 million MAUs in 2024. As of December 31, 2024, Youdao Dictionary offered over 560 million entries across 109 languages.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AI-based Learning Tools</w:t>
      </w:r>
      <w:r>
        <w:rPr>
          <w:rFonts w:ascii="Times New Roman" w:cs="Times New Roman" w:eastAsia="Times New Roman" w:hAnsi="Times New Roman"/>
          <w:sz w:val="18"/>
          <w:szCs w:val="18"/>
          <w:color w:val="auto"/>
        </w:rPr>
        <w:t>. We launched</w:t>
      </w:r>
      <w:r>
        <w:rPr>
          <w:rFonts w:ascii="Times New Roman" w:cs="Times New Roman" w:eastAsia="Times New Roman" w:hAnsi="Times New Roman"/>
          <w:sz w:val="18"/>
          <w:szCs w:val="18"/>
          <w:i w:val="1"/>
          <w:iCs w:val="1"/>
          <w:color w:val="auto"/>
        </w:rPr>
        <w:t xml:space="preserve"> Confucius</w:t>
      </w:r>
      <w:r>
        <w:rPr>
          <w:rFonts w:ascii="Times New Roman" w:cs="Times New Roman" w:eastAsia="Times New Roman" w:hAnsi="Times New Roman"/>
          <w:sz w:val="18"/>
          <w:szCs w:val="18"/>
          <w:color w:val="auto"/>
        </w:rPr>
        <w:t>, our own large language model (LLM), in 2023, which is China’s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LLM specifically designed for the education sector. Powered by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we also launched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 AI-driven virtual English-speaking tutor,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 a conversation-based tool designed with real-time and multi-modality learning features across major subjects for students. To enhance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’s in-depth analytical reasoning capabilities, we recently integrated it with DeepSeek-R1 and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models to deliver more intuitive, responsive and cost-efficient services to users.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AI-driven Subscription</w:t>
      </w:r>
      <w:r>
        <w:rPr>
          <w:rFonts w:ascii="Times New Roman" w:cs="Times New Roman" w:eastAsia="Times New Roman" w:hAnsi="Times New Roman"/>
          <w:sz w:val="18"/>
          <w:szCs w:val="18"/>
          <w:color w:val="auto"/>
        </w:rPr>
        <w:t>. Other AI-driven subscription primarily include (i)</w:t>
      </w:r>
      <w:r>
        <w:rPr>
          <w:rFonts w:ascii="Times New Roman" w:cs="Times New Roman" w:eastAsia="Times New Roman" w:hAnsi="Times New Roman"/>
          <w:sz w:val="18"/>
          <w:szCs w:val="18"/>
          <w:i w:val="1"/>
          <w:iCs w:val="1"/>
          <w:color w:val="auto"/>
        </w:rPr>
        <w:t xml:space="preserve"> Youdao Desktop Translation</w:t>
      </w:r>
      <w:r>
        <w:rPr>
          <w:rFonts w:ascii="Times New Roman" w:cs="Times New Roman" w:eastAsia="Times New Roman" w:hAnsi="Times New Roman"/>
          <w:sz w:val="18"/>
          <w:szCs w:val="18"/>
          <w:color w:val="auto"/>
        </w:rPr>
        <w:t>,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desktop dictionary tool primarily for Chinese users; (ii) </w:t>
      </w:r>
      <w:r>
        <w:rPr>
          <w:rFonts w:ascii="Times New Roman" w:cs="Times New Roman" w:eastAsia="Times New Roman" w:hAnsi="Times New Roman"/>
          <w:sz w:val="18"/>
          <w:szCs w:val="18"/>
          <w:i w:val="1"/>
          <w:iCs w:val="1"/>
          <w:color w:val="auto"/>
        </w:rPr>
        <w:t>U-Dictionary</w:t>
      </w:r>
      <w:r>
        <w:rPr>
          <w:rFonts w:ascii="Times New Roman" w:cs="Times New Roman" w:eastAsia="Times New Roman" w:hAnsi="Times New Roman"/>
          <w:sz w:val="18"/>
          <w:szCs w:val="18"/>
          <w:color w:val="auto"/>
        </w:rPr>
        <w:t xml:space="preserve">, an online dictionary and translation app offered in overseas market; (iii) </w:t>
      </w:r>
      <w:r>
        <w:rPr>
          <w:rFonts w:ascii="Times New Roman" w:cs="Times New Roman" w:eastAsia="Times New Roman" w:hAnsi="Times New Roman"/>
          <w:sz w:val="18"/>
          <w:szCs w:val="18"/>
          <w:i w:val="1"/>
          <w:iCs w:val="1"/>
          <w:color w:val="auto"/>
        </w:rPr>
        <w:t>iRecord</w:t>
      </w:r>
      <w:r>
        <w:rPr>
          <w:rFonts w:ascii="Times New Roman" w:cs="Times New Roman" w:eastAsia="Times New Roman" w:hAnsi="Times New Roman"/>
          <w:sz w:val="18"/>
          <w:szCs w:val="18"/>
          <w:color w:val="auto"/>
        </w:rPr>
        <w:t xml:space="preserve">, an audio transcription tool based on LLM capabilities; (iv) </w:t>
      </w:r>
      <w:r>
        <w:rPr>
          <w:rFonts w:ascii="Times New Roman" w:cs="Times New Roman" w:eastAsia="Times New Roman" w:hAnsi="Times New Roman"/>
          <w:sz w:val="18"/>
          <w:szCs w:val="18"/>
          <w:i w:val="1"/>
          <w:iCs w:val="1"/>
          <w:color w:val="auto"/>
        </w:rPr>
        <w:t>LectMate</w:t>
      </w:r>
      <w:r>
        <w:rPr>
          <w:rFonts w:ascii="Times New Roman" w:cs="Times New Roman" w:eastAsia="Times New Roman" w:hAnsi="Times New Roman"/>
          <w:sz w:val="18"/>
          <w:szCs w:val="18"/>
          <w:color w:val="auto"/>
        </w:rPr>
        <w:t xml:space="preserve">, a simultaneous interpretation software for study-abroad lecture scenarios; (v) </w:t>
      </w:r>
      <w:r>
        <w:rPr>
          <w:rFonts w:ascii="Times New Roman" w:cs="Times New Roman" w:eastAsia="Times New Roman" w:hAnsi="Times New Roman"/>
          <w:sz w:val="18"/>
          <w:szCs w:val="18"/>
          <w:i w:val="1"/>
          <w:iCs w:val="1"/>
          <w:color w:val="auto"/>
        </w:rPr>
        <w:t>iArch</w:t>
      </w:r>
      <w:r>
        <w:rPr>
          <w:rFonts w:ascii="Times New Roman" w:cs="Times New Roman" w:eastAsia="Times New Roman" w:hAnsi="Times New Roman"/>
          <w:sz w:val="18"/>
          <w:szCs w:val="18"/>
          <w:color w:val="auto"/>
        </w:rPr>
        <w:t xml:space="preserve">, an AI home design software; (vi) </w:t>
      </w:r>
      <w:r>
        <w:rPr>
          <w:rFonts w:ascii="Times New Roman" w:cs="Times New Roman" w:eastAsia="Times New Roman" w:hAnsi="Times New Roman"/>
          <w:sz w:val="18"/>
          <w:szCs w:val="18"/>
          <w:i w:val="1"/>
          <w:iCs w:val="1"/>
          <w:color w:val="auto"/>
        </w:rPr>
        <w:t>Baby Genius</w:t>
      </w:r>
      <w:r>
        <w:rPr>
          <w:rFonts w:ascii="Times New Roman" w:cs="Times New Roman" w:eastAsia="Times New Roman" w:hAnsi="Times New Roman"/>
          <w:sz w:val="18"/>
          <w:szCs w:val="18"/>
          <w:color w:val="auto"/>
        </w:rPr>
        <w:t xml:space="preserve">, an AI baby generator; and (vii) </w:t>
      </w:r>
      <w:r>
        <w:rPr>
          <w:rFonts w:ascii="Times New Roman" w:cs="Times New Roman" w:eastAsia="Times New Roman" w:hAnsi="Times New Roman"/>
          <w:sz w:val="18"/>
          <w:szCs w:val="18"/>
          <w:i w:val="1"/>
          <w:iCs w:val="1"/>
          <w:color w:val="auto"/>
        </w:rPr>
        <w:t>One Translate Translator</w:t>
      </w:r>
      <w:r>
        <w:rPr>
          <w:rFonts w:ascii="Times New Roman" w:cs="Times New Roman" w:eastAsia="Times New Roman" w:hAnsi="Times New Roman"/>
          <w:sz w:val="18"/>
          <w:szCs w:val="18"/>
          <w:color w:val="auto"/>
        </w:rPr>
        <w:t>, a translation tool for travelers.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Online Marketing Services. </w:t>
      </w:r>
      <w:r>
        <w:rPr>
          <w:rFonts w:ascii="Times New Roman" w:cs="Times New Roman" w:eastAsia="Times New Roman" w:hAnsi="Times New Roman"/>
          <w:sz w:val="18"/>
          <w:szCs w:val="18"/>
          <w:color w:val="auto"/>
        </w:rPr>
        <w:t>We offer online marketing services through different formats of advertisement, including banners,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links, videos, logos, buttons and rich media. Our online marketing services primarily consist of performance-based advertising services and global marketing and promotion services.</w:t>
      </w:r>
    </w:p>
    <w:p>
      <w:pPr>
        <w:spacing w:after="0" w:line="173" w:lineRule="exact"/>
        <w:rPr>
          <w:sz w:val="20"/>
          <w:szCs w:val="20"/>
          <w:color w:val="auto"/>
        </w:rPr>
      </w:pPr>
    </w:p>
    <w:p>
      <w:pPr>
        <w:jc w:val="both"/>
        <w:ind w:left="1000" w:hanging="317"/>
        <w:spacing w:after="0" w:line="25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Advertising Services. </w:t>
      </w:r>
      <w:r>
        <w:rPr>
          <w:rFonts w:ascii="Times New Roman" w:cs="Times New Roman" w:eastAsia="Times New Roman" w:hAnsi="Times New Roman"/>
          <w:sz w:val="18"/>
          <w:szCs w:val="18"/>
          <w:color w:val="auto"/>
        </w:rPr>
        <w:t>Our domestic online marketing services focus on performance-based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performance-based advertising services provide comprehensive advertising services which feature AI-based data mining and application. In 2024, leveraging our advanced AI technology and enhanced data infrastructure, we upgraded our Real-Time API (RTA) technology capabilities, which broadened our client base and expanded the range of applications.</w:t>
      </w:r>
    </w:p>
    <w:p>
      <w:pPr>
        <w:spacing w:after="0" w:line="18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leveraging our advancements in AI, we have developed an advanced advertising large language model (LLM) designed for versatile applications across various marketing scenarios. Furthermore, our AI-driven model improves conversion efficiency by continuously refining advertisement strategies through data-driven insights and performance analytics. We further strengthen the role of AI in advertising efficiency through deepening the integration of advanced data analysis and algorithm optimization.</w:t>
      </w:r>
    </w:p>
    <w:p>
      <w:pPr>
        <w:spacing w:after="0" w:line="181"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Marketing and Promotion Services. </w:t>
      </w:r>
      <w:r>
        <w:rPr>
          <w:rFonts w:ascii="Times New Roman" w:cs="Times New Roman" w:eastAsia="Times New Roman" w:hAnsi="Times New Roman"/>
          <w:sz w:val="18"/>
          <w:szCs w:val="18"/>
          <w:color w:val="auto"/>
        </w:rPr>
        <w:t>We also offer</w:t>
      </w:r>
      <w:r>
        <w:rPr>
          <w:rFonts w:ascii="Times New Roman" w:cs="Times New Roman" w:eastAsia="Times New Roman" w:hAnsi="Times New Roman"/>
          <w:sz w:val="18"/>
          <w:szCs w:val="18"/>
          <w:i w:val="1"/>
          <w:iCs w:val="1"/>
          <w:color w:val="auto"/>
        </w:rPr>
        <w:t xml:space="preserve"> Youdao Ads</w:t>
      </w:r>
      <w:r>
        <w:rPr>
          <w:rFonts w:ascii="Times New Roman" w:cs="Times New Roman" w:eastAsia="Times New Roman" w:hAnsi="Times New Roman"/>
          <w:sz w:val="18"/>
          <w:szCs w:val="18"/>
          <w:color w:val="auto"/>
        </w:rPr>
        <w:t>, a global leading digital marketing solution for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in global markets, which provides four main types of services, including integrated marketing, influencer campaigns, paid social advertising and e-commerce live.</w:t>
      </w:r>
    </w:p>
    <w:p>
      <w:pPr>
        <w:spacing w:after="0" w:line="1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Smart Devices</w:t>
      </w:r>
      <w:r>
        <w:rPr>
          <w:rFonts w:ascii="Times New Roman" w:cs="Times New Roman" w:eastAsia="Times New Roman" w:hAnsi="Times New Roman"/>
          <w:sz w:val="18"/>
          <w:szCs w:val="18"/>
          <w:color w:val="auto"/>
        </w:rPr>
        <w:t>. We develop and offer smart devices, including</w:t>
      </w:r>
      <w:r>
        <w:rPr>
          <w:rFonts w:ascii="Times New Roman" w:cs="Times New Roman" w:eastAsia="Times New Roman" w:hAnsi="Times New Roman"/>
          <w:sz w:val="18"/>
          <w:szCs w:val="18"/>
          <w:i w:val="1"/>
          <w:iCs w:val="1"/>
          <w:color w:val="auto"/>
        </w:rPr>
        <w:t xml:space="preserve"> Youdao Dictionary Pen, Youdao Listening Pod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Youdao Smart Learning Pad</w:t>
      </w:r>
      <w:r>
        <w:rPr>
          <w:rFonts w:ascii="Times New Roman" w:cs="Times New Roman" w:eastAsia="Times New Roman" w:hAnsi="Times New Roman"/>
          <w:sz w:val="18"/>
          <w:szCs w:val="18"/>
          <w:color w:val="auto"/>
        </w:rPr>
        <w:t>, to make learning more productive and efficient for our users. Our smart devices are developed and designed by us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with third parties, while the manufacturing of such devices is outsourced to third-party manufacturers under original equipment manufacturer agreements.</w:t>
      </w:r>
    </w:p>
    <w:p>
      <w:pPr>
        <w:spacing w:after="0" w:line="180" w:lineRule="exact"/>
        <w:rPr>
          <w:sz w:val="20"/>
          <w:szCs w:val="20"/>
          <w:color w:val="auto"/>
        </w:rPr>
      </w:pPr>
    </w:p>
    <w:p>
      <w:pPr>
        <w:jc w:val="both"/>
        <w:ind w:left="1000" w:hanging="317"/>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Youdao Dictionary Pen. </w:t>
      </w:r>
      <w:r>
        <w:rPr>
          <w:rFonts w:ascii="Times New Roman" w:cs="Times New Roman" w:eastAsia="Times New Roman" w:hAnsi="Times New Roman"/>
          <w:sz w:val="18"/>
          <w:szCs w:val="18"/>
          <w:color w:val="auto"/>
        </w:rPr>
        <w:t>In July 2018, we launched Youdao Dictionary Pen, a sleek, modern electronic translation pen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powerful Chinese/English translation capabilities. With our NMT and OCR technologies, users can simply scan the words and the screen will instantly display the translations and definitions of the words without connecting to the internet. We launched </w:t>
      </w:r>
      <w:r>
        <w:rPr>
          <w:rFonts w:ascii="Times New Roman" w:cs="Times New Roman" w:eastAsia="Times New Roman" w:hAnsi="Times New Roman"/>
          <w:sz w:val="18"/>
          <w:szCs w:val="18"/>
          <w:i w:val="1"/>
          <w:iCs w:val="1"/>
          <w:color w:val="auto"/>
        </w:rPr>
        <w:t>Youdao Dictionary Pen X6 Pro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Youdao Dictionary Pen S6</w:t>
      </w:r>
      <w:r>
        <w:rPr>
          <w:rFonts w:ascii="Times New Roman" w:cs="Times New Roman" w:eastAsia="Times New Roman" w:hAnsi="Times New Roman"/>
          <w:sz w:val="18"/>
          <w:szCs w:val="18"/>
          <w:color w:val="auto"/>
        </w:rPr>
        <w:t xml:space="preserve"> in August 2023. </w:t>
      </w:r>
      <w:r>
        <w:rPr>
          <w:rFonts w:ascii="Times New Roman" w:cs="Times New Roman" w:eastAsia="Times New Roman" w:hAnsi="Times New Roman"/>
          <w:sz w:val="18"/>
          <w:szCs w:val="18"/>
          <w:i w:val="1"/>
          <w:iCs w:val="1"/>
          <w:color w:val="auto"/>
        </w:rPr>
        <w:t>Youdao Dictionary Pen X6 Pro</w:t>
      </w:r>
      <w:r>
        <w:rPr>
          <w:rFonts w:ascii="Times New Roman" w:cs="Times New Roman" w:eastAsia="Times New Roman" w:hAnsi="Times New Roman"/>
          <w:sz w:val="18"/>
          <w:szCs w:val="18"/>
          <w:color w:val="auto"/>
        </w:rPr>
        <w:t xml:space="preserve">, Youdao’s flagship product, is equipped with an AI grammar instruction application and digital human language coach, </w:t>
      </w:r>
      <w:r>
        <w:rPr>
          <w:rFonts w:ascii="Times New Roman" w:cs="Times New Roman" w:eastAsia="Times New Roman" w:hAnsi="Times New Roman"/>
          <w:sz w:val="18"/>
          <w:szCs w:val="18"/>
          <w:i w:val="1"/>
          <w:iCs w:val="1"/>
          <w:color w:val="auto"/>
        </w:rPr>
        <w:t>Hi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Echo</w:t>
      </w:r>
      <w:r>
        <w:rPr>
          <w:rFonts w:ascii="Times New Roman" w:cs="Times New Roman" w:eastAsia="Times New Roman" w:hAnsi="Times New Roman"/>
          <w:sz w:val="18"/>
          <w:szCs w:val="18"/>
          <w:color w:val="auto"/>
        </w:rPr>
        <w:t>, powered by our</w:t>
      </w:r>
      <w:r>
        <w:rPr>
          <w:rFonts w:ascii="Times New Roman" w:cs="Times New Roman" w:eastAsia="Times New Roman" w:hAnsi="Times New Roman"/>
          <w:sz w:val="18"/>
          <w:szCs w:val="18"/>
          <w:i w:val="1"/>
          <w:iCs w:val="1"/>
          <w:color w:val="auto"/>
        </w:rPr>
        <w:t xml:space="preserve"> Confucius </w:t>
      </w:r>
      <w:r>
        <w:rPr>
          <w:rFonts w:ascii="Times New Roman" w:cs="Times New Roman" w:eastAsia="Times New Roman" w:hAnsi="Times New Roman"/>
          <w:sz w:val="18"/>
          <w:szCs w:val="18"/>
          <w:color w:val="auto"/>
        </w:rPr>
        <w:t>LLM. We launched</w:t>
      </w:r>
      <w:r>
        <w:rPr>
          <w:rFonts w:ascii="Times New Roman" w:cs="Times New Roman" w:eastAsia="Times New Roman" w:hAnsi="Times New Roman"/>
          <w:sz w:val="18"/>
          <w:szCs w:val="18"/>
          <w:i w:val="1"/>
          <w:iCs w:val="1"/>
          <w:color w:val="auto"/>
        </w:rPr>
        <w:t xml:space="preserve"> Youdao Dictionary Pen X7 </w:t>
      </w:r>
      <w:r>
        <w:rPr>
          <w:rFonts w:ascii="Times New Roman" w:cs="Times New Roman" w:eastAsia="Times New Roman" w:hAnsi="Times New Roman"/>
          <w:sz w:val="18"/>
          <w:szCs w:val="18"/>
          <w:color w:val="auto"/>
        </w:rPr>
        <w:t xml:space="preserve">in July 2024, featuring our proprietary AI-powered applications,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 In addition, we launched </w:t>
      </w:r>
      <w:r>
        <w:rPr>
          <w:rFonts w:ascii="Times New Roman" w:cs="Times New Roman" w:eastAsia="Times New Roman" w:hAnsi="Times New Roman"/>
          <w:sz w:val="18"/>
          <w:szCs w:val="18"/>
          <w:i w:val="1"/>
          <w:iCs w:val="1"/>
          <w:color w:val="auto"/>
        </w:rPr>
        <w:t>Youdao Dictionary Pen A7 Pro</w:t>
      </w:r>
      <w:r>
        <w:rPr>
          <w:rFonts w:ascii="Times New Roman" w:cs="Times New Roman" w:eastAsia="Times New Roman" w:hAnsi="Times New Roman"/>
          <w:sz w:val="18"/>
          <w:szCs w:val="18"/>
          <w:color w:val="auto"/>
        </w:rPr>
        <w:t xml:space="preserve"> in January 2025, which enables instant scanning and translation, and </w:t>
      </w:r>
      <w:r>
        <w:rPr>
          <w:rFonts w:ascii="Times New Roman" w:cs="Times New Roman" w:eastAsia="Times New Roman" w:hAnsi="Times New Roman"/>
          <w:sz w:val="18"/>
          <w:szCs w:val="18"/>
          <w:i w:val="1"/>
          <w:iCs w:val="1"/>
          <w:color w:val="auto"/>
        </w:rPr>
        <w:t>Youdao SpaceOne</w:t>
      </w:r>
      <w:r>
        <w:rPr>
          <w:rFonts w:ascii="Times New Roman" w:cs="Times New Roman" w:eastAsia="Times New Roman" w:hAnsi="Times New Roman"/>
          <w:sz w:val="18"/>
          <w:szCs w:val="18"/>
          <w:color w:val="auto"/>
        </w:rPr>
        <w:t>, a brand-new dictionary pen equipped with the DeepSeek reasoning model, delivering in-depth analytical reasoning capabilities and providing clear guidance for complex problem-solving scenarios.</w:t>
      </w:r>
    </w:p>
    <w:p>
      <w:pPr>
        <w:spacing w:after="0" w:line="18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Youdao Listening Pod. </w:t>
      </w:r>
      <w:r>
        <w:rPr>
          <w:rFonts w:ascii="Times New Roman" w:cs="Times New Roman" w:eastAsia="Times New Roman" w:hAnsi="Times New Roman"/>
          <w:sz w:val="18"/>
          <w:szCs w:val="18"/>
          <w:color w:val="auto"/>
        </w:rPr>
        <w:t>Building on our AI-adaptive learning technology, in September 2021 we launched</w:t>
      </w:r>
      <w:r>
        <w:rPr>
          <w:rFonts w:ascii="Times New Roman" w:cs="Times New Roman" w:eastAsia="Times New Roman" w:hAnsi="Times New Roman"/>
          <w:sz w:val="18"/>
          <w:szCs w:val="18"/>
          <w:i w:val="1"/>
          <w:iCs w:val="1"/>
          <w:color w:val="auto"/>
        </w:rPr>
        <w:t xml:space="preserve"> Youdao Listening Pod</w:t>
      </w:r>
      <w:r>
        <w:rPr>
          <w:rFonts w:ascii="Times New Roman" w:cs="Times New Roman" w:eastAsia="Times New Roman" w:hAnsi="Times New Roman"/>
          <w:sz w:val="18"/>
          <w:szCs w:val="18"/>
          <w:color w:val="auto"/>
        </w:rPr>
        <w:t>, a portable learning device that is designed to deliver an immersive English learning experience to users, and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them with differentiated, interactive listening and speaking practices. With </w:t>
      </w:r>
      <w:r>
        <w:rPr>
          <w:rFonts w:ascii="Times New Roman" w:cs="Times New Roman" w:eastAsia="Times New Roman" w:hAnsi="Times New Roman"/>
          <w:sz w:val="18"/>
          <w:szCs w:val="18"/>
          <w:i w:val="1"/>
          <w:iCs w:val="1"/>
          <w:color w:val="auto"/>
        </w:rPr>
        <w:t>Youdao Listening Pod</w:t>
      </w:r>
      <w:r>
        <w:rPr>
          <w:rFonts w:ascii="Times New Roman" w:cs="Times New Roman" w:eastAsia="Times New Roman" w:hAnsi="Times New Roman"/>
          <w:sz w:val="18"/>
          <w:szCs w:val="18"/>
          <w:color w:val="auto"/>
        </w:rPr>
        <w:t xml:space="preserve">, users can study natural pronunciation by listening and reading over 30,000 recording clips of training content, interact and communicate live with AI-powered chat bots and practice on mock questions to score their English listening and speaking capabilities. In August 2023, we launched </w:t>
      </w:r>
      <w:r>
        <w:rPr>
          <w:rFonts w:ascii="Times New Roman" w:cs="Times New Roman" w:eastAsia="Times New Roman" w:hAnsi="Times New Roman"/>
          <w:sz w:val="18"/>
          <w:szCs w:val="18"/>
          <w:i w:val="1"/>
          <w:iCs w:val="1"/>
          <w:color w:val="auto"/>
        </w:rPr>
        <w:t>Youdao Listening Pod Pro</w:t>
      </w:r>
      <w:r>
        <w:rPr>
          <w:rFonts w:ascii="Times New Roman" w:cs="Times New Roman" w:eastAsia="Times New Roman" w:hAnsi="Times New Roman"/>
          <w:sz w:val="18"/>
          <w:szCs w:val="18"/>
          <w:color w:val="auto"/>
        </w:rPr>
        <w:t xml:space="preserve">, which features improved hardware functionality, such as an enhanced CPU and microphones. Our </w:t>
      </w:r>
      <w:r>
        <w:rPr>
          <w:rFonts w:ascii="Times New Roman" w:cs="Times New Roman" w:eastAsia="Times New Roman" w:hAnsi="Times New Roman"/>
          <w:sz w:val="18"/>
          <w:szCs w:val="18"/>
          <w:i w:val="1"/>
          <w:iCs w:val="1"/>
          <w:color w:val="auto"/>
        </w:rPr>
        <w:t>Youdao Listing Pod Pro</w:t>
      </w:r>
      <w:r>
        <w:rPr>
          <w:rFonts w:ascii="Times New Roman" w:cs="Times New Roman" w:eastAsia="Times New Roman" w:hAnsi="Times New Roman"/>
          <w:sz w:val="18"/>
          <w:szCs w:val="18"/>
          <w:color w:val="auto"/>
        </w:rPr>
        <w:t xml:space="preserve"> customizes English listening content to cater to learners’ specific needs at various stages, leveraging our AI dialogue functions powered by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LLM. In 2024, we launched </w:t>
      </w:r>
      <w:r>
        <w:rPr>
          <w:rFonts w:ascii="Times New Roman" w:cs="Times New Roman" w:eastAsia="Times New Roman" w:hAnsi="Times New Roman"/>
          <w:sz w:val="18"/>
          <w:szCs w:val="18"/>
          <w:i w:val="1"/>
          <w:iCs w:val="1"/>
          <w:color w:val="auto"/>
        </w:rPr>
        <w:t>Youdao Listening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E6 Pro</w:t>
      </w:r>
      <w:r>
        <w:rPr>
          <w:rFonts w:ascii="Times New Roman" w:cs="Times New Roman" w:eastAsia="Times New Roman" w:hAnsi="Times New Roman"/>
          <w:sz w:val="18"/>
          <w:szCs w:val="18"/>
          <w:color w:val="auto"/>
        </w:rPr>
        <w:t>, which incorporates</w:t>
      </w:r>
      <w:r>
        <w:rPr>
          <w:rFonts w:ascii="Times New Roman" w:cs="Times New Roman" w:eastAsia="Times New Roman" w:hAnsi="Times New Roman"/>
          <w:sz w:val="18"/>
          <w:szCs w:val="18"/>
          <w:i w:val="1"/>
          <w:iCs w:val="1"/>
          <w:color w:val="auto"/>
        </w:rPr>
        <w:t xml:space="preserve"> Hi Echo </w:t>
      </w:r>
      <w:r>
        <w:rPr>
          <w:rFonts w:ascii="Times New Roman" w:cs="Times New Roman" w:eastAsia="Times New Roman" w:hAnsi="Times New Roman"/>
          <w:sz w:val="18"/>
          <w:szCs w:val="18"/>
          <w:color w:val="auto"/>
        </w:rPr>
        <w:t>to optimize the user experience.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Technology-driven Learning Experience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integrate technologies into every major aspect of the learning and teaching process to ensure a superb learning experience across Youdao’s products and services. Over the years, we have built proprietary OCR, NMT, language data mining, voice recognition technologies, data analytics and LLM that serve as the foundation to our products and services. Such technologies are iteratively refined based on the vast data generated by our users.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Music Platform – NetEase Cloud Music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NetEase Cloud Music’s Products and Services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founded NetEase Cloud Music in 2013 and launched the iconic cornerstone product,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in the same year. NetEase Cloud Music experienced rapid growth since its founding and completed its public listing on the Hong Kong Stock Exchange in December 2021.</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Over the years, NetEase Cloud Music has built a large-scale, robust and rapidly growing business to provide community-centric online music services and social entertainment services to users. Leveraging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and ancillary, social entertainment products, it empowers music enthusiasts with a wide variety of technology-driven tools to discover, enjoy, share and create diverse music and music-inspired content and to interact with each other.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NetEase Cloud Music generates the majority of the revenue from its music platform through the sales of membership subscriptions for its online music services and sales of virtual items for its social entertainment services. To diversify its revenue streams, NetEase Cloud Music has also been actively developing other monetization channels, such as the provision of advertising services, sales of digital albums and songs, copyright sublicensing and music-inspired services.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Online Music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NetEase Cloud Music provides a number of membership subscription packages for users to enjoy high-quality streaming access to our catalogue of music tracks (including both licensed music and in-house original music) and long-form audio content such as podcasts, audio books and radio dramas, and provide users with services that allow them to purchase access to certain new digital music albums and singles. In addition, NetEase Cloud Music offers advertising services for both brand advertisers and performance-based advertisers and sublicense certain of its licensed music content to other parties, including other online music platforms. NetEase Cloud Music has put ongoing efforts into elevating users’ experience in terms of personalized content recommendations, and creating a music centric community to encourage user interactions.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Social Entertainment Services and Others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size and engagement level of its online music services’ user base continues to grow, NetEase Cloud Music also provides music-inspired social entertainment services, which include its live streaming services and social networking platforms. NetEase Cloud Music generates revenue from sales of virtual items. Users can purchase virtual items to gift to live streaming performers as a way to show support and appreciation for their performance or send the virtual items to other users on the social networking platforms for better interaction and social networking experience. NetEase Cloud Music also generates revenue from providing membership and value-added services on its social networking platforms. Other revenue sources primarily include movie soundtrack production and ticketing services for offline music events.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Technological-driven Music Experience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NetEase Cloud Music needs to ensure that it can deliver a satisfying music experience consistently at scale by continuously innovating and improving its platform and investing in R&amp;D. Our advanced data analytics and other capabilities lay the foundation for the platform’s personalized content recommendations, assisted content creation, interactive social functions and other powerful features that optimize the user experience and realize the unique value of our diverse content. For example, our NetEase Music Audio Lab developed an audio melody extraction solution that broke three world records at the Music Information Retrieval Evaluation eXchange, or MIREX, in 2020. In addition, with its strong music recognition ability, the lab’s “robust fingerprinting algorithm” achieved the second-best performance in the task of “audio fingerprinting” since MIREX launched this competition in 2014, representing a significant improvement in recognition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Innovative Business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derive our innovative businesses and others revenues primarily from Yanxuan, advertising services, premium e-mail and other value-added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Yanxuan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Yanxuan, our private label consumer lifestyle brand, was established in 2016. Starting with the development of a well-designed towel, Yanxuan has always focused on optimizing the user experience of its products and improving the lives of consumers in China through simple, practical, comfortable and elegant designs. Over the past years, Yanxuan has gradually evolved into a lifestyle brand favored by younger generations from all walks of life.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Yanxuan offers products in a wide range of categories, including home life, clothing, shoes, bags, gourmet food, drinks, pet food and supplies, personal care and cleaning products, among other things. Yanxuan pursues the brand concept of “thoughtfully curated products for mindful moments,” which is an extension of NetEase’s overall “user-first” attitude towards its services and products. Yanxuan continuously evaluates the needs and wants of its users and searches around the world to identify and cooperate with the best suppliers available. By better understanding customers’ needs and participating in the production process, Yanxuan can provide customers with competitive prices, excellent quality and quality customer service.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Innovative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also offer a wide range of other innovative services, including our (i) www.163.com portal and related mobile app, </w:t>
      </w:r>
      <w:r>
        <w:rPr>
          <w:rFonts w:ascii="Times New Roman" w:cs="Times New Roman" w:eastAsia="Times New Roman" w:hAnsi="Times New Roman"/>
          <w:sz w:val="18"/>
          <w:szCs w:val="18"/>
          <w:i w:val="1"/>
          <w:iCs w:val="1"/>
          <w:color w:val="auto"/>
        </w:rPr>
        <w:t>Wangyi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Xinwen</w:t>
      </w:r>
      <w:r>
        <w:rPr>
          <w:rFonts w:ascii="Times New Roman" w:cs="Times New Roman" w:eastAsia="Times New Roman" w:hAnsi="Times New Roman"/>
          <w:sz w:val="18"/>
          <w:szCs w:val="18"/>
          <w:color w:val="auto"/>
        </w:rPr>
        <w:t>, which deliver quality information such as news, sports events, technology, fashion trends and online entertainment to our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generate revenues mainly from online advertising services, (ii) NetEase Pay, an online payment platform, (iii) NetEase Mail, China’s leading email service provider since 1997, through which we provide free and fee-based email services, and (iv) certain other services, such as customized B-to-B technology services and e-reading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 AND IT INFRASTRUCTURE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one of the inaugural classes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core proprietary technologies, we deliver engaging content and services that are highly individualized and personalized across our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Machine Learning and Other Advanced Technologies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machine learning and other advanced technologies enable us to effectively process data generated from across our services and products, optimize recommendations, personalize offerings and predict user behavior. Our key capabilities include:</w:t>
      </w:r>
    </w:p>
    <w:p>
      <w:pPr>
        <w:spacing w:after="0" w:line="160" w:lineRule="exact"/>
        <w:rPr>
          <w:sz w:val="20"/>
          <w:szCs w:val="20"/>
          <w:color w:val="auto"/>
        </w:rPr>
      </w:pPr>
    </w:p>
    <w:p>
      <w:pPr>
        <w:jc w:val="both"/>
        <w:ind w:left="1000" w:hanging="317"/>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technologies focusing on user experience</w:t>
      </w:r>
      <w:r>
        <w:rPr>
          <w:rFonts w:ascii="Times New Roman" w:cs="Times New Roman" w:eastAsia="Times New Roman" w:hAnsi="Times New Roman"/>
          <w:sz w:val="18"/>
          <w:szCs w:val="18"/>
          <w:color w:val="auto"/>
        </w:rPr>
        <w:t>: We have developed advanced technologies such as natural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automatic speech recognition (ASR) and text-to-speech (TTS) technologies that enable us to deliver an enjoyable and effective user experience.</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Machine learning-powered applications, such as content recommendation and customization</w:t>
      </w:r>
      <w:r>
        <w:rPr>
          <w:rFonts w:ascii="Times New Roman" w:cs="Times New Roman" w:eastAsia="Times New Roman" w:hAnsi="Times New Roman"/>
          <w:sz w:val="18"/>
          <w:szCs w:val="18"/>
          <w:color w:val="auto"/>
        </w:rPr>
        <w:t>: We have developed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adapt machine learning and related technologies in content recommendation and customization, which enables us to achieve greater user engagement and stickiness.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the respective affiliates of China Telecom, China Unicom and China Mobile, as well as our self-built Gui’an Data Center. We also utilize certain cloud-based servers maintained by third parties such as Google Cloud Platform.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developed our own systems to facilitate sales planning, targeting, trafficking, inventory management and reporting tools, such as advertisement tracking systems for our advertising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networking, video and live streaming platforms, TV, movie and stage production companies as well as book and comic publishers to extend our brand to a broader potential user group.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Games and Related Value-added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and related value-added services in collaboration with online and offline third-party promoters.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Youdao</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Youdao generates user traffic and leads primarily from online platforms.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networking platforms, as well as through optimization techniques designed to improve its ranking in popular search engines’ results. Youdao also engages in offline marketing and branding to supplement its overall sales and marketing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NetEase Cloud Music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NetEase Cloud Music primarily relies on word-of-mouth referrals and benefits from its high-quality music content, social networking functions and strong brands to attract users to its platforms. Besides word-of-mouth, NetEase Cloud Music engages in various marketing and promotional initiatives to promote its brand and increase its user base, including, for example, by partnering with key opinion leaders, holding various marketing campaigns and implementing new technologies and introduce new features to improve user experience.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Innovative Businesses and Others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innovative businesses and other online services, content and services are generally provided through mobile applications or their respective websites. Users purchase our services either at a pre-determined package rate or on an item-based basis. We attract users through a variety of channels, such as our online and offline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5.A. “Operating and Financial Review and Prospects—Operating Results—Key Components of Results of Operations —Revenues—Seasonality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U.S., the EU, the Republic of Korea, Japan, the United Kingdom, Thailand and other jurisdictions.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music platform, hardware products, cloud technology, augmented reality technology, audio/video technology, computer technology and e-mail from the National Intellectual Property Administration of China, as well as Certificates of Utility Patent and Certificates of Design Patent in the United States, Europe and Japan.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Moreover, Youdao owns the intellectual property relating to in-house developed content used on its platform and the registrations of the core trademarks “Youdao.” NetEase Cloud Music owns the intellectual properties relating to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and the registrations of the core trademarks “NetEase Cloud Music.” We also own the intellectual property (other than the content) relating to the NetEase websites and other online and mobile platforms, and the technology that enables online community, personalization, online games, news sharing, instant messaging, video streaming, e-commerce and other services on those platforms. We license content from various freelance providers and other content providers.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we actively take steps to protect our proprietary rights, such steps may not be adequate to prevent the infringement or misappropriation of our intellectual property. See Item 3.D. “Key Information—Risk Factors—Risks Related to Doing Business in China —We may not be able to adequately protect our intellectual property and may be exposed to infringement claims by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competition primarily comes from global online game developers and operators, such as Tencent, established online and offline education service and/or product providers in China, as well as leading digital content and entertainment providers. Some of our current and potential competitors are larger than we are, and currently offer, and could further develop or acquire, content and services that compete with us. The areas in which we compete primarily include:</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User traffic, time and spending</w:t>
      </w:r>
      <w:r>
        <w:rPr>
          <w:rFonts w:ascii="Times New Roman" w:cs="Times New Roman" w:eastAsia="Times New Roman" w:hAnsi="Times New Roman"/>
          <w:sz w:val="18"/>
          <w:szCs w:val="18"/>
          <w:color w:val="auto"/>
        </w:rPr>
        <w:t>. We compete to attract, engage and retain users based on the design, quality, popularity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our content offerings, the overall user experience of our products and services, as well as the effectiveness of our marketing activities.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Talent</w:t>
      </w:r>
      <w:r>
        <w:rPr>
          <w:rFonts w:ascii="Times New Roman" w:cs="Times New Roman" w:eastAsia="Times New Roman" w:hAnsi="Times New Roman"/>
          <w:sz w:val="18"/>
          <w:szCs w:val="18"/>
          <w:color w:val="auto"/>
        </w:rPr>
        <w:t>. We compete for motivated and capable talent, including engineers, game designers, product developers and creative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to build compelling content, tools and functions.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Global collaboration opportunities</w:t>
      </w:r>
      <w:r>
        <w:rPr>
          <w:rFonts w:ascii="Times New Roman" w:cs="Times New Roman" w:eastAsia="Times New Roman" w:hAnsi="Times New Roman"/>
          <w:sz w:val="18"/>
          <w:szCs w:val="18"/>
          <w:color w:val="auto"/>
        </w:rPr>
        <w:t>. We compete to win collaboration relationships with well-known global IP and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based on our level of expertise in systematically developing in-house developed games, delivering a compelling user experience through operational knowhow and customizing established game titles for rapid expansion into overseas markets.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founding, we have been committed to realizing the values of creating corporate social responsibility (CSR), striving to contribute to communities and operating in a sustainable way. We aim to improve people’s lives with digital technologies and make positive contributions to material social issues, such as education inequity, disaster recovery, workplace equality and diversity and green and low-carbon development.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focused on reducing education inequity and have launched several initiatives for that purpose. For example, in 2018, we launched the “One Screen” program, aiming to promote the equitable distribution of educational resources and stimulating balanced development among students from different regions. By the end of 2024, the One Screen program had provided support in the form of donations and teaching resources to over 300 schools across nine provinces and regions in China, benefiting nearly 200,000 teachers and students. In 2024, using remote, collaborative online classroom technology, the One Screen program helped students in many remote areas to achieve breakthroughs in terms of academic performance at the National College Entrance Examination. Last year, the overall university admission rate for students supported by this project was nearly 80%, and most notably, five students were admitted to Tsinghua University or Peking University.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provide swift and impactful aid to victims of nature disasters. In January 2025, we donated RMB8 million worth of emergency supplies to aid local emergency relief efforts in response to a magnitude 6.8 earthquake in the Xizang Autonomous Region.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always adhered to the vision of improving society and have conducted a series of related projects to empower county-level entrepreneurship and innovation. We helped grow the cultural tourism industry in various provinces by fusing their local cultures and commodities with new digital technologies. With Yanxuan, our e-commerce platform, we have assisted local artisans and farmers to sell their products to customers that they had never reached before. We also helped farmers and small to medium-sized enterprises in rural areas to establish their brands or upgrade their existing brands in an effort to revitalize the rural China. Moreover, the players in our games have contributed to advance the vision of social improvement. For example, in collaboration with Xinhuanet and China Social Welfare Foundation, our game </w:t>
      </w:r>
      <w:r>
        <w:rPr>
          <w:rFonts w:ascii="Times New Roman" w:cs="Times New Roman" w:eastAsia="Times New Roman" w:hAnsi="Times New Roman"/>
          <w:sz w:val="18"/>
          <w:szCs w:val="18"/>
          <w:i w:val="1"/>
          <w:iCs w:val="1"/>
          <w:color w:val="auto"/>
        </w:rPr>
        <w:t>Eggy Party</w:t>
      </w:r>
      <w:r>
        <w:rPr>
          <w:rFonts w:ascii="Times New Roman" w:cs="Times New Roman" w:eastAsia="Times New Roman" w:hAnsi="Times New Roman"/>
          <w:sz w:val="18"/>
          <w:szCs w:val="18"/>
          <w:color w:val="auto"/>
        </w:rPr>
        <w:t xml:space="preserve"> initiated a charity project in 2024 focusing on youth health development. All proceeds from this project were converted into over 28,000 free lunches donated to children living in rural areas.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adhere to our commitment to equality and diversity in our recruitment and career development policies. Our games division was honored with the 2023-2024 ATD Excellence in Practice Award for its long-term efforts in talent training and development, becoming the only Chinese Internet enterprise to win an award in the competition. We were also named as a member of 2023 Bloomberg Gender-Equality Index, which comprises 484 companies that are committed to gender equality in the workplace. We understand the importance and value in having a diversified workforce and currently recruit talent from various backgrounds and cultures. We have built a multidimensional talent training and development system to help employees succeed in their areas of expertise and achieve career advancement. Due to our efforts in promoting sustainable growth and employee well-being, we were listed in Forbes World’s Best Employers for 2024 and TIME World’s Best Companies 2024.</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Given that the majority of our operations are conducted online, our impact on the environment is limited. We deployed carbon mitigation measures to reduce our carbon footprint and will continue to explore ways to further improve energy efficiency. For example, we implemented energy monitoring measures at our self-built Gui’an Data Center and adopted various energy-saving solutions in its operation. We choose partners with a strong commitment to carbon emission reduction in our collaboration with third-party cloud servers. Moreover, we spread green and environment-friendly concepts to the public through innovative methods. In 2024, we organized an Environmental Day focused on Carbon Neutrality at our Beijing campus, encouraging participants to explore sustainable and eco-friendly lifestyles through interactive games, hands-on activities, and upcycling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INTERNAL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and implemented comprehensive risk management policies in various aspects of our business operations, such as financial reporting, information system, internal control, human resources and investment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 Risk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 maintenance, storage and protection of confidential information, including personal and sensitive information, is critical to our business. We have implemented various internal procedures and controls designed to maintain the confidentiality and integrity of our IT systems and confidential information, and we monitor these processes to help identify opportunities for improvement.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Data protection is a priority at NetEase. We have also obtained ISO 27001 and ISO 27701:2019 certifications and filing certificates of the multi-level protection scheme, or MLPS, in China for some of our entities and products.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network technical security measures include use of firewalls, network segmentation, network access controls and intrusion prevention systems. We also employ application security and software protection measures to protect our IT systems and the confidential information that resides in it. Additionally, we encrypt user data during network transmission and, for back-end storage, we also use various encryption technologies at the software and hardware levels to protect sensitive user data. At the enterprise level, we established a systematic and universal user account authorization and management mechanism based on which we periodically review the status of user accounts and the related authorization information. We periodically perform security configuration assessments on our databases and servers and implement procedures for system log management. Processing of and access to user data is also subject to strict assessment and approval procedures in order to safeguard against unauthorized access and processing.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reduce the risk of data loss, we conduct periodic data backup and data recovery tests and back-up management procedures. We tailor our approach by deploying different back-up mechanisms, including local back-ups and remote back-ups, depending on the needs of our business. This helps reduce the risk of user data loss. We have also established protocols to enable us to review and improve the design, implementation and ongoing monitoring of remote back-up systems. In addition, we have implemented an emergency response mechanism to evaluate critical risks, formulate disaster response plans and perform emergency drills on a regular basis to help ensure the resiliency and availability of our systems and services.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a governance perspective, our information security policy is reviewed periodically. Each of our business units is responsible for ensuring compliance with the policy. We also provide information security training to our employees on an ongoing basis to help all employees remain aware of their role in maintaining a secure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Risk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designed and adopted internal procedures to help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the NetEase group.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continually review the implementation of our risk management policies and measures to ensure our policies and implementation are effective and sufficient.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Risk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regular and specialized training tailored to: (a) the needs of our employees in different departments and/or jurisdictions, and (b) our policies and procedures on business ethics and compliance. These training sessions are conducted by senior employees or qualified outside consultants.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place employee handbooks and have distributed them to all our employees. The handbooks are tailored to the legal requirements of the relevant jurisdictions, but all contain rules and guidelines regarding, among other things, business ethics and compliance, anti-harassment, fraud prevention, anti-bribery and anti-corruption, conflicts of interest, and channels to report concerns. We provide employees with regular training as well as resources to explain the rules and guidelines in the employee handbooks.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 place policies and procedures on anti-bribery and anti-corruption to safeguard against corrupt practices within the NetEase group. These materials clearly define bribery and corruption and outline our anti-bribery and anti-corruption measures. We make our internal reporting channels open and available for anyone to report any actual or suspected misconduct. Reports can also be made anonymously to our Ethics &amp; Compliance Committee which is responsible for investigating reported incidents and taking appropriate remedial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 Management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invest in or acquire businesses that are complementary to our business from time to time, such as businesses that can expand the services we offer and strengthen our R&amp;D capabilities.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protect our interests as shareholders and control the potential risks associated with our investments, we generally request our investee companies to grant us customary investor protective rights.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finance department monitors the deal performance on a regular basis. Our finance and legal departments cooperate with our deal execution teams on deal analysis, communication, execution, risk control and reporting. Any material factors will be timely reported to the senior management or board of directors for further evaluation.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Experience and Qualification and Board Oversight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to monitor the implementation of our risk management policies across the NetEase group on an ongoing basis to ensure that our internal control system is effective in identifying, managing and mitigating risks involved in our business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consists of three members, namely Grace Tang, Alice Cheng and Joseph Tong, all of whom are independent non-executive directors. Grace Tang is the chairperson of the audit committee. For the professional qualifications and experiences of the members of our audit committee, see “Item 6.A. Directors and Senior Management.”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maintain internal control and internal audit departments which are responsible for reviewing the effectiveness of internal controls. Our internal control and internal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Measures to Monitor the Implementation of Risk Management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internal audit department and senior management together monitor the implementation of our risk management policies on an ongoing basis to ensure our policies and implementation are effective and sufficient.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maintain insurance policies for our international operations outside of China as required by our leases and contracts and in accordance with the commercial practices in our industry. These policies generally include, but are not limited to, general liability, property, non-owned and hired auto liability and excess liability insurance coverages.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do not maintain any business interruption insurance, product liability insurance, key person life insurance, or insurance policies covering damages to our network infrastructures or IT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with the VIEs. In 2024, we did not make any material insurance claims in relation to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OFFERINGS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our China mainland subsidiaries and the VIEs have obtained the requisite licenses and permits from the PRC government authorities that are necessary for their material business operations in China, except for our Online Publishing Service License which we are in the process of renewing as disclosed in Item 3.D. “Key Information—Risk Factors—Risks Related to Our Business And Industry—Risks Related to Our Games and Related Value-added Services—Any difficulties in receiving approval from the relevant government authorities for our new games or new expansion packs for, or material changes to, our existing games could adversely affect such games’ popularity and profitability,” Such licenses and permits include, among other things, Value-added Telecommunications Business Operating License, Online Publishing Service License, Internet Audiovisual Program Services License, Internet Cultural Business License, and Commercial Performance License. If we or any of the VIEs is found to be in violation of any existing or future PRC laws or regulations or fail to obtain or maintain any of the required permits or approvals, the relevant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For more detailed information, see Item 3.D. “Key Information—Risk Factors—Risks Related to Doing Business in China.”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prior overseas offerings and listing status, as of the date of the filing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we are not required to obtain any permission from or complete any filing with CSRC or go through a cybersecurity review by the CAC to maintain our listing status, based on their consultation with competent government authorities.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Filing Rules, which took effect on March 31, 2023. According to the Filing Rules, domestic companies in China mainland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Filing Rules. Therefore, we will be required to file with the CSRC for our overseas offering of equity and equity linked securities in the future within the applicable scope of the Filing Rules. For more detailed information, see Item 3.D. “Key Information—Risk Factors—Risks Related to Doing Business in China—The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 On October 26, 2022, MOFCOM and the NDRC released the Catalog of Industries for Encouraging Foreign Investment (2022 Version), which became effective on January 1, 2023, to replace the previous Encouraging Catalogue. On September 6, 2024, MOFCOM and the NDRC released the Special Management Measures (Negative List) for the Access of Foreign Investment (2024 Version), which became effective on November 1, 2024, to replace the previous 2021 Negative List. To comply with the above foreign investment restrictions and to obtain necessary licenses and permits in industries that are currently subject to foreign investment restrictions in China, we operate in China through the VIEs. See Item 4.B. “Information on the Company—Business Overview—Our Organizational Structure.” There remain uncertainties with respect to the interpretation and application of existing or future PRC laws and regulations on foreign investment. See Item 3.D. “Key Information— Risk Factors—Risks Related to Our Corporate Structure.”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For further details, please see Item 3.D. “Key Information—Risk Factors—Risks Related to Our Corporate Structure.”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Rules to the Foreign Investment Law, which became effective on January 1, 2020, and repealed the Regulations on Implementing the Sino-Foreign Equity Joint Venture Enterprise Law of the PRC, the Provisional Regulations on the Duration of Sino-Foreign Equity Joint Venture, the Regulations on Implementing the Wholly Foreign Invested Enterprise Law of the PRC, and the Regulations on Implementing the Sino-Foreign Cooperative Joint Venture Enterprise Law of the PRC. The implementation rules further clarified and elaborated on the relevant provisions of the 2019 PRC Foreign Investment Law.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 invested enterprise must submit the investment information to the competent commerce department for further handling.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Telecommunication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2000, China’s State Council promulgated the Telecommunications Regulations of the PRC, or the Telecom Regulations, which was last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2015, MIIT issued the Telecommunication Services Classification Catalog (2015 Edition). 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or the MIIT Measures 2017, which became effective on September 1, 2017. The MIIT Measures 2017 require companies who are engaged in telecommunications businesses to have a Telecom Business License.</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December 2001, in order to comply with China’s commitments with respect to its entry into the WTO, the State Council promulgated the Regulation for the Administration of Foreign-Invested Telecommunications Enterprises, or the FITE Regulations, which was last revised in March 2022 and came into effect on May 1, 2022.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Information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Measures for the Administration of Internet Information Services, or the ICP Measures, issued by the State Council went into effect on September 25, 2000 and was last revised on December 6, 2024. Under the ICP Measures, any entity that provides information to internet users must obtain an operating license from the MII, or its local branch at the provincial level in accordance with the Regulations on Telecommunication Services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On June 1, 2017, the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 On March 12, 2022, the NDRC and the MOFCOM jointly issued the Negative List for Market Access (2022 Edition), pursuant to which market entities are prohibited from illegally conducting news media related businesses. To be specific, non-public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w:t>
      </w:r>
    </w:p>
    <w:p>
      <w:pPr>
        <w:spacing w:after="0" w:line="10" w:lineRule="exact"/>
        <w:rPr>
          <w:sz w:val="20"/>
          <w:szCs w:val="20"/>
          <w:color w:val="auto"/>
        </w:rPr>
      </w:pPr>
    </w:p>
    <w:p>
      <w:pPr>
        <w:jc w:val="both"/>
        <w:ind w:firstLine="8"/>
        <w:spacing w:after="0" w:line="253"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forum, summit or award selection activities in the field of news and public opinion. 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Measures for the Administration of Internet E-mail Services, or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SARFT and MII jointly issued the Regulations for the Administration of Internet Audiovisual Program Services, or the Audiovisual Regulations, on December 20, 2007, which was revised on August 28, 2015 by the SAPPRFT. The Audiovisual Regulations require that online audio and video service providers obtain a permit from NRTA in accordance with the Audiovisual Regulations.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18, 2019, the CAC, the MOCT and the NRTA jointly issued the Promulgation of the Administrative Provisions on Online Audio and Video Information Services, or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14 June 2022, the CAC issued a revised version of the Administrative Provisions on Mobile Internet Application Information Services, or the APP Provisions, which emphasizes that mobile internet app providers shall comply with the relevant provisions on the scope of necessary personal information when engaging in personal information processing activities. According to the APP Provisions, mobile internet app providers shall not compel users to agree to non-essential personal information collection out of any reason and are prohibited from banning users from their basic functional services due to the users’ refusal of providing non-essential personal information.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2021, the CAC and other three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within ten business days from the date of providing such services. Pursuant to the Administrative Provisions on Internet Information Service Algorithm Recommendation, algorithmic recommendation service providers are required to provide users with options that are not specific to their personal characteristics, or provide users with convenient options to cancel algorithmic recommendation services and shall not set up algorithm models against applicable laws, regulations and social norms, including without limitation inducing users to indulge or engage in excess consumption.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25, 2022, the CAC, MIIT and Ministry of Public Security jointly issued the Administrative Provisions on Deep Synthesis of Internet Information Services, which took effect on January 10, 2023. Deep synthesis technology refers to any technology utilizing generative and/or synthetic algorithms, such as deep learning and virtual reality, to produce text, images, audio, video, virtual scenes or other online content. Under these provisions, deep synthesis service providers must, among other things, (i) ensure their services do not engage in activities prohibited by applicable laws and regulations; (ii) take responsibility for information security and implement measures to address data security, personal information protection, telecom fraud, emergency response and other technical safeguards; (iii) adopt content moderation rules and use both automated and human review methods to monitor input data and synthesized results for illegal or harmful information; and (iv) implement notice and takedown procedures to deal with the publication of false, illegal or harmful information by deep synthesis users.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10, 2023, the CAC and other relevant authorities promulgated the Interim Measures for the Administration of Generative Artificial Intelligence Services, or the Generative Artificial Intelligence Services Measures, which became effective on August 15, 2023. The Generative Artificial Intelligence Services Measures impose compliance requirements for providers of generative artificial intelligence services to the general public within the territory of PRC. The Generative Artificial Intelligence Services Measures provide, among other things, that the provider of generative AI services of text, image, audio or video to the general public shall, (i) assume the responsibilities as the producers of the network information contents in accordance with the law and fulfill its obligation of network information security, (ii) if personal information is involved, assume its responsibility as a personal information handler in accordance with the law and fulfill its obligation of protecting personal information, and (iii) in case of providing generative AI services with attribute of public opinions or capable of social mobilization, conduct security assessments in accordance with the relevant regulations and complete certain filings in accordance with the Administrative Provisions on Internet Information Service Algorithm Recommendation. On February 29, 2024, the National Technical Committee 260 on Cybersecurity of Standardization Administration of China promulgated the Basic Security Requirements for Generative Artificial Intelligence Service as a supporting document for the Generative Artificial Intelligence Services Measures to provide specific guidelines and assessment requirements for security of generative AI services.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7, 2023, the MST and other relevant authorities promulgated the Measures for Ethical Review of Science and Technology (for Trial Implementation), or the Ethical Review Measures, which came into effect on December 1, 2023, according to which, any universities, scientific research institutions, medical and health institutions, and enterprises engaged in “ethically sensitive” science and technology activities in certain areas, including AI, must establish a science and technology ethical review committee. The Appendix of the Ethical Review Measures set out a special list of science and technology activities that shall be subject to (i) the preliminary review by the ethical review committee; and (ii) the additional expert review by the local or relevant industry-competent department. Science and technology activities that fall under such special list include, among other things, the R&amp;D of algorithm models, applications and systems with the ability to mobilize public opinions and guide social awareness, and R&amp;D of automated decision-making systems with a high degree of autonomy for scenarios with safety or personal health risks. In addition, the obligor is required to complete certain registration requirements, such as to register (i) its ethical review committee within 30 days after establishment; and (ii) its science and technology activities that require additional expert review within 30 days after clearance of ethical review, in each case on the National Science and Technology Ethics Management Information Registration Platform to be established by the MST.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21, 2023, the MIIT promulgated the Notice of the Ministry of Industry and Information Technology on the Record-filing of Mobile Internet Application (hereinafter referred to as App), which requires that holders of mobile Internet Apps engaged in Internet information services within the Mainland of PRC must fulfill the filing formalities in accordance with the Anti-Telecom and Online Fraud Law of the PRC and the Measures for the Administration of Internet Information Services and such holders shall not engage in the App Internet information service without completion of such filing.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8, 2023, the CAC issued the Regulations on Safety Management of Face Recognition Technology Application (Trial) (Draft for Comments) for public comments, which require the use of face recognition technology to process face information shall obtain the individual’s separate consent or written consent according to law, except where personal consent is not required by laws and administrative regulations. Furthermore, users of face recognition technology who use face recognition technology in public places, or store face information of more than 10,000 people, should file with the competent Internet information department within 30 working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became effective on January 1, 2024. The Regulation on the Protection of Minors in Cyberspace specifies that the State Cyberspace Administration is responsible for the overall leadership and coordination in protecting minors in cyberspace. Moreover, any organization or individual should not perform cyberbullying towards minors. Network product and service providers should establish a sound mechanism for early warning, identification and monitoring, and handling of cyberbullying acts. Besides, more efforts should be made to protect the privacy information of minors. That said, personal information processors should strictly limit the access to minors’ personal information, and conduct personal information compliance audits. Additionally, online games, live streaming and other network service providers should reasonably restrict minors’ network service expenditure according to their age groups, as well as set and optimize rules for preventing minors from cyber addiction.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14, 2025, the CAC released the Measures for Labeling Artificial Intelligence Generated Synthetic Contents, which will take effect on September 1, 2025. These measures require network information service providers to include explicit or implicit labels indicating any AI-generated synthetic content. For example, content considered high risk under the Administrative Provisions on Deep Synthesis of Internet Information Services for causing public confusion or misrecognition—such as smart dialogue, voice synthesis, and face generation services—must feature clear labels, including text prompts, voice alerts, or visual symbols. Additionally, network information service providers must embed implicit labels in the metadata of AI-generated content, which should include details such as content attributes, provider name, content serial number, and other relevant production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Information Security and Censorship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various Laws, ICP operators and internet publishers are prohibited from posting or displaying any content that:</w:t>
      </w:r>
    </w:p>
    <w:p>
      <w:pPr>
        <w:spacing w:after="0" w:line="225" w:lineRule="exact"/>
        <w:rPr>
          <w:sz w:val="20"/>
          <w:szCs w:val="20"/>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set out in China’s Constitution;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state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sabotages China’s religious policy or propagates heretical teachings or feudal superstitions;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propagates obscenity, pornography, gambling, violence, murder or fear or incites the commission of crimes;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content prohibited by laws or administrative regulations.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(“personal information”), is protected and no person shall steal, illegally obtain, sell or illegally provide to others any personal information.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27, 2022, the CAC issued the Internet User Account Information Management Regulations, which took effect on August 1, 2022. The Internet User Account Information Management Regulations stipulates that an internet information service provider shall perform the responsibility of internet user account information management as a service provider, be equipped with professional personnel and technical capabilities corresponding to its service scale, and establish a sound and strictly implement authentic identity information verification, account information verification, information content security, ecological governance, emergency response and personal information protection management systems.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promulgated the Cybersecurity Law, which became effective on June 1, 2017.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 On September 12, 2022, the CAC, issued the Decision on Amending the PRC Cybersecurity Law (Draft for Comments), focusing on the following four aspects: (i) to improve the legal liability system for violating the general provisions on the security of cyber operation; (ii) to amend the legal liability system for the security protection of critical information infrastructure;</w:t>
      </w:r>
    </w:p>
    <w:p>
      <w:pPr>
        <w:spacing w:after="0" w:line="2" w:lineRule="exact"/>
        <w:rPr>
          <w:sz w:val="20"/>
          <w:szCs w:val="20"/>
          <w:color w:val="auto"/>
        </w:rPr>
      </w:pPr>
    </w:p>
    <w:p>
      <w:pPr>
        <w:jc w:val="both"/>
        <w:ind w:firstLine="8"/>
        <w:spacing w:after="0" w:line="255" w:lineRule="auto"/>
        <w:tabs>
          <w:tab w:leader="none" w:pos="3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legal liability system for network information security; and (iv) to amend the legal liability system for the protection of personal information. As of the date of the filing of this annual report, the PRC Cybersecurity Law (Draft for Comments) has not been formally adopted.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which took effect on September 1, 2022. On March 22, 2024, the CAC promulgated the Provisions on Promoting and Regulating Cross-border Data Flows (together with the Security Assessment of Data Cross-border Transfer, the “Data Cross-border Transfer Provisions”), which further clarify the implementation rules of existing systems to facilitate the cross-border flow of data, including, among other things, relaxing the conditions for the cross-border transfer of data and narrowing the scope of security assessment on the cross-border transfer of data. The Data Cross-border Transfer Provisions require that, with certain exceptions, a data processor providing data overseas and falling under any of the following circumstances shall apply for the security assessment of cross-border data transfer by the national cybersecurity authority through its local counterpart: (i) where a critical information infrastructure operator intends to provide personal information or important data overseas; or (ii) where any data processor other than a critical information infrastructure operator intends to provide important data overseas or, as from January 1 of the current year, provide personal information (excluding sensitive personal information) of not less than 1 million individuals or sensitive personal information of not less than 10,000 individuals in aggregate to overseas recipients. Furthermore, the data processor shall conduct a self-assessment on the risk of data cross-border transfer prior to applying for the foregoing security assessment, under which the data processor shall focus on certain factors including, among other things,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On March 22, 2024, the CAC issued the Guidelines for Declaring Data Cross-border Security Assessment (Second Edition), which became effective on the same date and further clarifies the scope of application, declaration methods and processes of data cross-border security assessment.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8, 2022, the MIIT promulgated the Measures for Data Security Administration in the Industry and Information Technology Field (Trial Implementation), or the Trial Measures, which took effect on January 1, 2023. In accordance with the Trial Measures, industrial and information technology field data processors must classify data based on the data’s category and the security level, and also classify and identify data based on the industry requirements, business needs, data sources and purposes and other factors, and to make a data classification catalogue.</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Data Security Law was released by the National People’s Congress Standing Committee on June 10, 2021 and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Regulations on Network Data Security Management, or the Data Security Regulations, were issued by the State Council, which took effect on January 1, 2025. The Data 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Moreover, the Data Security Regulations provide certain obligations of the processors of important data, such as conducting risk assessment and reporting to the competent authorities for their network data handling activities on an annual basis.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2021, the CAC, NDRC, MIIT and other ten PRC regulatory authorities jointly issued the Cybersecurity Review Measures, effective on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affects or may affect national security, including that any network platform operators which has personal information of more than one million users and is going to be listed abroad, are subject to cybersecurity review. Since the measures were recently promulgated, there exists uncertainties with respect to their interpretation and implementation.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Critical Information Infrastructure Protection, or the CII Regulations, which came into effect on 1 September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Personal Information Protection Law, or the PIPL, was released by the National People’s Congress Standing Committee on August 20, 2021 and became effective on November 1, 2021. The PIPL stipulates the scope of personal information and the general principles of processing personal information, establishes rules for processing personal information, special rules for processing sensitive personal information and rules for the cross-border transfer of personal information abroad, as well as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Failure to comply with the requirements of the PIPL may result in various legal liabilities including confiscation of unlawful income, a warning, a fine of up to RMB50 million or 5% of annual revenue, and suspension of related business activities, among other things.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expand our operations internationally, we have become subject to privacy and data protection laws of other jurisdictions.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Europe, the GDPR has applied directly in all European Union member states since May 25, 2018. GDPR also has extraterritorial effect, applying to both processing carried out by companies with an establishment in the European Economic Area, or EEA, and to the processing carried out by entities which offer goods or services to individuals located in the EEA or monitor the behavior of individuals located in the EEA. GDPR imposes robust requirements for controllers and processors of personal data. These include requiring a legal basis for processing, limits on the collection and use of personal data (purpose limitation principle), as well as transparency, data minimization and storage limitation obligations. In addition, controllers and processors are required to implement (and be able to evidence) robust technical and organizational measures, such as encryption, to ensure the confidentiality and integrity of personal data. Failure to comply with the principles set out in GDPR can result in substantial fines. The European Data Protection Board, or EDPB, has made clear that fines will be used as a means of deterring non-compliance and both the EDPB and local data protection authorities, such as the Irish Data Protection Commission have been active in bringing enforcement actions.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GDPR also sets out strict requirements pertaining to transfers of personal data outside of the EU. These requirements necessitate careful consideration, and detailed risk assessments, of potential cross border transfers of personal data to ensure compliance with GDPR. In addition to conducting data transfer impact assessments, companies may also need to introduce additional safeguards and put in place contract provisions to ensure that such transfers do not diminish the level of protection data subjects would otherwise have under GDPR.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 various laws of European Union may result in criminal liability and/or significant fines, such as those applicable under the GDPR which can amount up to EUR20,000,000 or up to 4% of the total worldwide annual turnover.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new privacy related regimes are under discussion at both the federal and state level and a number of states have already enacted comprehensive privacy laws and more topic-specific privacy laws. California is widely seen to be leading the way with the CCPA, which went into effect on January 1, 2020 and was amended by the California Privacy Rights Act, which largely became operative on January 1, 2023. The CCPA confer an extensive suite of rights on California residents (including employees and business-to-business contacts), including the right to transparency (e.g. the right to request detailed information about how Personal Information is collected, used, and shared), the right of access to, correction of and/or deletion of their Personal Information, and a right to opt out of the sale or sharing of their Personal Information. The CCPA also introduces clear requirements for businesses to adopt appropriate security measures.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terms of enforcement, the CCPA established a “first-of-its-kind” enforcement agency, the California Privacy Protection Agency, or CPPA, with a broad mandate which includes the ability to take enforcement action, issue new rules and raise awareness among businesses and consumers about their rights and obligations. The CPRA provides for co-enforcement authority for violations between the CCPA and the California Attorney General, as well as a private right of action for certain data breaches that has increased data breach litigation and could increase liability, in light of the potential for statutory damages. To date, there have been three publicly announced enforcement actions by the California Attorney General alleging violations of the CCPA, and both state and federal privacy laws continue to evolve, with state Attorneys General as well as the FTC investigating and enforcing against alleged violations of certain privacy laws (including in the context of minor data).</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California, a number of other states have passed their own comprehensive state privacy laws which are now in effect, with more expected to take effect in the near future. Moreover, various laws restricting or governing the use of websites, online services, and platforms by minors have passed or been proposed at the federal level and in certain states, including laws prohibiting direct advertising to minors (individuals under the age of 18), requiring age verification, limiting the use of minors’ Personal Information and mandating parental consent or providing other parental rights. These additional laws, amendments and interpretations are subject to change (and in certain instances have been challenged in court and/or blocked), which further complicates our compliance efforts and may therefore increase legal risk and compliance costs on us and any third parties on which we rely.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U.S. federal level, legislative proposals such as the executive order issued by President Biden (February 28, 2024) on “Preventing Access to Americans’ Bulk Sensitive Personal Data and United States Government-Related Data by Countries of Concern,” or the Executive Order, pose additional complexity for us and could adversely impact our business. The Executive Order directed the U.S. Department of Justice, in consultation with other government agencies, to issue regulations which, among other things, prohibit or otherwise restrict certain categories of transactions that involve American’s bulk sensitive personal data or U.S. government-related data. On December 27, 2024, the U.S. Department of Justice issued its comprehensive final rule, carrying out the Executive Order by promulgating the generally applicable rules for certain categories of data transactions that pose an unacceptable risk to the national security of the United States. The final rule, and other related developments could have the ability to impact not only our service offerings but our third-party vendor arrangements.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outlined above, the legal and operational complexity and cost and potential regulatory scrutiny that will result from such existing and new laws and regulations, including enacted and proposed regulations that govern AI, could have a material adverse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Games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or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4, 2009, the MOC and MOFCOM jointly issued the Notice on Strengthening Administration on Online Game Virtual Currency, or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Preventing Minors from Indulging in Online Games, which became effective on September 1, 2021. The Notice on Further Preventing Minors from Indulging in Online Games imposes stricter time limits for playing online games by minors and provides that online game operators may only provide online game services to minors on every Friday, Saturday, Sunday or PRC statutory holiday for one hour per day from 8:00 p.m. to 9:00 p.m. In addition, the Notice on Further Preventing Minors from Indulging in Online Games requires that all online games must be connected to the real-name registration and game addiction prevention system of the NPPA, all online game players must register or login in using authentic and valid identity information, and online game operators may not provide game services, in any manner (including in visitor experience mode), to any users who have not registered using their real names. On October 20, 2021, six PRC governmental authorities jointly issued the Notice on Strengthening the Management of Preventing Primary and Middle School Students from Indulging in Online Games, which further stipulates that online game companies shall fulfill the requirements for real-name registration. Real-name registration information submitted by online game users must be verified by the real-name verification system of the NPPA. Online game operators may only provide online game services to primary and middle school students on every Friday, Saturday, Sunday or PRC statutory holiday for one hour per day from 8:00 p.m. to 9:00 p.m.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the approval from GAPP.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to regulate activities related to the online game industry in several respects, including requirements on the establishment and administration of online game publishing and operating entities, publication and operation of online games and protection of minors. The Draft Administrative Measures for Online Games set forth certain obligations of online game publishing and operating entities of protecting minors, including requirements on controlling the period and time of playing online games, addiction prevention and identity verification, etc. Furthermore, it provides for rules on the distribution, trading and trading enterprises of online game coins, as well as rules on the distribution and trading of virtual items for online games, including, among other things, (i) trading of online game coins shall be conducted via real-name digital RMB wallets, (ii) an enterprise shall not provide both the distribution of online game coins and the trading service for online game coins simultaneously, and (iii) online game publishers and operators shall not exchange the virtual props of online games acquired by users into legal tender. As of the date of the filing of this annual report, the Draft Administrative Measures for Online Games have not been formally adopted.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Private Education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Education Law, or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28, 2002, the Standing Committee of the National People’s Congress, promulgated the Law for Promoting Private Education, or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7, 2021, the State Council published the amendment to the Regulations on the Implementation of the Law for Promoting Private Education of the PRC, or the Amended Implementation Rules, which became effective on September 1, 2021. The Amended Implementation Rules stipulate that online education activities using internet technology are encouraged by the regulatory authorities and shall comply with laws and regulations related to internet management. A private school using internet technology shall obtain the private school operating permit, as well as the internet operating permit. It shall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Implementation Rules further stipulates that relevant government authorities shall enhance the supervision on the agreements entered into between non-profit private schools and its related party and shall review such transaction on an annual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Uncertainties exist with respect to the interpretation and application of the existing and future laws governing the online private education industry, as well as how the local government would promulgate implementing rules relating to the specific requirements applicable to online education service providers.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After-school Tutoring and Educational Apps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13, 2018, the MOE, the Ministry of Civil Affairs, the Ministry of Human Resources and Social Security and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the circular,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 On May 6, 2020, the General Office of the MOE promulgated the Notice on the Negative List of Advanced Trainings for Six Compulsory Education Subjects (for Trial Implementation), which, in accordance with the State Council Circular 80, prohibits after-school training institutions from providing advanced trainings that do not follow the formal school curricula to the students in primary school and secondary school, and further defined activities that will be regarded as advanced training in the subjects of Chinese, mathematics, English, physics, chemistry and biology.</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30, 2018, the MOE, SAMR and certain other government authorities issued the Implementation Scheme for Comprehensive Prevention and Control of Myopia in Children and Youth which requires, among other things, that the schools shall (i) shall use electronic products based on the principle of necessity, shall not rely on electronic products for teaching and homework assignment and shall rather assign paper-based homework in principle, and the teaching time using electronic products shall account for, in principle, not more than 30% of the total teaching time, and (ii) shall strictly implement the learning and development guidelines for children aged 3-6, pay attention to the value of life and play for these children and shall not teach them primary-school-level lessons.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20, 2018, the General Office of the MOE, the General Office of the SAMR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investigations on apps used on campus, and shall call off using any apps that contain harmful content such as commercial advertisements and internet games, or that increase the burden on students; and (ii) the filing and reviewing system of learning apps shall be established.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Central Committee of the Communist Party and the State Council jointly issued the Opinions on the Further Reform of Education and Teaching and Comprehensive Improvement on the Compulsory Education Quality, or the Opinions, which became effective on June 23, 2019. The Opinions stipulates, among other things, that: (i) the SAMR and its local counterparts shall be responsible for the registrations and filings of all after-school training institutions and shall supervise and govern their operational behaviors, such as advertising, fee collecting, and antitrust competitions etc.; and (ii) 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MOE, jointly with certain other PRC government authorities, issued the Opinions on Guiding and Regulating the Orderly and Healthy Development of Educational Mobile Apps on August 10, 2019, or the Opinions on Educational Apps, which requires, among other things, mobile apps that provide services for school teaching and management, student learning and student life, or home-school interactions, with school faculty, students or parents as the main users, and with education or learning as the main application scenarios, or the Educational Apps, be filed with competent provincial regulatory authorities for education. The Opinions on Educational Apps also requires, among other things, that: (i) before filing, the Educational App’s provider obtain the ICP license or complete the ICP filing and obtain the certificate and the grade evaluation report for graded protection of cybersecurity; (ii) Educational Apps whose main users are under the age of 18 must limit the use time, specify the range of suitable ages, and have strictly monitored content; (iii) 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six months.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10, 2020, the General Office of MOE and the General Office of SAMR promulgated the Notice on Issuing the Form of Service Contract for After-school Training Provided to Primary and Secondary School Students, which requires the local competent regulatory authorities to guide the relevant parties to use the form of service contract for after-school training activities provided to primary and secondary school students. The form of service contract covers the obligations and rights of parties involved in the after-school training, including detailed provisions on training fees, refund arrangement and default liabilities. On September 27, 2021, the General Office of MOE and the General Office of SAMR promulgated the Notice on Issuing the Form of Service Contract for After-school Training Provided to Primary and Secondary School Students (Revised 2021), which added the special notes, adjusted the contract structure and updated certain provisions in the prior version of form of service contract.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the MOE and certain other PRC government authorities jointly promulgated the Opinion on Further Strengthening and Regulating the Management of Educational Fees, or the Education Fees Opinions, pursuant to which all fees collected by private schools shall be paid into the school’s bank account filed with the education authority, be unifiedly managed, and mainly used for educational and teaching activities, improving the operational conditions, protection of teachers’ and staffs’ treatment and allocating development fund according to relevant laws and regulations.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13, 2020, the General Office of the MOE and the General Office of the SAMR jointly promulgated the Notice on the Centralized Rectification of After-school Tutoring Institutions’ Illegal Acts of Infringing Consumers’ Rights by Using Unfair Standard Terms. The Notice stipulates that local education and market regulation authorities shall increase the efforts for the investigation of after-school tutoring institutions’ illegal acts which infringes consumers’ rights by using unfair standard terms/ to exempt them from their own responsibility, increase consumers’ liability and exclude consumers’ legal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Minors Protection Law issued by the National People’s Congress Standing Committee on September 4, 1991 was recently amended on October 17, 2020, which took effect on June 1, 2021. According to the amended Minors Protection Law, kindergartens and after-school training agencies may not carry out primary school curriculum education for the preschool-aged minors, and online education products and services which are targeted at minors shall not include any links to online games or push any advertisements and other information irrelevant to teaching.</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after-school tutoring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Any violation of the foregoing shall be rectified. Moreover, the Alleviating Burden Opinion specifies a series of operating requirements that after-school tutoring institutions must meet regarding the course time, advertisements, tuition fees, etc.</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7, 2021, the MOE published on its official website that the MOE,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2021, the MOE further published on its official website that the General Office of MOE, together with five other government authorities, issued a circular requiring all online after-school tutoring institutions that have filed with the local education administration authorities providing tutoring services on academic subjects to obtain the private school operating permit by the end of 2021, and all online after-school tutoring institutions shall, before obtain such permit, suspend enrollment of students and charging fees.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21, 2021, the MOE jointly with certain other PRC government authorities, promulgated the Notice on Strengthening the Supervision of After-School Tutoring Institutions Pre-collection of Fees, which requires the pre-collection of fees by academic AST institutions and non-academic AST institutions be supervised. Local governments will establish bank custodians or risk reserves to mitigate the related risks suitable for their own jurisdictions.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 2022, the MOE jointly with SAMR and NDRC promulgated the Notice on Regulating Non-Academic After-school Training Institutions, which provide that, among other things, (i) non-academic after-school tutoring institutions shall have the corresponding qualifications and their staffs shall have the corresponding certificates for their profession; (ii) non-academic after-school tutoring institutions shall ensure that training contents and training methods are suitable for the students’ age, mental and physical characteristics and cognitive level. The notice also specifies a series of operating requirements that non-academic after-school tutoring institutions must meet regarding the course content, course time, advertisements, tuition fees, contract form and premise, etc.</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30, 2022, the MOE together with twelve other government authorities issued the Opinions on Standardizing Non-Academic After-School Tutoring for Primary and Secondary School Students, or Standardizing Opinions, which reiterates that local authorities shall identify corresponding competent authorities for different tutoring categories and shall set forth basic standards for establishment and approval procedures for online and offline tutoring institutions of the corresponding categories based on local conditions. In addition, the Standardizing Opinions provide that local authorities shall standardize daily operations and strengthen daily supervision of non-academic after-school tutoring, including: (i) in terms of training content and training time, non-academic tutoring institutions shall not provide academic tutoring courses, and the training time shall not conflict with the teaching time of local primary and secondary schools; the offline training shall end no later than 20:30, and the online training shall end no later than 21:00; (ii) in terms of price, non-academic tutoring institutions shall follow the principles of fairness, legality and good faith, set prices according to training costs, market supply and demand, etc. and such prices shall be reported to the competent authorities and be made to the public; (iii) in terms of pre-collection of fees, all fees collected by the tutoring institution shall be put into the special account, training fees shall not be paid by training loans; the pre-collected fees shall be included into supervision and shall not be collected for more than 60 classes, for a course length of more than three months or over RMB5,000 in one time or in the form of recharge, card and other disguised charges; and</w:t>
      </w:r>
    </w:p>
    <w:p>
      <w:pPr>
        <w:spacing w:after="0" w:line="1" w:lineRule="exact"/>
        <w:rPr>
          <w:sz w:val="20"/>
          <w:szCs w:val="20"/>
          <w:color w:val="auto"/>
        </w:rPr>
      </w:pPr>
    </w:p>
    <w:p>
      <w:pPr>
        <w:ind w:firstLine="8"/>
        <w:spacing w:after="0" w:line="260" w:lineRule="auto"/>
        <w:tabs>
          <w:tab w:leader="none" w:pos="3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non-academic tutoring institutions shall be included in the unified management through the National Platform for Supervision and Service of After-School Education and Training.</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MOE issued the Provisional Measures on Administrative Penalties for After-School Tutoring effective from October 15, 2023, which clarify various non-complaint activities of after-school tutoring institutions and stipulate corresponding penalties. According to these measures, the conduct of after-school tutoring by any person, legal person or an organization that satisfies the following conditions constitutes unauthorized conduct of after-school tutoring institutions, who shall be ordered to cease the operations of the institutions, return collected fees and be imposed a fine: (i) having specific training sites for offline training or websites or applications for online training, (ii) having more than two training practitioners, and (iii) having organizational structures and division of labor. In addition, if the management of after-school tutoring institutions is chaotic, and involves one of the following acts, the competent government authorities shall require such after-school tutoring institutions to rectify within a fixed time and issue a warning: (i) enrolling students in violation of regulations, such as joint enrollment with primary and secondary schools; (ii) recruiting and managing practitioners in violation of laws, regulations and the other relevant provisions promulgated by the competent department of the State Council; (iii) charging price, charging behavior, pre-collected fees management in violation of laws, regulations and other relevant provisions promulgated by the competent department of the State Council; (iv) containing online game content and links that are not related to tutoring in online after-school tutoring; (v) failing to retain training content, training data and live training images by online after-school tutoring in accordance with relevant provisions promulgated by the competent department of the State Council; (vi) publishing advertisements illegally; and (vii) other disorders that may seriously affect education and teaching. The illegal income (if any) shall be confiscated after the refund of the fees charged; if the situation is serious, the institution shall be ordered to stop recruiting trainees and the license shall be revoked.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E-commerce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2024, the Implementing Rules of the Consumer Protection Law of the PRC were promulgated by the State Council and implemented on July 1, 2024, to further specify the obligations stipulated in the PRC Consumer Protection Law. Additionally, these rules, among other things: (i) add the obligations of business operators regarding the protection of elderly and minors as consumers; (ii) provide requirements to address situations where business operators may abuse technology, platform rules or their dominant positions to infringe on consumer rights, such as prohibiting price discrimination, fraudulent advertising and excessively collecting consumers’ personal information; (iii) require live streaming marketing platform operators to establish and improve mechanisms for consumer rights protection.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regulate online transaction activities, on March 15, 2021, SAMR issued the Online Trading Supervision and Management Measures, or the Online Trading Supervision Measures, which became effective on May 1, 2021. The Online Trading Supervision Measures shall apply to the business activities of selling commodities or providing services in social networking, internet live streaming or other information network activities, and provide general obligations and responsibilities of online trading operators and online trading platform providers.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14, 2022, the SAMR issued the Provisions on Clearly Marking Prices and Prohibiting Price Fraud to regulate the clear marking of prices (referring to such activities of business operators as publicly marking prices and other information in accordance with the law in the process of selling or purchasing goods or providing services), prevent and stop price fraud (referring to such activities of business operators as luring consumers or other business operators into trading with them by false or misleading pricing means), which became effective on July 1,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2017, SAIC issued the Interim Measures for Return of Online Purchases within seven Days without Reason, or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Food Safety Law of the PRC, promulgated on February 28, 2009 and effective on June 1, 2009, was amended on April 29, 2021 with effect from the same date. This amendment provides that the sale of pre-packaged food only is not subject to a permit but needs to file a record with the competent authority.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Advertising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24, 2015, the Standing Committee of the National People’s Congress enacted the Advertising Law of the PRC, or the New Advertising Law, and last amended on April 29, 2021.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4, 2016, SAIC promulgated the Provisional Measures of Internet Advertising Management, which provide basic rules for regulating internet advertising activities. On February 25, 2023, the SAMR promulgated the Measures for Internet Advertising Management, which became effective on May 1, 2023, to replace the Provisional Measures of Internet Advertising Management. The new measures (i) detail the rules on advertising management in some key areas, such as internet advertising with links, advertising paid for ranking, advertising published via algorithmic recommendation, and advertising published via online live streaming; (ii) specify that internet platform operators providing information services shall fulfill obligations of internet information service providers such as recording and keeping relevant information, actively discovering and deleting illegal advertisements, establishing a complaint handling mechanism, and cooperating with market regulatory authorities to monitor advertisements and investigate illegal activities in internet advertisements; (iii) provide that entities engaged in the design, production, agency, publishing or other activities of internet advertisements shall bear the obligations and responsibilities of advertising agencies, advertisement publishers and other subjects according to relevant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Music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Live Streaming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2016, the CAC issued Administrative Provisions on Internet Live Streaming Services, which became effective on December 1, 2016. Under the regulation, “internet live streaming” refers to the activities of continuously releasing real-time information to the public based on the internet in forms such as video, audio, images and texts, and “internet live streaming service providers” refers to the operators that provide internet live streaming platform services. In addition, the internet live streaming service providers shall take various measures when operating their services, such as (i) establish a live streaming content review platform; (ii) require authentication for the registration of live streaming content providers; and (iii) enter into a service agreement with live streaming service users to specify each of the live streaming service user’s and the service provider’s rights and obligations.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 2016, the MOC issued the Administrative Measures for Business Activities Relating to Online Performance, which took effect on January 1, 2017. Under the Measures, an online performance business operator engaging in business operations of online performance shall obtain a Permit for Cyber Culture Business Operations, the business scope of which shall specify that online performance is included. An online performance business operator shall assume the primary responsibility for the business operations of online performance carried out thereby.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Guiding Opinions on Strengthening the Standardized Management of Online Live Streaming issued by CAC and several other governmental authorities on February 9, 2021, live streaming platforms that carry out business-oriented online performance activities must hold the internet cultural business license and carry out ICP filing; live streaming platforms that carry out network audio-visual program services must hold the AVSP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shall file with local cyberspace administration office in a timely manner, and shall cancel its filing immediately after it ceases to provide live streaming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30, 2021, the MOCT issued the Online Performance Brokerage Agencies Measures, which took effect on the same date. Pursuant to the Measures, an online performance business entity shall assume the primary responsibilities for its online performance business activities and verify the qualifications of online performance brokerage agencies on the platform.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Minors Protection Law issued by the National People’s Congress Standing Committee on September 4, 1991 was last amended on April 26, 2024. Under the amended Minors Protection Law, online product and service providers shall avoid providing content for minors that might induce addiction. Online product and service providers such as providers of online games, online broadcasts, online audio/video or online social networks shall set up appropriate functions such as the management of time, authority and spending of minors using their services.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2020, NRTA issued the Notice on Strengthening the Administration of Online Show Live and E-commerce Live Streaming, or Notice 78, which set forth registration requirements for platforms providing online show live streaming or e-commerce live streaming to have their information and business operations registered by November 30, 2020. Notice 78 made it clear that live streaming platforms should implement real-name management systems.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12, 2022, the NRTA and the Propaganda Department of the Central Committee of the Communist Party of China issued the Circular on Strengthening the Administration of Game Live Streaming on Online Audio-visual Platforms, which regulates game live streaming from various aspects, such as the content of live streaming, the conduct of hosts and the protection of minors. On May 7, 2022, the Office of the Central Guidance Commission on Building Spiritual Civilization, MOCT, NRTA and CAC jointly issued the Opinions on Regulating Online Live Streaming Virtual Gifting and Strengthening the Protection of Minors, or the Live Streaming Opinions, which iterate the requirements for live streaming platforms in respect of strengthening real-name registration, prohibiting minors from virtual gifting and restrictions on providing live streamer services to minors. Pursuant to the Live Streaming Opinions, online platforms are prohibited from ranking, introducing or recommending live streaming performers solely by the monetary amount of virtual gifts that they have received from users, nor could the platforms rank users based on the monetary amount of virtual gifts that they have sent to live streaming performers.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Protection of minors in the field of Internet live streaming will be further strengthened under the newly promulgated laws and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became effective on January 1, 2024. The Regulation on the Protection of Minors in Cyberspace stipulates that online live streaming service providers shall, among other things, (i) establish a dynamic verification mechanism for the real identity information of online live streaming uploaders and shall not provide online live streaming uploading services for minor users who do not conform to the legal provisions, (ii) set the mode for minors, and manage the period, duration, function and content of use, and (iii) reasonably restrict minors’ network service expenditure according to their age groups.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if adopted, would stipulate, among other requirements, that large-sum gifting or gifting by minors shall be prohibited in live online games. As of the date of the filing of this annual report, the Draft Administrative Measures for Online Games have not been formally adopted.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Anti-Unfair Competition and Anti-Monopoly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PRC Anti-Unfair Competition Law, which took effect on December 1, 1993 and last amended on April 23, 2019,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of the provisions shall bear corresponding civil, administrative or criminal liabilities depending on the specific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Anti-Monopoly Law, which took effect on August 1, 2008 and last amended on June 24, 2022,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issued the PRC Anti-Monopoly Law (Revised 2022), which took effective on August 1, 2022. The revised version, among other things, (i) makes changes to the merger review process by enabling SAMR to review non-threshold transactions and introducing the stop-clock system, (ii) changes the rules on monopoly agreements for resale price maintenance, introducing a “safe harbor” for vertical monopoly agreement, and (iii) increases fines imposed on different parties, e.g., amending the fine for illegal concentration of business operators from “a fine of up to RMB500,000” to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10, 2023, the SAMR issued the Provisions on the Prohibitions of Monopoly Agreements, the Provisions on the Prohibitions of Acts of Abuse of Dominant Market Positions and the Provisions on Review of Concentration of Undertakings, all of which took effect on April 15, 2023. The provisions detail the relevant rules set forth in the PRC Anti-Monopoly Law (Revised 2022) and further elaborate on the factors to be taken into consideration when assessing monopoly agreements, acts of abusing market dominance and concentration of undertakings.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22, 2024, the State Council issued the Rules of the State Council on Declaration Threshold for Concentration of Undertakings (Revised 2024), or the Revised Declaration Threshold Rules, which substantially raised the declaration threshold for concentration of undertakings. According to the Revised Declaration Threshold Rules, where a concentration of undertakings meets any of the following thresholds, an undertaking shall declare to the competent anti-monopoly law enforcement agency in advance: (i) the total global turnover of all the undertakings participating in the concentration in the last accounting year exceeds RMB12 billion, and at least two of these undertakings each have a turnover of more than RMB800 million within China in the last accounting year; or (ii) the total turnover within China of all the undertakings participating in the concentration in the last accounting year exceeds RMB 4 billion, and at least two of these undertakings each have a turnover of more than RMB800 million within China in the last accounting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17, 2021, the SAMR issued the Draft Provisions on Preventing Unfair Online Competition for public comment, which mainly regulates the production and operation activities of business operators through the internet and other information networks, and specifically stipulates the general norms of online competition, prohibits the use of technical means to impede, interfere or conduct other unfair competition behaviors and prohibits the use of technical means to conduct other online unfair competition behaviors. On December 25, 2024, the Standing Committee of the National People’s Congress issued a draft amendment to the PRC Anti-Unfair Competition Law for public comments, which sets forth detailed rules on network unfair competition, supplements the existing forms of unfair competition behaviors, strengthens the commercial bribery governance, and improves the legal liability for violation of anti-unfair competition provisions. As of the date of the filing of this annual report, the Draft Provisions on Preventing Unfair Online Competition and the draft amendment to the PRC Anti-Unfair Competition Law have not been formally adopted.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Payment and Finance Services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28, 2015, the PBOC issued the Administrative Measures for Internet Payment Services of Non-bank Payment Institutions, which became effective on July 1, 2016, and requires that non-bank payment institutions implement the real-name verification system for payment accounts and take effective measures to verify the personal information of clients. On December 9, 2023, the State Council promulgated the Regulation on Supervision and Administration of Non-bank Payment Institutions, which became effective on May 1, 2024, to provide principal rules for regulating activities of non-bank payment institutions, including, among other things, implementing access management by specifying certain access requirements of the non-bank payment institutions, and reinforcing management systems with respect to payment accounts, reserve funds and payment instructions. On July 9, 2024, the PBOC issued the Detailed Rules for the Implementation of the Regulation on Supervision and Administration of Non-Banking Payment Institutions, which set out detailed rules to implement the Regulation on Supervision and Administration of Non-bank Payment Institutions, including refining the way payment businesses are categorized and the requirements for the ratio of net assets to the average daily balance of the reserve funds. In respect of the establishment conditions for non-bank payment institutions and the ratio of net assets to the average daily balance of reserve funds, the rules provide for a transitional period for existing non-bank payment institutions to meet such requirements, i.e., from the date of implementation of the Rules to the expiration date of their respective payment business license, and if the transitional period is less than 12 months, it will be counted as 12 months.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19, 2021, the PBOC issued the Measures for Deposit and Management of Customer Reserve Funds by Non-bank Payment Institutions, or the Measures for Customer Reserve Funds, which became effective on March 1, 2021.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20, 2021, the PBOC issued the Measures for the Administration of Reporting of Major Events by Non-bank Payment Institutions, which became effective on September 1, 2021. Under the Measures, “major events” refers to major business operation matters that shall be reported in advance in accordance with the laws and regulations and the rules of the PBOC, as well as matters that may have major impact on the business operation status of payment institutions (including branches), rights and interests of financial consumers, and financial and social stability, and shall be reported ex post. Pursuant to the Measures, a payment institution shall maintain communication with branches of the PBOC, and actively cooperate with the PBOC and its branches in effectively monitoring, preventing and resolving risks.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 2022, the Standing Committee of the National People’s Congress issued the Anti-Telecom and Online Fraud Law of PRC, effective on December 1, 2022, which requires that non-bank payment institutions, together with banking financial institutions, shall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11, 2024, the Standing Committee of the National People’s Congress issued the amended PRC Anti-money Laundering Law, which came into effect on January 1, 2025. According to the amended PRC Anti-money Laundering Law, entities such as non-bank payment institutions shall fulfill the anti-money laundering obligations of financial institutions under this Law, including, among other things, establishing sound internal control for anti-money laundering, and fulfill other obligations such as customer due diligence, preserving the identity records of customers and transaction records, reporting of large-value transactions and doubtful transactions, and taking special preventive measures against money laundering.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patents, trademarks, copyrights and domain names.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Patent Law of the PRC (Revised in 2008) promulgated by the Standing Committee of the National People’s Congress, and its Implementation Rules (Revised in 2010) promulgated by the State Council, the National Intellectual Property Administration of China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Law of the PRC was further amended in October, 2020 and its Implementation Rules were amended on December 11, 2023, pursuant to which invention patents are valid for twenty years, while design patents are valid for fifteen years and utility model patents are valid for ten years, commencing from the date of application. Where a patent right for invention is granted after three years from the date of request for substantial examination of a patent for invention and after four years from the filing date, the patent administrative department under the State Council shall grant compensation for the duration of the patent right due to any unreasonable delay in grant of patent rights at the request of the applicant, except for any unreasonable delay caused by the applicant.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Standing Committee of National People’s Congress adopted the Copyright Law of the PRC in 1990 and amended it in 2001, 2010 and 2020, respectively. The latest amended Copyright Law became effective on June 1, 2021, according to which relevant provisions on copyright protection in cyberspace have been further improved, including, for example, the scope of “broadcasting right” and the scenarios in which sound recording producers can receive remunerations have been expanded, and the description of “cinematographic works or works created using methods similar to film making” are revised as “audio-visual works.” In addition, the latest amendment raises the maximum amount of statutory damages for copyright infringement while setting a minimum limit.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further implement the Copyright Law of the PRC, the Regulations of the PRC for the Implementation of Copyright Law was promulgated by the State Council on September 15, 2002 and last amended on January 30, 2013.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Copyright Law and its implementation rules, creators of protected works enjoy personal and property rights, including, among other things, the right of disseminating the works through information networks.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6 July 2021, the General Office of the Chinese Communist Party Central Committee and the General Office of the State Council jointly promulgated the Opinions on Strictly Cracking Down on Illegal Securities Activities, which call for the enhanced administration and supervision of overseas-listed China-based companies, propose to revise the relevant regulation governing the overseas issuance and listing of shares by such companies and clarified the responsibilities of competent domestic industry regulators and government authorities.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In addition, subsequent securities offerings of an issuer in the same overseas market where it has previously offered and listed securities shall be filed with the CSRC within three working days after the offering is completed. Meanwhile, overseas offering and listing would be prohibited under certain circumstances, including but not limited to that (i) the offering and listing are expressly forbidden by the PRC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 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RMB5 million.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support domestic companies’  overseas securities offering and listing pursuant to PRC laws and regulations, as a supplement to the Filing Rules, on February 24, 2023, CSRC and other three PRC regulatory authorities jointly issued the Provisions on Strengthening Confidentiality and Archives Administration of Overseas Securities Offering and Listing by Domestic Companies, or the Confidentiality and Archives Administration Provisions, which took effect on March 31, 2023 with the Filing Rules, according to which, a domestic company that seeks overseas offering and listing, and the securities companies and securities service providers that undertake relevant businesses shall strictly abide by applicable PRC laws and regulations and perform relevant confidentiality and archives administration obligations. Specifically, a domestic company that plans to, either directly or through its overseas listed entity, publicly disclose or provide to relevant individuals or entities including securities companies, securities service providers and overseas regulators,</w:t>
      </w:r>
    </w:p>
    <w:p>
      <w:pPr>
        <w:spacing w:after="0" w:line="1" w:lineRule="exact"/>
        <w:rPr>
          <w:sz w:val="20"/>
          <w:szCs w:val="20"/>
          <w:color w:val="auto"/>
        </w:rPr>
      </w:pPr>
    </w:p>
    <w:p>
      <w:pPr>
        <w:jc w:val="both"/>
        <w:ind w:firstLine="8"/>
        <w:spacing w:after="0" w:line="252" w:lineRule="auto"/>
        <w:tabs>
          <w:tab w:leader="none" w:pos="2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and materials that contain state secrets or working secrets of government agencies, shall first obtain approval from competent authorities and file with competent secrecy administrative department; and (ii) any other documents and materials that, if leaked, will be detrimental to national security or public interest, shall strictly fulfill relevant procedures stipulated by applicable national regulations. A domestic company that provides documents and materials to securities companies and securities service providers shall abide by applicable national regulations on confidentiality in handling such documents and materials, and shall provide a written statement simultaneously.</w:t>
      </w:r>
    </w:p>
    <w:p>
      <w:pPr>
        <w:spacing w:after="0" w:line="1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 Filing Rules and the Confidentiality and Archives Administration Provisions are relatively new, there are uncertainties with respect to their interpretation and implementation.</w:t>
      </w:r>
    </w:p>
    <w:p>
      <w:pPr>
        <w:spacing w:after="0" w:line="158"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organizational structure is set forth above under Item 4.B. “Information on the Company—Business Overview—Our Organizational Structure.”</w:t>
      </w:r>
    </w:p>
    <w:p>
      <w:pPr>
        <w:spacing w:after="0" w:line="158"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currently located at NetEase Building, No. 599 Wangshang Road, Binjiang District, Hangzhou, People’s Republic of China 310052. In addition, as of December 31, 2024, we have leased office, warehouse, store facilities and others with an aggregate of approximately 0.4 million square meters of space at properties mainly in Zhejiang and Guangdong provinces.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own and occupy several office buildings and R&amp;D centers in Shanghai, Hangzhou and Guangzhou, China with an aggregate total floor area of approximately 1.1 million square meters,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0.1 million square meters, where our advertising services and Youdao are located. In addition, we have completed construction of our first self-built data center, Gui’an Data Center, in Guizhou province, China.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constructing new office buildings, primarily located in Shanghai and Hangzhou. As of December 31, 2024, we had incurred construction in progress costs of RMB1.7 billion (US$232.4 million) for these new office buildings, which primarily comprise costs for building construction.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server and bandwidth service fees were approximately RMB2.2 billion (US$303.0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“Key Information —Risk Factors.” Actual results could differ materially from those projected in the forward-looking statements. We caution you that our businesses and financial performance are subject to substantial risks and uncertainties.</w:t>
      </w:r>
    </w:p>
    <w:p>
      <w:pPr>
        <w:spacing w:after="0" w:line="186" w:lineRule="exact"/>
        <w:rPr>
          <w:sz w:val="20"/>
          <w:szCs w:val="20"/>
          <w:color w:val="auto"/>
        </w:rPr>
      </w:pPr>
    </w:p>
    <w:p>
      <w:pPr>
        <w:ind w:left="680" w:hanging="672"/>
        <w:spacing w:after="0"/>
        <w:tabs>
          <w:tab w:leader="none" w:pos="6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successful online game business, developing and operating a rich portfolio of highly popular titles. Leveraging on our user insights and execution expertise, we have also incubated and developed in-house a pipeline of thriving businesses, including our intelligent learning and advertising solutions provider, Youdao, online music platform, NetEase Cloud Music, and other innovative businesses, ranging from e-commerce to advertising services, e-mail and other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net revenues of RMB96.5 billion, RMB103.5 billion and RMB105.3 billion (US$14.4 billion) in 2022, 2023 and 2024, respectively. Our net income attributable to the company’s shareholders was RMB20.3 billion, RMB29.4 billion and RMB29.7 billion (US$4.1 billion) in 2022, 2023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company was incorporated in the Cayman Islands. NetEase, Inc. conducts its business in China through its subsidiaries and the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online music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Hangzhou Yuedu and certain other affiliated companies. These affiliated companies are considered “variable interest entities” for accounting purposes and are referred to collectively in this annual report as “VIEs.” These contractual arrangements provide us with the power to direct the activities that most significantly impact the economic performance of the VIEs and provide us with economic benefits of these VIEs and as such we are the primary beneficiary and consolidate the VIEs for financial reporting.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subsidiaries provide technical consulting and related services to the VIEs. Please also see Item 4.B. “Information on the Company—Business Overview—Our Organizational Structure.”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total assets of all the consolidated VIEs were RMB23.8 billion (US$3.3 billion), mainly comprising cash and cash equivalents, restricted cash, accounts receivable, net, prepayments and other current assets, net, amounts due from group companies and long-term investments. As of December 31, 2024, the total liabilities of the consolidated VIEs were RMB21.9 billion (US$3.0 billion), mainly comprising contract liabilities, amounts due to group companies and accrued liabilities and other payables.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present operations are structured to comply with the relevant PRC laws and regulations. However, the interpretation and enforcement of these laws and regulations involve uncertainties. We are therefore unable to predict if, when and how the relevant PRC regulatory authorities might take action that could materially affect our business activities. Future changes in Chinese government policies affecting the provision of information services, including the provision of online games, online education, online music, live streaming, internet access, online advertising and online payment services, may impose additional regulatory requirements on us or our service providers or otherwise harm our business. Please see Item 3.D. “Key Information—Risk Factors—Risks Related to Our Corporate 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statements of our subsidiaries and the VIEs for which we are the primary beneficiary with the ownership interests of minority shareholders reported as noncontrolling interests. All significant transactions and balances among our company, our subsidiaries and the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continue to deliver original and compelling content and service offerings and effectively operate our existing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game services, our ability to successfully update and expand our existing game franchises and maintain a pipeline of new games across diversified genres and geographic regions will affect our future revenue and financial results.</w:t>
      </w:r>
    </w:p>
    <w:p>
      <w:pPr>
        <w:spacing w:after="0" w:line="18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grow our user base and drive user engagement and loyalty, as well as the mix of products and services purchased by our users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including, for example, the amount of time played on our games and the frequency of in-game purchases of virtual items.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 In addition, our results are affected by the mix of products and services purchased by our users. For example, with respect to online games, our revenues depend in part on the types of virtual items purchased in-game and their pricing, as well as the proportion of players who are playing games developed in-house by us, games co-developed with third parties or licensed games.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continue to develop proprietary technologies and apply them meaningfully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manage our costs and expenses effectively across all business segments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are affected by our ability to effectively control our costs and expenses across all of our business segments. We incur revenue sharing costs, including fees shared with third-party platform providers, game developers, owners of intellectual property licensed to us and other third parties related to mobile games, course instructors related to Youdao’s services, music labels and other copyright and content partners related to NetEase Cloud Music’s services and others in connection with our other innovative businesses, which may increase in absolute amounts as we continue to scale up our operations across our business segments. We may also incur higher content costs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substantial research and development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make successful strategic investments and acquisitions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by segment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20" w:type="dxa"/>
            <w:vAlign w:val="bottom"/>
          </w:tcPr>
          <w:p>
            <w:pPr>
              <w:spacing w:after="0"/>
              <w:rPr>
                <w:sz w:val="12"/>
                <w:szCs w:val="12"/>
                <w:color w:val="auto"/>
              </w:rPr>
            </w:pPr>
          </w:p>
        </w:tc>
        <w:tc>
          <w:tcPr>
            <w:tcW w:w="9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3"/>
          </w:tcPr>
          <w:p>
            <w:pPr>
              <w:jc w:val="right"/>
              <w:ind w:right="5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74,566,471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11,456,254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5,013,182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8,992,221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1,089,166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7,923,935</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1,109,220</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96,495,809</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14,425,388</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our revenues from the provision of games and related value-added services, Youdao, NetEase Cloud Music, innovative businesses and others. No customer individually accounted for greater than 10% of our total revenues for the years ended December 31, 2022, 2023 and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generate our mobile game revenues primarily from the sale of in-game virtual items, including avatars, skills, privileges or other in-game consumables, features or functionalities. We distribute our mobile games through partnerships with major Android- and iOS-based app stores as well as proprietary platforms, such as our mobile apps and websites. Users have a variety of payment options for in-game virtual items, including using prepaid points or by making online payments through app stores and other online payment platforms. Our mobile game portfolio now consists of approximately 100 diverse games, and we expect to continue introducing new mobile games each year for the foreseeable future, which we believe will contribute to future growth in net revenues from this segment.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revenues from our PC games mainly through sales of prepaid points and sales of in-game virtual items. Customers can purchase prepaid points and use the points to play our PC games, either to pay for playing time or to purchase virtual items within the games, and use our other fee-based services. Customers can also purchase the in-game virtual items directly and use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generate revenue from services which are related or ancillary to the operation of our games including our live streaming service and other value-added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Youdao’s revenue consists of three parts: learning services, smart devices and online marketing services. We currently generate the majority of the revenues of Youdao’s learning services from its tutoring services, which mainly include its existing online courses and digital content services. We also generate revenues from sales of smart devices as well as Youdao’s online marketing services through the provision of different formats of advertisements.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NetEase Cloud Music’s revenue is primarily generated from (i) online music services through the sales of membership subscriptions in various content and service packages and (ii) social entertainment services and others mainly through the sale of virtual items.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derive our innovative businesses and others revenues primarily from e-commerce, advertising services and other value-added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Seasonality of 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usage of our online games has generally increased around the Chinese holidays, particularly the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experience strong sales of its smart devices during the period leading up to commencement of school terms in September.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cost of revenues by segment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3"/>
          </w:tcPr>
          <w:p>
            <w:pPr>
              <w:jc w:val="right"/>
              <w:ind w:right="5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(27,784,419)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(25,938,865)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(26,142,623)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(3,581,525)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(2,430,738)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(2,621,746)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(2,877,428)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(7,699,103)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(5,764,322)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(5,268,634)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(5,815,423)</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(6,079,832)</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(5,199,467)</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(712,324)</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(43,729,683)</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(40,404,765)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(5,409,855)</w:t>
            </w: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our games and related value-added services consists primarily of revenue sharing costs paid to platforms, game developers, content providers and performers, staff-related costs, royalties related to licensed games, server and bandwidth service fees and other direct costs of providing these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of Youdao consists primarily of revenue sharing costs paid to Youdao’s course instructors and teaching assistants, staff-related costs, costs of course materials, costs relating to the sales of smart devices and traffic acquisition costs.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of NetEase Cloud Music consists primarily of content licensing fees paid to music labels, independent artists and other copyright partners, revenue sharing fees related to social entertainment services, advertising service-related costs, music and entertainment event related costs, staff-related costs and professional fees.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related to our innovative businesses and others segment consists primarily of cost of merchandise sold in our e-commerce business, staff-related costs and content fees and revenue sharing costs paid to third-parties.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our operating expenses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8"/>
        </w:trPr>
        <w:tc>
          <w:tcPr>
            <w:tcW w:w="5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3"/>
          </w:tcPr>
          <w:p>
            <w:pPr>
              <w:jc w:val="right"/>
              <w:ind w:right="5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(13,402,721)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(13,969,460)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(14,147,657)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(1,938,221)</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(4,695,798)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(4,899,880)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(4,550,625)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(623,433)</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(15,039,014)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(16,484,910)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(17,524,812)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(2,400,889)</w:t>
            </w:r>
          </w:p>
        </w:tc>
        <w:tc>
          <w:tcPr>
            <w:tcW w:w="20" w:type="dxa"/>
            <w:vAlign w:val="bottom"/>
          </w:tcPr>
          <w:p>
            <w:pPr>
              <w:spacing w:after="0"/>
              <w:rPr>
                <w:sz w:val="18"/>
                <w:szCs w:val="18"/>
                <w:color w:val="auto"/>
              </w:rPr>
            </w:pPr>
          </w:p>
        </w:tc>
      </w:tr>
      <w:tr>
        <w:trPr>
          <w:trHeight w:val="20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(33,137,533)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(4,962,543)</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include selling and marketing expenses, general and administrative expenses and research and development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consist primarily of staff-related costs for our sales and marketing staff, marketing and advertising expenses, and shipping and handling costs.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staff-related costs for our general administrative and management staff, office rental, legal, professional and consultancy fees, expected credit loss and depreciation charges.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staff-related costs for our professionals and outsourcing technology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allocation of our share-based compensation costs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8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8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9"/>
        </w:trPr>
        <w:tc>
          <w:tcPr>
            <w:tcW w:w="6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3"/>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 included in: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1,185,854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162,461</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1,069,850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208,609</w:t>
            </w: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3,174,160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3,242,810</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3,882,939</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531,960</w:t>
            </w: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2009 and 2019 Restricted Share Unit Plans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November 2009, we adopted the 2009 RSU Plan for our employees, directors and consultants. We reserved 323,694,050 ordinary shares for issuance under this plan. The 2009 RSU Plan expired on November 16, 2019 in accordance with its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2019, we adopted our 2019 Restricted Share Unit Plan, for our employees, directors and consultants. Such plan was amended and restated in February 2023 and renamed the Amended and Restated 2019 Share Incentive Plan, or the 2019 Share Plan. We have reserved 322,458,300 ordinary shares for issuance under this plan. The 2019 Share Plan became effective on October 15, 2019 and will expire in February 2033.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2023 and 2024, we recorded share-based compensation cost of approximately RMB3.2 billion, RMB3.2 billion and RMB3.9 billion (US$532.0 million), respectively, for awards granted under the 2009 RSU Plan and 2019 Share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unvested awards granted under the 2019 Share Plan, adjusted for estimated forfeitures, was RMB2.9 billion (US$402.1 million), which is expected to be recognized through the remaining vesting period of each grant. As of December 31, 2024, the weighted average remaining vesting period was 1.44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Share Incentive Plans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of our subsidiaries have adopted stock option plans or RSU plans to grant options or restricted share units to our employees. The options expire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 For the years ended December 31, 2022, 2023 and 2024, we recorded share-based compensation costs of RMB327.9 million, RMB289.0 million and RMB266.4 million, respectively, under these plans. But for certain share options granted with vesting conditions outside our control, no expenses will be recorded until the occurrence of the vesting conditions when we determine that it is probable that the vesting conditions will be satisfied.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unrecognized share-based compensation expenses of RMB18.0 million related to such share options for which the service conditions were met and are expected to be recognized when the vesting conditions are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 the British Virgin Islands, or the BVI, are exempted from income tax on its foreign-derived income in the BVI. There are no withholding taxes in the BVI.</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Hong Kong were subject to income tax on their taxable income generated from operations in Hong Kong at a rate of 16.5%. For the years 2022, 2023 and 2024, the first HK$2 million of profits earned by one of our subsidiaries incorporated in Hong Kong is taxed at a rate of 8.25%, while the remaining profits will continue to be taxed at the 16.5% tax rate. The payments of dividends by these companies to us are not subject to any Hong Kong withholding tax.</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Enterprise Income Tax Law subjects foreign invested enterprises and domestic companies to EIT at a uniform rate of 25%, and preferential tax treatments may be granted to foreign invested enterprises or domestic companies which conduct businesses in certain encouraged sectors and to entities otherwise classified as “Software Enterprises”, “Key Software Enterprises” and/or HNTEs.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Boguan, NetEase Hangzhou and certain of our other China mainland subsidiaries were qualified as HNTEs and enjoyed a preferential tax rate of 15% for 2022, 2023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preferential income tax rate, however, is subject to periodic review and renewal by PRC authorities.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Provisional Regulation of the PRC on Value Added Tax, or VAT, and its implementation rules, our China mainland subsidiaries and the VIEs are generally subject to VAT at a rate of 6% for revenues earned from rendering services. Our sales of general goods to our customers in the PRC are also subject to VAT of 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see the Notes to the Consolidated Financial Statements—Note 2(bb) “Recently issued accounting pronouncements not yet adopted.”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audited consolidated statements of operations for the periods indicated both in Renminbi and as a percentage of total revenues. Unless otherwise stated, financial results discussed herein refer to our continuing operations. Net income from discontinued operations attributable to the company’s shareholders in 2022 was related to the disposal of our Kaola e-commerce business.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40" w:type="dxa"/>
            <w:vAlign w:val="bottom"/>
            <w:gridSpan w:val="5"/>
          </w:tcPr>
          <w:p>
            <w:pPr>
              <w:jc w:val="right"/>
              <w:ind w:right="451"/>
              <w:spacing w:after="0" w:line="129" w:lineRule="exact"/>
              <w:rPr>
                <w:sz w:val="20"/>
                <w:szCs w:val="20"/>
                <w:color w:val="auto"/>
              </w:rPr>
            </w:pPr>
            <w:r>
              <w:rPr>
                <w:rFonts w:ascii="Times New Roman" w:cs="Times New Roman" w:eastAsia="Times New Roman" w:hAnsi="Times New Roman"/>
                <w:sz w:val="14"/>
                <w:szCs w:val="14"/>
                <w:b w:val="1"/>
                <w:bCs w:val="1"/>
                <w:color w:val="auto"/>
              </w:rPr>
              <w:t>(RMB and US$ in thousands)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 Data:</w:t>
            </w: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96,495,809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14,425,388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(43,729,683)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(40,404,765)</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(39,488,152)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(5,409,855)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52,766,126</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9,015,533</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(13,402,721)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(13,969,460)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(14,147,657)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(1,938,221)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(4,695,798)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(4,899,880)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(4,550,625)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(623,433)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(15,039,014)</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(16,484,910)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(17,524,812)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(2,400,889)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(33,137,533)</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(4,962,543)</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profit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19,628,593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27,709,144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29,583,990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4,052,990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income,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1,306,722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4,920,915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674,163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gains/ (losses),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1,571,207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(132,999)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846,815</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1,053,642</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602,134</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tax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24,250,264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34,056,927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35,717,755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4,893,313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(5,031,838)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(4,699,704)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(5,461,408)</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(748,210)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19,218,426</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29,357,223</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30,256,347</w:t>
            </w: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4,145,103</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624,864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19,843,290</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29,357,223</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30,256,347</w:t>
            </w: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4,145,103</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loss/(income) attributable to</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interests and redeemable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497,288</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(554,819)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(76,010)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8"/>
        </w:trPr>
        <w:tc>
          <w:tcPr>
            <w:tcW w:w="3540" w:type="dxa"/>
            <w:vAlign w:val="bottom"/>
            <w:tcBorders>
              <w:top w:val="single" w:sz="8" w:color="CCEEFF"/>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Net income attributable to the Company’s</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20,337,600</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4,068,556</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1"/>
        </w:trPr>
        <w:tc>
          <w:tcPr>
            <w:tcW w:w="3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Share-based compensation cost included in:</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1,185,854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1,214,995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1,080,581</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1,522,701</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208,609</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846"/>
        </w:trPr>
        <w:tc>
          <w:tcPr>
            <w:tcW w:w="3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organized our operations into following segments: games and related value-added services, Youdao, NetEase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312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2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2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9"/>
        </w:trPr>
        <w:tc>
          <w:tcPr>
            <w:tcW w:w="5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11,456,254</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770,748</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1,089,166</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1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1,109,220</w:t>
            </w:r>
          </w:p>
        </w:tc>
        <w:tc>
          <w:tcPr>
            <w:tcW w:w="20" w:type="dxa"/>
            <w:vAlign w:val="bottom"/>
          </w:tcPr>
          <w:p>
            <w:pPr>
              <w:spacing w:after="0"/>
              <w:rPr>
                <w:sz w:val="18"/>
                <w:szCs w:val="18"/>
                <w:color w:val="auto"/>
              </w:rPr>
            </w:pPr>
          </w:p>
        </w:tc>
      </w:tr>
      <w:tr>
        <w:trPr>
          <w:trHeight w:val="25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1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14,425,388</w:t>
            </w:r>
          </w:p>
        </w:tc>
        <w:tc>
          <w:tcPr>
            <w:tcW w:w="20" w:type="dxa"/>
            <w:vAlign w:val="bottom"/>
          </w:tcPr>
          <w:p>
            <w:pPr>
              <w:spacing w:after="0"/>
              <w:rPr>
                <w:sz w:val="21"/>
                <w:szCs w:val="2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(25,938,865)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(26,142,623)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(3,581,525)</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(2,621,746)</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(2,877,428)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(394,206)</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(5,764,322)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(5,268,634)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(721,800)</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(6,079,832)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(5,199,467)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(712,324)</w:t>
            </w:r>
          </w:p>
        </w:tc>
        <w:tc>
          <w:tcPr>
            <w:tcW w:w="20" w:type="dxa"/>
            <w:vAlign w:val="bottom"/>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(40,404,765)</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(5,409,855)</w:t>
            </w:r>
          </w:p>
        </w:tc>
        <w:tc>
          <w:tcPr>
            <w:tcW w:w="20" w:type="dxa"/>
            <w:vAlign w:val="bottom"/>
            <w:tcBorders>
              <w:bottom w:val="single" w:sz="8" w:color="auto"/>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net revenues increased by 1.8% to RMB105.3 billion (US$14.4 billion) in 2024 from RMB103.5 billion in 2023. Net revenues from games and related value-added services, Youdao, NetEase Cloud Music and innovative businesses and others constituted 79.4%, 5.3%, 7.6% and 7.7%, respectively, of our total net revenues in 2024, compared with 78.8%, 5.2%, 7.6% and 8.4%, respectively, in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revenues from games and related value-added services increased by 2.5% to RMB83.6 billion (US$11.5 billion) in 2024 from RMB81.6 billion in 2023, which was principally attributable to the strong performance of certain self-developed titles, such as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Naraka: Bladepoint </w:t>
      </w:r>
      <w:r>
        <w:rPr>
          <w:rFonts w:ascii="Times New Roman" w:cs="Times New Roman" w:eastAsia="Times New Roman" w:hAnsi="Times New Roman"/>
          <w:sz w:val="18"/>
          <w:szCs w:val="18"/>
          <w:color w:val="auto"/>
        </w:rPr>
        <w:t>PC and mobile games and certain licensed titles, which was partially offset by decreased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live streaming services. Net revenues from the operation of online games accounted for approximately 96.2% of this segment in 2024, compared to 92.9% in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revenues from our in-house developed games increased by 2.3% to RMB72.6 billion (US$10.0 billion) in 2024 from RMB71.0 billion in 2023 as a result of the expansion of our portfolio of both PC and mobile games and their increased popularity in 2024. Net revenues from licensed games increased by 64.3% to RMB7.8 billion (US$1.1 billion) in 2024 from RMB4.7 billion in 2023, which was mainly attributable to the return of certain hit titles. Net revenues generated from licensed games represented 7.4% of our total net revenues in 2024, compared to 4.6% in 2023.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Youdao segment increased by 4.4% to RMB5.6 billion (US$770.7 million) in 2024 from RMB5.4 billion in 2023, which was mainly due to increased net revenues from its online marketing services, which was offset in part by decreased net revenues from its learning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NetEase Cloud Music segment increased by 1.1% to RMB8.0 billion (US$1.1 billion) in 2024 from RMB7.9 billion in 2023, which was mainly attributable to increased net revenues from online music services as a result of the growth in sales of membership subscriptions, which was offset in part by decreased net revenues from social entertainment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the innovative businesses and others segment decreased by 6.4% to RMB8.1 billion (US$1.1 billion) in 2024 from RMB8.6 billion in 2023, which mainly resulted from decreased net revenues from advertising services and certain other innovative businesses in this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decreased by 2.3% to RMB39.5 billion (US$5.4 billion) in 2024 from RMB40.4 billion in 2023, which was mainly due to a decrease in revenue sharing costs with talent agencies of live streaming performers and other third parties. In 2024, costs relating to games and related value-added services, Youdao, NetEase Cloud Music and innovative businesses and others represented 66.2%, 7.3%, 13.3% and 13.2% of total cost of revenues, respectively, as compared with 64.2%, 6.5%, 14.3% and 15.0% of total cost of revenues, respectively, in 2023.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from our games and related value-added services increased by 0.8% to RMB26.1 billion (US$3.6 billion) in 2024 from RMB25.9 billion in 2023, which was primarily due to an increase in royalty fees related to certain licensed games and staff costs, which was partially offset by a decrease in revenue sharing costs with talent agencies of live streaming performers and other third parties.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from Youdao increased by 9.8% to RMB2.9 billion (US$394.2 million) in 2024 from RMB2.6 billion in 2023, which was mainly attributable to an increase in revenue sharing costs in line with increased net revenues from online marketing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NetEase Cloud Music decreased by 8.6% to RMB5.3 billion (US$721.8 million) in 2024 from RMB5.8 billion in 2023, which was primarily attributable to a decrease in revenue sharing costs in line with decreased net revenues from social entertainment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our innovative businesses and others decreased by 14.5% to RMB5.2 billion (US$712.3 million) in 2024 from RMB6.1 billion in 2023, which was primarily due to decreased revenue sharing costs and products costs related to certain innovative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profit increased by 4.4% to RMB65.8 billion (US$9.0 billion) in 2024 from RMB63.1 billion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consolidated gross profits and gross profit margins of our business activities for the periods indicated as derived from our audited financial statements. The gross profit margins in 2023 and 2024 were calculated by dividing our gross profits over our net revenues for the corresponding type of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1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780" w:type="dxa"/>
            <w:vAlign w:val="bottom"/>
          </w:tcPr>
          <w:p>
            <w:pPr>
              <w:spacing w:after="0"/>
              <w:rPr>
                <w:sz w:val="12"/>
                <w:szCs w:val="12"/>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tcBorders>
            <w:gridSpan w:val="2"/>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r>
      <w:tr>
        <w:trPr>
          <w:trHeight w:val="128"/>
        </w:trPr>
        <w:tc>
          <w:tcPr>
            <w:tcW w:w="6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55,626,584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57,480,020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7,874,729</w:t>
            </w:r>
          </w:p>
        </w:tc>
        <w:tc>
          <w:tcPr>
            <w:tcW w:w="16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2,748,491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376,542</w:t>
            </w: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2,681,512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367,366</w:t>
            </w:r>
          </w:p>
        </w:tc>
        <w:tc>
          <w:tcPr>
            <w:tcW w:w="16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2,566,678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396,896</w:t>
            </w:r>
          </w:p>
        </w:tc>
        <w:tc>
          <w:tcPr>
            <w:tcW w:w="160" w:type="dxa"/>
            <w:vAlign w:val="bottom"/>
            <w:shd w:val="clear" w:color="auto" w:fill="CCEEFF"/>
          </w:tcPr>
          <w:p>
            <w:pPr>
              <w:spacing w:after="0"/>
              <w:rPr>
                <w:sz w:val="18"/>
                <w:szCs w:val="18"/>
                <w:color w:val="auto"/>
              </w:rPr>
            </w:pPr>
          </w:p>
        </w:tc>
      </w:tr>
      <w:tr>
        <w:trPr>
          <w:trHeight w:val="24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9,015,533</w:t>
            </w:r>
          </w:p>
        </w:tc>
        <w:tc>
          <w:tcPr>
            <w:tcW w:w="160" w:type="dxa"/>
            <w:vAlign w:val="bottom"/>
            <w:tcBorders>
              <w:bottom w:val="single" w:sz="8" w:color="CCEEFF"/>
            </w:tcBorders>
          </w:tcPr>
          <w:p>
            <w:pPr>
              <w:spacing w:after="0"/>
              <w:rPr>
                <w:sz w:val="21"/>
                <w:szCs w:val="21"/>
                <w:color w:val="auto"/>
              </w:rPr>
            </w:pPr>
          </w:p>
        </w:tc>
      </w:tr>
      <w:tr>
        <w:trPr>
          <w:trHeight w:val="197"/>
        </w:trPr>
        <w:tc>
          <w:tcPr>
            <w:tcW w:w="6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68.2 %</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68.7 %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3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51.4 %</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26.7 %</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33.7 %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29.7 %</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3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60.9 %</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62.5 %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slight increase in gross profit margin in 2024 for games and related value-added services was primarily attributable to decreased revenue contribution from live streaming services, which have relatively lower gross profit margins, as well as increased net revenues from the operation of online games compared to other products and services in the segment. The decrease in gross profit margin in 2024 for Youdao was mainly due to increased net revenues from online marketing services which have comparatively lower gross profit margins. The improvement in gross profit margin in 2024 for NetEase Cloud Music was mainly due to increased net revenues from sales of membership subscriptions and continued improvement in cost control measures. The increase in gross profit margin in 2024 for innovative businesses and others was mainly due to increased gross profit from Yanxuan and several other businesses included within the segment.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2.5% to RMB36.2 billion (US$5.0 billion) in 2024 from RMB35.4 billion in 2023 as a result of higher R&amp;D investments mainly for games and related value-added services. The following table sets forth our operating expenses for the periods indicated as derived from our audited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(13,969,460)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(14,147,657)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(4,899,880)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(4,550,625)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(16,484,910)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(17,524,812)</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(2,400,889)</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by 1.3% to RMB14.1 billion (US$1.9 billion) in 2024 from RMB14.0 billion in 2023, primarily due to increased marketing spending for games and related value-added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7.1% to RMB4.6 billion (US$623.4 million) in 2024 from RMB4.9 billion in 2023, primarily due to one-off expenses recorded in 2023, such as the settlement of certain litigation as well as an impairment provision made for fixed assets and land use rights.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6.3% to RMB17.5 billion (US$2.4 billion) in 2024 from RMB16.5 billion in 2023, primarily due to increased staff-related costs and expenses for outsourced game development activities.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other income/(expenses) for the periods indicated as derived from our audited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86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1,306,722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4,920,915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(losses)/ gains,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602,134</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income/(expenses) mainly consisted of investment income related to short-term investments, interest income, government incentives, net foreign exchange gains/(losses), impairment provisions related to certain equity investments, net investment gain in equity method investees and fair value change related to our equity investments with readily determinable fair value.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Investment income was RMB355.3 million (US$48.7 million) in 2024, compared to investment income of RMB1.3 billion in 2023, consisting primarily of (i) a gain from fair value change related to equity investments with readily determinable fair value of RMB841.9 million (US$115.3 million) in 2024 compared to RMB535.3 million in 2023, (ii) investment income related to short-term investments of RMB530.6 million (US$72.7 million) in 2024 compared to RMB414.2 million in 2023, (iii) a gain on disposal of certain long-term investments of RMB272.4 million (US$37.3 million) in 2024 compared to RMB63.8 million in 2023, and (iv) dividend income from certain long-term investments of RMB125.2 million (US$17.2 million) in 2024 compared to RMB63.7 million in 2023, which was offset in part by impairment provisions related to certain investments of RMB1.3 billion (US$177.0 million) compared to RMB274.2 million in 2023, and a net investment loss in equity method investees of RMB155.6 million (US$21.3 million) in 2024 compared to a gain of RMB473.9 million in 2023.</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increased to RMB4.9 billion (US$674.2 million) in 2024 from RMB4.1 billion in 2023, which included interest expenses of RMB598.0 million (US$81.9 million) in 2024 related to our short-term and long-term loans.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incurred net foreign exchange gains of RMB255.4 million (US$35.0 million) in 2024, compared to net foreign exchange losses of RMB133.0 million in 2023, primarily due to the fluctuation between the U.S. dollar against the RMB over the periods.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net decreased to RMB602.1 million (US$82.5 million) in 2024 from RMB1.1 billion in 2023, which were mainly related to government incentives received and recognized in 2023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increased to RMB5.5 billion (US$748.2 million) in 2024 from RMB4.7 billion in 2023. Our effective tax rate in 2024 was 15.3%, compared to 13.8% in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organized our operations into following segments: games and related value-added services, Youdao, NetEase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7540" w:type="dxa"/>
            <w:vAlign w:val="bottom"/>
          </w:tcPr>
          <w:p>
            <w:pPr>
              <w:spacing w:after="0"/>
              <w:rPr>
                <w:sz w:val="11"/>
                <w:szCs w:val="11"/>
                <w:color w:val="auto"/>
              </w:rPr>
            </w:pPr>
          </w:p>
        </w:tc>
        <w:tc>
          <w:tcPr>
            <w:tcW w:w="2380" w:type="dxa"/>
            <w:vAlign w:val="bottom"/>
            <w:gridSpan w:val="3"/>
          </w:tcPr>
          <w:p>
            <w:pPr>
              <w:jc w:val="right"/>
              <w:ind w:right="6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74,566,471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5,013,182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8,992,221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7,923,935</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r>
      <w:tr>
        <w:trPr>
          <w:trHeight w:val="249"/>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96,495,809</w:t>
            </w: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r>
      <w:tr>
        <w:trPr>
          <w:trHeight w:val="197"/>
        </w:trPr>
        <w:tc>
          <w:tcPr>
            <w:tcW w:w="7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(27,784,419)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(25,938,865)</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(2,430,738)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(2,621,746)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(7,699,103)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(5,764,322)</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(5,815,423)</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(6,079,832)</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(43,729,683)</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(40,404,765)</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net revenues increased by 7.2% to RMB103.5 billion in 2023 from RMB96.5 billion in 2022. Net revenues from games and related value-added services, Youdao, NetEase Cloud Music and innovative businesses and others constituted 78.8%, 5.2%, 7.6% and 8.4%, respectively, of our total net revenues in 2023, compared with 77.3%, 5.2%, 9.3% and 8.2%, respectively, in 2022.</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Net revenues from games and related value-added services increased by 9.4% to RMB81.6 billion in 2023 from RMB74.6 billion in 2022. The increase was principally attributable to the strong performance of certain of our mobile games including newly launched titles such as </w:t>
      </w:r>
      <w:r>
        <w:rPr>
          <w:rFonts w:ascii="Times New Roman" w:cs="Times New Roman" w:eastAsia="Times New Roman" w:hAnsi="Times New Roman"/>
          <w:sz w:val="18"/>
          <w:szCs w:val="18"/>
          <w:i w:val="1"/>
          <w:iCs w:val="1"/>
          <w:color w:val="auto"/>
        </w:rPr>
        <w:t>Justice</w:t>
      </w:r>
      <w:r>
        <w:rPr>
          <w:rFonts w:ascii="Times New Roman" w:cs="Times New Roman" w:eastAsia="Times New Roman" w:hAnsi="Times New Roman"/>
          <w:sz w:val="18"/>
          <w:szCs w:val="18"/>
          <w:color w:val="auto"/>
        </w:rPr>
        <w:t xml:space="preserve"> mobile game and hit titles such as </w:t>
      </w:r>
      <w:r>
        <w:rPr>
          <w:rFonts w:ascii="Times New Roman" w:cs="Times New Roman" w:eastAsia="Times New Roman" w:hAnsi="Times New Roman"/>
          <w:sz w:val="18"/>
          <w:szCs w:val="18"/>
          <w:i w:val="1"/>
          <w:iCs w:val="1"/>
          <w:color w:val="auto"/>
        </w:rPr>
        <w:t>Eggy Party</w:t>
      </w:r>
      <w:r>
        <w:rPr>
          <w:rFonts w:ascii="Times New Roman" w:cs="Times New Roman" w:eastAsia="Times New Roman" w:hAnsi="Times New Roman"/>
          <w:sz w:val="18"/>
          <w:szCs w:val="18"/>
          <w:color w:val="auto"/>
        </w:rPr>
        <w:t>. Net revenues from the operation of online games accounted for approximately 92.9% of this segment in 2023 compared to 92.5% in 2022.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revenues from our in-house developed games (including certain games co-developed with our collaboration partners) increased by 18.7% to RMB71.0 billion in 2023 from RMB59.8 billion in 2022 as a result of the expansion of our portfolio of mobile games and increased popularity in 2023. Net revenues from licensed games decreased by 48.2% to RMB4.7 billion in 2023 from RMB9.2 billion in 2022, which was mainly attributable to the termination of certain licensed titles. Net revenues generated from licensed games represented 4.6% of our total net revenues in 2023, compared to 9.5% in 2022.</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revenues of this segment also resulted from an increase in revenue contribution by game related value-added services such as game development services provided to third-parties.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revenues from our Youdao segment increased by 7.5% to RMB5.4 billion in 2023 from RMB5.0 billion in 2022. The increase was mainly due to increased revenue contribution from its online marketing services and learning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revenues from our NetEase Cloud Music segment decreased by 12.5% to RMB7.9 billion in 2023 from RMB9.0 billion in 2022. The decrease was mainly attributable to the introduction of a number of measures to its live streaming services to enhance the listening experience of more dedicated music fans and reinforce its risk controls. These included reducing the in-app exposure of certain live streaming functions and lowering performers’ and agencies’ revenue sharing ratio. These measures led to a decrease in net revenues from NetEase Cloud Music’s social entertainment services, which was partially offset by increased revenues from online music services as a result of the growth in sales of membership subscriptions.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the innovative businesses and others segment increased by 9.1% to RMB8.6 billion in 2023 from RMB7.9 billion in 2022. This increase mainly resulted from an increase in revenue contribution by our Yanxuan e-commerce business and certain other innovative businesses in this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decreased by 7.6% to RMB40.4 billion in 2023 from RMB43.7 billion in 2022. The year-over-year decrease was mainly due to a decrease in royalty fees and revenue sharing costs with game developers, talent agencies of live streaming performers and other third parties. In 2023, costs relating to games and related value-added services, Youdao, NetEase Cloud Music and innovative businesses and others represented 64.2%, 6.5%, 14.3% and 15.0% of total cost of revenues, respectively, as compared with 63.5%, 5.6%, 17.6% and 13.3% of the total cost of revenues, respectively, in 2022.</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from our games and related value-added services decreased by 6.6% to RMB25.9 billion in 2023 from RMB27.8 billion in 2022. The decrease in cost of revenues in 2023 was primarily due to a decrease in royalty fees and revenue sharing costs with game developers. The decrease was offset in part by an increase in revenue sharing costs to platforms as a result of the increased revenue from our mobile games in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Youdao increased by 7.9% to RMB2.6 billion in 2023 from RMB2.4 billion in 2022, which was primarily attributable to an increase in revenues shared to third parties’ internet properties related to increased revenue from online marketing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NetEase Cloud Music decreased by 25.1% to RMB5.8 billion in 2023 from RMB7.7 billion in 2022, which was primarily attributable to a decrease in revenue sharing costs in line with the decline of its revenue from social entertainment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our innovative businesses and others increased by 4.5% to RMB6.1 billion in 2023 from RMB5.8 billion in 2022. The increase in cost of revenues in 2023 was primarily due to increased cost of merchandise sold in our e-commerce business resulting from increased sales volume, as well as revenue sharing costs related to our innovative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profit increased by 19.5% to RMB63.1 billion in 2023 from RMB52.8 billion in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consolidated gross profits and gross profit margins of our business activities for the periods indicated as derived from our audited financial statements. The gross profit margins in 2022 and 2023 were calculated by dividing our gross profits over our net revenues for the corresponding type of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7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90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r>
      <w:tr>
        <w:trPr>
          <w:trHeight w:val="128"/>
        </w:trPr>
        <w:tc>
          <w:tcPr>
            <w:tcW w:w="7700" w:type="dxa"/>
            <w:vAlign w:val="bottom"/>
          </w:tcPr>
          <w:p>
            <w:pPr>
              <w:spacing w:after="0"/>
              <w:rPr>
                <w:sz w:val="11"/>
                <w:szCs w:val="11"/>
                <w:color w:val="auto"/>
              </w:rPr>
            </w:pPr>
          </w:p>
        </w:tc>
        <w:tc>
          <w:tcPr>
            <w:tcW w:w="2060" w:type="dxa"/>
            <w:vAlign w:val="bottom"/>
            <w:gridSpan w:val="3"/>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46,782,052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55,626,584</w:t>
            </w:r>
          </w:p>
        </w:tc>
        <w:tc>
          <w:tcPr>
            <w:tcW w:w="1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2,582,444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2,767,462</w:t>
            </w:r>
          </w:p>
        </w:tc>
        <w:tc>
          <w:tcPr>
            <w:tcW w:w="1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1,293,118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2,102,670</w:t>
            </w:r>
          </w:p>
        </w:tc>
        <w:tc>
          <w:tcPr>
            <w:tcW w:w="1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2,108,512</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2,566,678</w:t>
            </w:r>
          </w:p>
        </w:tc>
        <w:tc>
          <w:tcPr>
            <w:tcW w:w="160" w:type="dxa"/>
            <w:vAlign w:val="bottom"/>
            <w:shd w:val="clear" w:color="auto" w:fill="CCEEFF"/>
          </w:tcPr>
          <w:p>
            <w:pPr>
              <w:spacing w:after="0"/>
              <w:rPr>
                <w:sz w:val="18"/>
                <w:szCs w:val="18"/>
                <w:color w:val="auto"/>
              </w:rPr>
            </w:pPr>
          </w:p>
        </w:tc>
      </w:tr>
      <w:tr>
        <w:trPr>
          <w:trHeight w:val="249"/>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52,766,126</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160" w:type="dxa"/>
            <w:vAlign w:val="bottom"/>
            <w:tcBorders>
              <w:bottom w:val="single" w:sz="8" w:color="CCEEFF"/>
            </w:tcBorders>
          </w:tcPr>
          <w:p>
            <w:pPr>
              <w:spacing w:after="0"/>
              <w:rPr>
                <w:sz w:val="21"/>
                <w:szCs w:val="21"/>
                <w:color w:val="auto"/>
              </w:rPr>
            </w:pPr>
          </w:p>
        </w:tc>
      </w:tr>
      <w:tr>
        <w:trPr>
          <w:trHeight w:val="197"/>
        </w:trPr>
        <w:tc>
          <w:tcPr>
            <w:tcW w:w="7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62.7 %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3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51.5 %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14.4 %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26.6 %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3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54.7 %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gross profit margin in 2023 for games and related value-added services was primarily attributable to increased contribution from our in-house developed games, which have a relatively higher gross profit margin, as well as changes in the revenue contribution from different platforms. The gross profit margin for Youdao remained relatively stable in 2023 compared to 2022. The improvement in gross profit margin in 2023 for NetEase Cloud Music was mainly due to increased net revenues from sales of membership subscriptions and continued improvement in cost control measures. The gross profit margin in innovative businesses and others increased from 2022 to 2023 mainly due to increased gross profit from Yanxuan and several other businesses included within the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6.7% to RMB35.4 billion in 2023 from RMB33.1 billion in 2022 as a result of higher R&amp;D investments and marketing expenditures mainly for games and related value-added services. The following table sets forth our operating expenses for the periods indicated as derived from our audited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(13,402,721)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(4,695,798)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(15,039,014)</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(33,137,533)</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by 4.2% to RMB14.0 billion in 2023 from RMB13.4 billion in 2022, primarily due to increased marketing spending for games and related value-added services.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4.3% to RMB4.9 billion in 2023 from RMB4.7 billion in 2022, primarily due to the settlement of certain litigation as well as an impairment provision made for fixed assets and land use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9.6% to RMB16.5 billion in 2023 from RMB15.0 billion in 2022, primarily due to increased staff-related costs and outsourcing game development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other income/(expenses) for the periods indicated as derived from our audited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2,149,673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gains/(losses),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1,571,207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846,815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1,053,642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income/(expenses) mainly consisted of investment income related to short-term investments, interest income, government incentives, net foreign exchange gains/(losses), impairment provisions related to certain equity investments, net investment gain in equity method investees and fair value change related to our equity investments with readily determinable fair value.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Investment income was RMB1.3 billion in 2023 compared to investment income of RMB54.0 million in 2022, consisting primarily of (i) a gain from fair value change related to equity investments with readily determinable fair value of RMB535.3 million in 2023 compared to a loss of RMB3.4 billion in 2022, (ii) a net investment gain in equity method investees of RMB473.9 million in 2023 compared to RMB1.3 billion in 2022, (iii) investment income related to short-term investments of RMB414.2 million in 2023 compared to RMB342.6 million in 2022, and (iv) a gain on disposal of certain long-term investments of RMB63.8 million in 2023 compared to RMB1.8 billion in 2022, which was offset in part by impairment provisions related to certain investments of RMB274.2 million compared to RMB282.8 million in 2022.</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to RMB4.1 billion in 2023 from RMB2.1 billion in 2022, among which, we incurred interest expenses of RMB884.1 million in 2023 related to our short-term and long-term loans.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incurred net foreign exchange losses of RMB133.0 million in 2023, compared to net foreign exchange gains of RMB1.6 billion in 2022, primarily due to the fluctuation between the U.S. dollar against the RMB over the years.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net increased to RMB1.1 billion in 2023 from RMB846.8 million in 2022, which were mainly related to government incentives received and recognized in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decreased to RMB4.7 billion in 2023 from RMB5.0 billion in 2022. Our effective tax rate in 2023 was 13.8% compared with 20.7% in 2022.</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operating cash flows and existing capital resources. As of December 31, 2024, we had RMB51.4 billion (US$7.0 billion) in cash and cash equivalents, RMB78.5 billion (US$10.7 billion) in time deposits and RMB10.8 billion (US$1.5 billion) in short-term investments. Net cash provided by operating activities was RMB39.7 billion (US$5.4 billion) in 2024. We had short-term and long-term loans of RMB11.8 billion (US$1.6 billion) and RMB428.0 (US$58.6 million) as of December 31, 2024, respectively. On June 2, 2021, we entered into a five-year term loan facility and revolving loan facility agreement with aggregate commitments of US$1.0 billion at an interest rate of 85 basis points over LIBOR. As of December 31, 2023, we had not drawn any amount of these facilities and in early 2024, we voluntarily canceled such facilities. We have also entered into several uncommitted loan credit facility agreements provided by certain financial institutions. As of December 31, 2024, US$4.6 billion of such credit facilities had not been utilized.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consolidated cash flow data for the periods indicated as derived from our audited financial statements. Unless otherwise stated, cash flows discussed herein refer to our continuing activities only.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3"/>
          </w:tcPr>
          <w:p>
            <w:pPr>
              <w:jc w:val="right"/>
              <w:ind w:right="57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27,709,233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35,331,275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39,676,813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5,435,701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(7,369,727)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(17,043,431)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17,916,402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2,454,537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(10,237,699)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(21,467,054)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(27,335,702)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RMB39.7 billion (US$5.4 billion) for the year ended December 31, 2024. The difference between our net income of RMB30.3 billion (US$4.1 billion) and the net cash provided by operating activities was primarily due to (i) the adjustment of non-cash items, mainly including adding back share-based compensation cost of RMB3.9 billion (US$532.0 million), depreciation and amortization charges of RMB2.4 billion (US$331.3 million) and impairment losses on investments of RMB1.3 billion (US$177.0 million), partially offset by gains on fair value change of equity security, other investments and financial instruments of RMB841.9 million (US$115.3 million), unrealized exchange gains of RMB719.2 million (US$98.5 million), and fair value changes of short-term investments of RMB530.6 million (US$72.7 million), and (ii) an increase in cash resulting from the changes in operating assets and liabilities, mainly including an increase in contract liabilities of RMB2.0 billion (US$277.0 million), an increase in payables of RMB1.4 billion (US$193.3 million), including content costs, bonus and professional and technical charges, and a decrease in accounts receivable of RMB716.4 million (US$98.1 million), partially offset by an increase in prepayments and other assets of RMB809.6 million (US$110.9 million).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RMB35.3 billion for the year ended December 31, 2023. The difference between our net income of RMB29.4 billion and the net cash provided by operating activities was primarily due to (i) the adjustment of non-cash items, mainly including adding back share-based compensation cost of RMB3.2 billion, depreciation and amortization charges of RMB3.1 billion, and impairment losses on investments and other long-term assets of RMB469.2 million, partially offset by gains on fair value change of equity security investments of RMB535.3 million, share of results on equity method investees and revaluation results from previously held equity interest of RMB473.9 million, fair value changes of short-term investments of RMB414.2 million, and (ii) an increase in cash resulting from the changes in operating assets and liabilities, mainly including an increase in contract liabilities of RMB1.2 billion and an increase in payables of RMB544.3 million, including content costs, bonus and professional and technical charges, partially offset by an increase in accounts receivable of RMB1.5 billion.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RMB27.7 billion for the year ended December 31, 2022. The difference between our net income of RMB19.8 billion and the net cash provided by operating activities was primarily due to (i) the deduction of net income from discontinued operations of RMB624.9 million; (ii) the adjustment of non-cash items, mainly including adding back share-based compensation cost of RMB3.2 billion, fair value change of equity security investments of RMB3.1 billion, depreciation and amortization charges of RMB2.9 billion, and deferred income taxes of RMB489.7 million, partially offset by gains on disposal of long-term investments, business and subsidiaries of RMB1.8 billion, unrealized exchange gains of RMB1.6 billion, share of results on equity method investees of RMB1.3 billion, and fair value changes of short-term investments of RMB342.6 million, and (iii) the increase in cash resulting from the changes in operating assets and liabilities, mainly including an increase in payables of RMB2.8 billion, including content costs, bonus and professional and technical charges and an increase in contract liabilities of RMB385.4 million, as well as a decrease in accounts receivable, prepayments and other current assets of RMB1.3 billion, partially offset by a decrease of tax payables of RMB917.6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investing activities was RMB17.9 billion (US$2.5 billion) for the year ended December 31, 2024, which was mainly attributable to (i) proceeds from maturities of time deposits of RMB179.4 billion (US$24.6 billion), (ii) proceeds from maturities of short-term investments with terms over three months of RMB2.9 billion (US$391.0 million), and (iii) proceeds from disposal of long-term investments, businesses, subsidiaries and other financial instruments of RMB2.8 billion (US$386.7 million), which were partially offset by (i) placement/rollover of matured time deposits of RMB154.8 billion (US$21.2 billion), (ii) purchase of short-term investments with terms over three months of RMB8.2 billion (US$1.1 billion), (iii) purchase of property, equipment and software of RMB1.3 billion (US$174.7 million), (iv) purchase of intangible assets, content and licensed copyrights of RMB931.0 million (US$127.5 million), (v) investment in other equity investments and acquisition of subsidiaries of RMB589.6 million (US$80.8 million), (vi) investment in equity method investees of RMB513.4 million (US$70.3 million) and (vii) net change of short-term investments with terms of three months or less of RMB408.3 million (US$55.9 million).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RMB17.0 billion for the year ended December 31, 2023, which was mainly attributable to (i) placement/rollover of matured time deposits of RMB124.7 billion, (ii) investment in other equity investments and acquisition of subsidiaries of RMB2.4 billion, (iii) purchase of property, equipment and software of RMB2.3 billion, (iv) purchase of intangible assets, content and licensed copyrights of RMB2.0 billion, and (v) net change of short-term investments with terms of three months or less of RMB1.8 billion, which were partially offset by (i) proceeds from maturities of time deposits of RMB111.4 billion, and (ii) proceeds from maturities of short-term investments with terms over three months of RMB5.4 billion.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RMB7.4 billion for the year ended December 31, 2022, which was mainly attributable to (i) placement/rollover of matured time deposits of RMB99.0 billion, (ii) purchase of short-term investments with terms over three months of RMB6.0 billion, (iii) investment in other equity investments and acquisition of subsidiaries of RMB4.4 billion, (iv) purchase of property, equipment and software of RMB2.1 billion, (v) investment in equity method investees of RMB705.9 million, and (vi) purchase of intangible assets, content and licensed copyrights of RMB543.2 million, which were partially offset by (i) proceeds from maturities of time deposits of RMB92.2 billion, (ii) proceeds from maturities of short-term investments with terms over three months of RMB10.2 billion, (iii) proceeds from disposals of long-term investments and business of RMB2.4 billion, and (iv) net change of short-term investments with terms of three months or less of RMB776.4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RMB27.3 billion (US$3.7 billion) for the year ended December 31, 2024, which was mainly attributable to (i) dividends paid to shareholders of RMB11.2 billion (US$1.5 billion), (ii) repurchase of NetEase’s ADSs and purchase of subsidiaries’ ADSs and shares of RMB8.8 billion (US$1.2 billion), and (iii) net payment of short-term and long-term loans of RMB7.5 billion (US$1.0 billion).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RMB21.5 billion for the year ended December 31, 2023, which was mainly attributable to (i) net payment of short-term and long-term loans of RMB8.3 billion, (ii) dividends paid to shareholders of RMB8.0 billion, and (iii) repurchase of NetEase’s ADSs and purchase of subsidiaries’ ADSs and shares of RMB5.2 billion.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RMB10.2 billion for the year ended December 31, 2022, which was mainly attributable to (i) repurchase of NetEase’s ADSs and purchase of subsidiaries’ ADSs and shares of RMB8.3 billion and (ii) dividends paid to shareholders of RMB6.7 billion, which were partially offset by net proceeds from short-term and long-term loans of RMB4.8 billion.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and cash equivalents, time deposits and short-term investments mainly placed with banks in Hong Kong and China. Although we consolidate the results of our subsidiaries and the VIEs in our consolidated financial statements, we do not have direct access to the cash and cash equivalents or future earnings of our subsidiaries and the VIEs. As of December 31, 2024, these subsidiaries and VIEs had RMB129.8 billion (US$17.8 billion) in cash and cash equivalents and short-term and long-term time deposits. Our cash and cash equivalents and time deposits held outside of China are mainly denominated in U.S. dollars.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fund any cash requirements we may have, we may need to rely on dividends and other distributions on equity paid by our subsidiaries. Since substantially all of our operations are conducted through our China mainland subsidiaries and the VIEs, our subsidiaries may need to rely on dividends, loans or advances made by another China mainland subsidiary or VIE. Certain of these payments are subject to PRC taxes, including sales taxes, which effectively reduce the received amount. In addition, the PRC government could impose restrictions on such payments or change the tax rates applicable to such payments. In 2022, 2023 and 2024, we accrued RMB2.1 billion, RMB1.5 billion and RMB1.6 billion (US$215.9 million) withholding tax liabilities, respectively, mainly associated with dividends expected to be distributed from our China mainland subsidiaries to companies in our corporate group outside of China for general corporate purposes. We repatriated a portion of these earnings and paid related withholding income tax in 2022, 2023 and 2024.</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China mainland subsidiaries and the VIEs are restricted in their ability to transfer a portion of their net assets to us either in the form of dividends, loans or advances, which restricted portion amounted to approximately RMB14.2 billion, or 10% of our total consolidated net assets, as of December 31, 2024. In addition, if any of our China mainland subsidiaries incurs debt on its own behalf in the future, the instruments governing the debt may restrict its ability to pay dividends or make other distributions to us.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or our subsidiaries outside of China to our China mainland subsidiaries or the VIEs. These limitations on the free flow of funds between us and our China mainland subsidiaries and the VIEs could restrict our ability to act in response to changing market conditions and reallocate funds internally in a timely manner.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Doing Business in China—Regulation on currency exchange may limit our ability to utilize our revenues effectively.” and Item 10.D. “Additional Information—Exchange Controls.”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requirements relate primarily to financing:</w:t>
      </w:r>
    </w:p>
    <w:p>
      <w:pPr>
        <w:spacing w:after="0" w:line="225" w:lineRule="exact"/>
        <w:rPr>
          <w:sz w:val="20"/>
          <w:szCs w:val="20"/>
          <w:color w:val="auto"/>
        </w:rPr>
      </w:pPr>
    </w:p>
    <w:p>
      <w:pPr>
        <w:ind w:left="100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working capital requirements, such as servers and bandwidth service fees, inventory purchase costs, content and copyrights purchase costs, staff costs, selling and marketing expenses and R&amp;D costs;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the construction of our new office buildings and acquisition of new servers and other facilities.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2024 primarily include our operating lease commitments, server and bandwidth service fee commitments, capital commitments, royalties and expenditure for licensed content commitments and other commitments.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 commitments are the lease commitments under the lease agreements mainly for our corporate offices and warehouses. Our server and bandwidth service fee commitments are related to our network servers located mainly in the facilities of the respective affiliates of China Telecom, China Unicom and China Mobile. Our capital commitments are primarily the commitments made in connection with the construction of new office buildings. Our royalties and expenditures for licensed content commitments primarily relate to the costs of acquiring the rights to certain content by our online game and online music businesses. Other commitments primarily consist of expenditures related to marketing and administration activities.  </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anticipated cash flows from operations, our existing cash balance and other financing alternatives. We will continue to make cash commitments to support the growth of our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our contractual obligations by specified categories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Server and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Royalties and</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Bandwidth</w:t>
            </w: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Licensed</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Service Fee</w:t>
            </w: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Content</w:t>
            </w: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3"/>
          </w:tcPr>
          <w:p>
            <w:pPr>
              <w:jc w:val="right"/>
              <w:ind w:right="4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1,854,576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799,144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 2028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210,863</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636,429</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860,827</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632,346</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1,069,955</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217,129</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3,416,686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within the NetEase Group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NetEase, Inc. transfers cash to its wholly-owned overseas subsidiaries by making capital contributions or providing loans, and the overseas subsidiaries transfer cash to our subsidiaries in China by making capital contributions or providing loans to them. Although NetEase, Inc. and its subsidiaries are the primary beneficiaries of the VIEs through contractual arrangements, they are not able to make direct capital contributions to the VIEs and their subsidiaries. However, they may transfer cash to the VIEs by loans or by making payment to the VIEs for inter-group transactions.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NetEase, Inc. had made cumulative capital contributions of US$2.3 billion to our China mainland subsidiaries through intermediate holding companies, which were accounted for as “Investments in subsidiaries” of NetEase, Inc. These funds have been used by our China mainland subsidiaries for their operations. As of December 31, 2024, the aggregate loan balance owed by our subsidiaries under our agreements with the VIEs was US$48.9 million. In 2022, 2023 and 2024, the VIEs transferred RMB67.0 billion, RMB73.3 billion and RMB73.8 billion (US$10.1 billion), respectively, to our China mainland subsidiaries as payment or prepayment of service fees. Our China mainland subsidiaries maintain certain personnel for content production, sales and marketing, R&amp;D and general and administrative functions to support the operations of the VIEs.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cash transfers that have occurred between our subsidiaries and the VIEs: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by the VIEs to our subsidiaries under service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(66,970,818)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(73,298,667)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other transactions with intra-Group companies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299,452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639,545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made to intra-Group companies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Loans received from intra-Group companies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intra-Group companies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any amounts owed by the VIEs to our China mainland subsidiaries under the VIE agreements, unless otherwise required by the PRC tax authorities, we are able to settle such amounts without limitations under the currently effective PRC laws and regulations, provided that the VIEs have sufficient funds to do so. Our China mainland subsidiaries are permitted to pay dividends to their shareholders, and eventually to NetEase,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China mainland subsidiaries and the VIEs are required to make appropriations to certain statutory reserve funds or may make appropriations to certain discretionary funds, which are not distributable as cash dividends except in the event of a solvent liquidation of the companies. We currently do not have cash management policies in place that dictate how funds are transferred between NetEase, Inc., our subsidiaries, the VIEs and the investors. Rather, the funds can be transferred in accordance with the applicable PRC laws and regulations. For the purpose of illustration, the below table reflects the hypothetical taxes that might be required to be paid within China, assuming that: (i) we have taxable earnings, and (ii) we determine to pay a dividend in the future: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4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Taxation Scenario</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 xml:space="preserve"> Statutory Tax and Standard Rates</w:t>
            </w:r>
          </w:p>
        </w:tc>
      </w:tr>
      <w:tr>
        <w:trPr>
          <w:trHeight w:val="210"/>
        </w:trPr>
        <w:tc>
          <w:tcPr>
            <w:tcW w:w="1000" w:type="dxa"/>
            <w:vAlign w:val="bottom"/>
          </w:tcPr>
          <w:p>
            <w:pPr>
              <w:spacing w:after="0"/>
              <w:rPr>
                <w:sz w:val="18"/>
                <w:szCs w:val="18"/>
                <w:color w:val="auto"/>
              </w:rPr>
            </w:pPr>
          </w:p>
        </w:tc>
        <w:tc>
          <w:tcPr>
            <w:tcW w:w="39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1000" w:type="dxa"/>
            <w:vAlign w:val="bottom"/>
          </w:tcPr>
          <w:p>
            <w:pPr>
              <w:spacing w:after="0"/>
              <w:rPr>
                <w:sz w:val="18"/>
                <w:szCs w:val="18"/>
                <w:color w:val="auto"/>
              </w:rPr>
            </w:pPr>
          </w:p>
        </w:tc>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4000" w:type="dxa"/>
            <w:vAlign w:val="bottom"/>
          </w:tcPr>
          <w:p>
            <w:pPr>
              <w:jc w:val="right"/>
              <w:ind w:right="1673"/>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0" w:type="dxa"/>
            <w:vAlign w:val="bottom"/>
          </w:tcPr>
          <w:p>
            <w:pPr>
              <w:spacing w:after="0"/>
              <w:rPr>
                <w:sz w:val="18"/>
                <w:szCs w:val="18"/>
                <w:color w:val="auto"/>
              </w:rPr>
            </w:pPr>
          </w:p>
        </w:tc>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4000" w:type="dxa"/>
            <w:vAlign w:val="bottom"/>
          </w:tcPr>
          <w:p>
            <w:pPr>
              <w:jc w:val="right"/>
              <w:ind w:right="1653"/>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400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80" w:right="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calculation has been simplified for the purpose of this example. The hypothetical book pre-tax earnings amount, which does not consider timing differences, is assumed to equal the taxable income in the PRC.</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VIE agreements, service fees are charged by our China mainland subsidiaries to the VIEs. For all the periods presented, these fees are recognized as expenses of the VIEs, with a corresponding amount as service income by our China mainland subsidiaries and eliminated in consolidation. For income tax purposes, our China mainland subsidiaries and the VIEs file income taxes on a separate company basis. The fees paid are recognized as a tax deduction by the VIEs and as income by our China mainland subsidiaries and are tax neutral.</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Upon the VIEs reaching a cumulative level of profitability, because our China mainland subsidiaries own certain trademarks and copyrights, the agreements will be updated to reflect charges for such trademarks and copyrights usage on the basis that they will qualify for tax neutral treatment.</w:t>
      </w:r>
    </w:p>
    <w:p>
      <w:pPr>
        <w:spacing w:after="0" w:line="176" w:lineRule="exact"/>
        <w:rPr>
          <w:sz w:val="20"/>
          <w:szCs w:val="20"/>
          <w:color w:val="auto"/>
        </w:rPr>
      </w:pPr>
    </w:p>
    <w:p>
      <w:pPr>
        <w:jc w:val="both"/>
        <w:ind w:left="680" w:hanging="321"/>
        <w:spacing w:after="0" w:line="261"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8"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China mainland subsidiaries under tax neutral contractual arrangements. If in the future, the accumulated earnings of the VIEs exceed the fees paid to our China mainland subsidiaries, or if the current and contemplated fee structure between the intercompany entities is determined to be non-substantive and disallowed by Chinese tax authorities, the VIEs could make a non-deductible transfer to our China mainland subsidiaries for the amounts of the stranded cash in the VIEs. This would result in such transfer being non-deductible expenses for the VIEs but still taxable income for the China mainland subsidiaries. Such a transfer and the related tax burdens would reduce our after-tax income to approximately 50.6% of the pre-tax income. Our management believes that there is only a remote possibility that this scenario would happen.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information for NetEase, Inc., its wholly owned subsidiaries that are the primary beneficiaries of the VIEs under U.S. GAAP (the “Primary Beneficiaries of VIEs”), our other subsidiaries that are not the Primary Beneficiaries of VIEs (the “Other Subsidiaries”), and the VIEs and their subsidiaries that we consolidate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160" w:type="dxa"/>
            <w:vAlign w:val="bottom"/>
          </w:tcPr>
          <w:p>
            <w:pPr>
              <w:spacing w:after="0"/>
              <w:rPr>
                <w:sz w:val="11"/>
                <w:szCs w:val="11"/>
                <w:color w:val="auto"/>
              </w:rPr>
            </w:pPr>
          </w:p>
        </w:tc>
        <w:tc>
          <w:tcPr>
            <w:tcW w:w="740" w:type="dxa"/>
            <w:vAlign w:val="bottom"/>
            <w:tcBorders>
              <w:top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224,824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13,269,440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6,132,382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1,802,256</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21,428,902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63,445,277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38,040,757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420,000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101,906,034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56,098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2,701,583</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2,777,756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1,421,964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337,122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4,663,331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6,422,417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586,212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72,254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36,908</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 net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262,937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2,933,583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1,114,866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1,765,209</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6,076,595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4,322,533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73,904</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4,436,057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Amounts due from group companies </w:t>
            </w:r>
            <w:r>
              <w:rPr>
                <w:rFonts w:ascii="Times New Roman" w:cs="Times New Roman" w:eastAsia="Times New Roman" w:hAnsi="Times New Roman"/>
                <w:sz w:val="17"/>
                <w:szCs w:val="17"/>
                <w:color w:val="auto"/>
                <w:vertAlign w:val="superscript"/>
              </w:rPr>
              <w:t>(1)</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48,884,976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32,562,994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18,972,738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9,192,463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(109,613,171)</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equipment and software, net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709,387</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7,312,616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52,212</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8,075,044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 use right, net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64,264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4,010,879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4,075,143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410,687</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53,686</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749,275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1,396,083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148,847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Investments in subsidiaries </w:t>
            </w:r>
            <w:r>
              <w:rPr>
                <w:rFonts w:ascii="Times New Roman" w:cs="Times New Roman" w:eastAsia="Times New Roman" w:hAnsi="Times New Roman"/>
                <w:sz w:val="17"/>
                <w:szCs w:val="17"/>
                <w:color w:val="auto"/>
                <w:vertAlign w:val="superscript"/>
              </w:rPr>
              <w:t>(2)</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103,785,841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28,944,158</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(410,515)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(132,319,484)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Contractual interests in the VIEs and VIEs’ subsidiaries </w:t>
            </w:r>
            <w:r>
              <w:rPr>
                <w:rFonts w:ascii="Times New Roman" w:cs="Times New Roman" w:eastAsia="Times New Roman" w:hAnsi="Times New Roman"/>
                <w:sz w:val="17"/>
                <w:szCs w:val="17"/>
                <w:color w:val="auto"/>
                <w:vertAlign w:val="superscript"/>
              </w:rPr>
              <w:t>(2)</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1,619,075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(1,619,075)</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393,580</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19,211,745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965,058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1,212,804</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21,783,187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4,471,840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1,221,219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203,744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5,939,106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153,599,286</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167,976,623</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85,573,852</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22,326,947</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(243,551,730)</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185,924,978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2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shareholders’</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536,021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79,826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265,137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Salary and welfare payables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669,323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4,071,411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114,794</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35,066</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2,383,421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142,769</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2,571,534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loans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920,751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8,669,455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9,633,862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16,095</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19,240,163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liabilities-current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732,809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227,931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12,401,426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13,362,166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 and other payables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2,071,530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6,900,483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3,689,885</w:t>
            </w: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12,670,906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316,747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442,348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52,691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Amounts due to group companies </w:t>
            </w:r>
            <w:r>
              <w:rPr>
                <w:rFonts w:ascii="Times New Roman" w:cs="Times New Roman" w:eastAsia="Times New Roman" w:hAnsi="Times New Roman"/>
                <w:sz w:val="17"/>
                <w:szCs w:val="17"/>
                <w:color w:val="auto"/>
                <w:vertAlign w:val="superscript"/>
              </w:rPr>
              <w:t>(1)</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28,368,227</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45,955,508</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32,466,685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2,822,751</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(109,613,171)</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1,951,981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347,322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2,299,303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loans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101,713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58,923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554,648</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715,284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29,313,510</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61,040,153</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57,040,209</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20,060,196</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(109,613,171)</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57,840,897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77,798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37,961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124,285,776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106,858,672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28,533,643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2,228,790</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(133,938,559)</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127,968,322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shareholders’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153,599,286</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167,976,623</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85,573,852</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22,326,947</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(243,551,730)</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185,924,978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80" w:type="dxa"/>
            <w:vAlign w:val="bottom"/>
          </w:tcPr>
          <w:p>
            <w:pPr>
              <w:spacing w:after="0"/>
              <w:rPr>
                <w:sz w:val="10"/>
                <w:szCs w:val="10"/>
                <w:color w:val="auto"/>
              </w:rPr>
            </w:pP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10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40" w:type="dxa"/>
            <w:vAlign w:val="bottom"/>
          </w:tcPr>
          <w:p>
            <w:pPr>
              <w:spacing w:after="0"/>
              <w:rPr>
                <w:sz w:val="10"/>
                <w:szCs w:val="10"/>
                <w:color w:val="auto"/>
              </w:rPr>
            </w:pPr>
          </w:p>
        </w:tc>
        <w:tc>
          <w:tcPr>
            <w:tcW w:w="8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1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4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gridSpan w:val="2"/>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60" w:type="dxa"/>
            <w:vAlign w:val="bottom"/>
            <w:gridSpan w:val="2"/>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5"/>
          </w:tcPr>
          <w:p>
            <w:pPr>
              <w:jc w:val="right"/>
              <w:ind w:right="249"/>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68,315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22,226,946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28,074,849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1,013,200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51,383,310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67,221,715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11,174,640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78,466,355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22,636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40,326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3,028,651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3,091,613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1,765,642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285,361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3,618,024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5,669,027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494,666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571,548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 net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3,341,726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2,346,183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6,416,868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10,219,436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10,756,143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Amounts due from group companies </w:t>
            </w:r>
            <w:r>
              <w:rPr>
                <w:rFonts w:ascii="Times New Roman" w:cs="Times New Roman" w:eastAsia="Times New Roman" w:hAnsi="Times New Roman"/>
                <w:sz w:val="17"/>
                <w:szCs w:val="17"/>
                <w:color w:val="auto"/>
                <w:vertAlign w:val="superscript"/>
              </w:rPr>
              <w:t>(1)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47,134,874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24,332,449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17,541,728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11,716,452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(100,725,503)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equipment and software, net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806,010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7,703,421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9,905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 use right, net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4,111,111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4,172,465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1,085,481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1,113,435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Investments in subsidiaries </w:t>
            </w:r>
            <w:r>
              <w:rPr>
                <w:rFonts w:ascii="Times New Roman" w:cs="Times New Roman" w:eastAsia="Times New Roman" w:hAnsi="Times New Roman"/>
                <w:sz w:val="17"/>
                <w:szCs w:val="17"/>
                <w:color w:val="auto"/>
                <w:vertAlign w:val="superscript"/>
              </w:rPr>
              <w:t>(2)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110,875,457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27,503,090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(691,849)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(137,686,698)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Contractual interests in the VIEs and VIEs’ subsidiaries </w:t>
            </w:r>
            <w:r>
              <w:rPr>
                <w:rFonts w:ascii="Times New Roman" w:cs="Times New Roman" w:eastAsia="Times New Roman" w:hAnsi="Times New Roman"/>
                <w:sz w:val="17"/>
                <w:szCs w:val="17"/>
                <w:color w:val="auto"/>
                <w:vertAlign w:val="superscript"/>
              </w:rPr>
              <w:t>(2)</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1,810,627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(1,810,627)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17,737,532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955,281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1,119,963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20,206,356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3,938,040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5,083,258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158,570,904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169,820,075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84,067,899</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23,755,500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(240,222,828)</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195,991,550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1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457,395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Salary and welfare payables</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638,774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3,948,479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93,859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422,409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2,186,974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loans</w:t>
            </w:r>
          </w:p>
        </w:tc>
        <w:tc>
          <w:tcPr>
            <w:tcW w:w="1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7,899,918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3,905,133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11,805,051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liabilities-current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1,319,742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13,702,547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15,299,222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 and other payables</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32,143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2,716,831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6,924,271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4,555,787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14,229,032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256,038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292,603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 xml:space="preserve">Amounts due to group companies </w:t>
            </w:r>
            <w:r>
              <w:rPr>
                <w:rFonts w:ascii="Times New Roman" w:cs="Times New Roman" w:eastAsia="Times New Roman" w:hAnsi="Times New Roman"/>
                <w:sz w:val="17"/>
                <w:szCs w:val="17"/>
                <w:color w:val="auto"/>
                <w:vertAlign w:val="superscript"/>
              </w:rPr>
              <w:t>(1)</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19,837,012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39,620,317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38,609,798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2,658,376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(100,725,503)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1,756,535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2,173,117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loans</w:t>
            </w:r>
          </w:p>
        </w:tc>
        <w:tc>
          <w:tcPr>
            <w:tcW w:w="1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648,623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816,041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19,885,298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55,197,198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57,256,658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21,883,761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(100,725,503)</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53,497,412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84,272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138,685,606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114,538,605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26,811,241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1,871,739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(139,497,325)</w:t>
            </w: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142,409,866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liabilities, redeemable noncontrolling interests and</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158,570,904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169,820,075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84,067,899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23,755,500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(240,222,828)</w:t>
            </w:r>
          </w:p>
        </w:tc>
        <w:tc>
          <w:tcPr>
            <w:tcW w:w="2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195,991,550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00" w:type="dxa"/>
            <w:vAlign w:val="bottom"/>
            <w:tcBorders>
              <w:bottom w:val="single" w:sz="8" w:color="CCEEFF"/>
            </w:tcBorders>
            <w:gridSpan w:val="2"/>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shareholders’ equity</w:t>
            </w:r>
          </w:p>
        </w:tc>
        <w:tc>
          <w:tcPr>
            <w:tcW w:w="84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80" w:type="dxa"/>
            <w:vAlign w:val="bottom"/>
          </w:tcPr>
          <w:p>
            <w:pPr>
              <w:spacing w:after="0"/>
              <w:rPr>
                <w:sz w:val="10"/>
                <w:szCs w:val="10"/>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10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40" w:type="dxa"/>
            <w:vAlign w:val="bottom"/>
          </w:tcPr>
          <w:p>
            <w:pPr>
              <w:spacing w:after="0"/>
              <w:rPr>
                <w:sz w:val="10"/>
                <w:szCs w:val="10"/>
                <w:color w:val="auto"/>
              </w:rPr>
            </w:pPr>
          </w:p>
        </w:tc>
        <w:tc>
          <w:tcPr>
            <w:tcW w:w="84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40" w:type="dxa"/>
            <w:vAlign w:val="bottom"/>
          </w:tcPr>
          <w:p>
            <w:pPr>
              <w:spacing w:after="0"/>
              <w:rPr>
                <w:sz w:val="12"/>
                <w:szCs w:val="12"/>
                <w:color w:val="auto"/>
              </w:rPr>
            </w:pPr>
          </w:p>
        </w:tc>
        <w:tc>
          <w:tcPr>
            <w:tcW w:w="8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6"/>
          </w:tcPr>
          <w:p>
            <w:pPr>
              <w:jc w:val="right"/>
              <w:ind w:right="320"/>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6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12,788,652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1,157,713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82,549,444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96,495,809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 service</w:t>
            </w:r>
          </w:p>
        </w:tc>
        <w:tc>
          <w:tcPr>
            <w:tcW w:w="16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692,337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64,085,249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(64,777,586)</w:t>
            </w:r>
          </w:p>
        </w:tc>
        <w:tc>
          <w:tcPr>
            <w:tcW w:w="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1020" w:type="dxa"/>
            <w:vAlign w:val="bottom"/>
            <w:gridSpan w:val="4"/>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16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913,644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1,876,699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817,962</w:t>
            </w:r>
          </w:p>
        </w:tc>
        <w:tc>
          <w:tcPr>
            <w:tcW w:w="60" w:type="dxa"/>
            <w:vAlign w:val="bottom"/>
          </w:tcPr>
          <w:p>
            <w:pPr>
              <w:spacing w:after="0"/>
              <w:rPr>
                <w:sz w:val="12"/>
                <w:szCs w:val="12"/>
                <w:color w:val="auto"/>
              </w:rPr>
            </w:pPr>
          </w:p>
        </w:tc>
        <w:tc>
          <w:tcPr>
            <w:tcW w:w="102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(3,608,305)</w:t>
            </w: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14,394,633</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67,119,661</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83,367,406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(68,385,891)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96,495,809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(62,115)</w:t>
            </w:r>
          </w:p>
        </w:tc>
        <w:tc>
          <w:tcPr>
            <w:tcW w:w="98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(13,477,853)</w:t>
            </w:r>
          </w:p>
        </w:tc>
        <w:tc>
          <w:tcPr>
            <w:tcW w:w="110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(44,968,961)</w:t>
            </w:r>
          </w:p>
        </w:tc>
        <w:tc>
          <w:tcPr>
            <w:tcW w:w="8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(18,358,287)</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(76,867,216)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0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16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(64,777,586)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64,777,586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(1,822,670)</w:t>
            </w:r>
          </w:p>
        </w:tc>
        <w:tc>
          <w:tcPr>
            <w:tcW w:w="110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(1,667,214)</w:t>
            </w:r>
          </w:p>
        </w:tc>
        <w:tc>
          <w:tcPr>
            <w:tcW w:w="8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(185,608)</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3,675,492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(15,300,523)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(46,636,175)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(83,321,481)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68,453,078</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(76,867,216)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(62,115)</w:t>
            </w:r>
          </w:p>
        </w:tc>
        <w:tc>
          <w:tcPr>
            <w:tcW w:w="98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(905,890)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20,483,486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45,925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67,187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19,628,593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income/(losses) from subsidiaries and VIEs </w:t>
            </w:r>
            <w:r>
              <w:rPr>
                <w:rFonts w:ascii="Times New Roman" w:cs="Times New Roman" w:eastAsia="Times New Roman" w:hAnsi="Times New Roman"/>
                <w:sz w:val="17"/>
                <w:szCs w:val="17"/>
                <w:color w:val="auto"/>
                <w:vertAlign w:val="superscript"/>
              </w:rPr>
              <w:t>(2)</w:t>
            </w: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24,489,042</w:t>
            </w: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20,442,796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(151,361)</w:t>
            </w:r>
          </w:p>
        </w:tc>
        <w:tc>
          <w:tcPr>
            <w:tcW w:w="4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(44,780,477)</w:t>
            </w:r>
          </w:p>
        </w:tc>
        <w:tc>
          <w:tcPr>
            <w:tcW w:w="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(expenses)/income, net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(4,156,514)</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6,458,954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2,334,424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(15,193)</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4,621,671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20,270,413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25,995,860</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22,666,549</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30,732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(44,713,290)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24,250,264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(2,437,898)</w:t>
            </w:r>
          </w:p>
        </w:tc>
        <w:tc>
          <w:tcPr>
            <w:tcW w:w="110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(2,481,879)</w:t>
            </w:r>
          </w:p>
        </w:tc>
        <w:tc>
          <w:tcPr>
            <w:tcW w:w="8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(112,061)</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(5,031,838)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160" w:type="dxa"/>
            <w:vAlign w:val="bottom"/>
          </w:tcPr>
          <w:p>
            <w:pPr>
              <w:spacing w:after="0"/>
              <w:rPr>
                <w:sz w:val="15"/>
                <w:szCs w:val="15"/>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20,270,413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23,557,962</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20,184,670</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(81,329)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(44,713,290)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19,218,426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40" w:type="dxa"/>
            <w:vAlign w:val="bottom"/>
          </w:tcPr>
          <w:p>
            <w:pPr>
              <w:spacing w:after="0"/>
              <w:rPr>
                <w:sz w:val="10"/>
                <w:szCs w:val="10"/>
                <w:color w:val="auto"/>
              </w:rPr>
            </w:pP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11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totals</w:t>
            </w: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3"/>
          </w:tcPr>
          <w:p>
            <w:pPr>
              <w:jc w:val="right"/>
              <w:ind w:right="22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8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12,193,244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1,220,371</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90,054,544</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103,468,159</w:t>
            </w:r>
          </w:p>
        </w:tc>
        <w:tc>
          <w:tcPr>
            <w:tcW w:w="0" w:type="dxa"/>
            <w:vAlign w:val="bottom"/>
          </w:tcPr>
          <w:p>
            <w:pPr>
              <w:spacing w:after="0"/>
              <w:rPr>
                <w:sz w:val="1"/>
                <w:szCs w:val="1"/>
                <w:color w:val="auto"/>
              </w:rPr>
            </w:pPr>
          </w:p>
        </w:tc>
      </w:tr>
      <w:tr>
        <w:trPr>
          <w:trHeight w:val="122"/>
        </w:trPr>
        <w:tc>
          <w:tcPr>
            <w:tcW w:w="42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 service</w:t>
            </w: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386,828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72,605,740</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(72,992,568)</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8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873,787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1,440,970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734,857</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(3,049,614)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7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13,453,859</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75,267,081</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90,789,401</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(76,042,182)</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103,468,159</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8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(26,012)</w:t>
            </w:r>
          </w:p>
        </w:tc>
        <w:tc>
          <w:tcPr>
            <w:tcW w:w="94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(14,240,361)</w:t>
            </w: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(44,024,077)</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(17,468,565)</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(75,759,015)</w:t>
            </w:r>
          </w:p>
        </w:tc>
        <w:tc>
          <w:tcPr>
            <w:tcW w:w="0" w:type="dxa"/>
            <w:vAlign w:val="bottom"/>
          </w:tcPr>
          <w:p>
            <w:pPr>
              <w:spacing w:after="0"/>
              <w:rPr>
                <w:sz w:val="1"/>
                <w:szCs w:val="1"/>
                <w:color w:val="auto"/>
              </w:rPr>
            </w:pPr>
          </w:p>
        </w:tc>
      </w:tr>
      <w:tr>
        <w:trPr>
          <w:trHeight w:val="122"/>
        </w:trPr>
        <w:tc>
          <w:tcPr>
            <w:tcW w:w="42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(72,992,568)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72,992,568</w:t>
            </w: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8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(1,454,070)</w:t>
            </w: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(1,571,998)</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(23,546)</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3,049,614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(15,694,431)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(45,596,075)</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(90,484,679)</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76,042,182</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(75,759,015)</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8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(26,012)</w:t>
            </w:r>
          </w:p>
        </w:tc>
        <w:tc>
          <w:tcPr>
            <w:tcW w:w="94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(2,240,572)</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29,671,006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304,722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27,709,144</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 (losses) from subsidiaries and VIEs </w:t>
            </w:r>
            <w:r>
              <w:rPr>
                <w:rFonts w:ascii="Times New Roman" w:cs="Times New Roman" w:eastAsia="Times New Roman" w:hAnsi="Times New Roman"/>
                <w:sz w:val="17"/>
                <w:szCs w:val="17"/>
                <w:color w:val="auto"/>
                <w:vertAlign w:val="superscript"/>
              </w:rPr>
              <w:t>(2)</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29,849,939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30,023,775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(88,094)</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(59,785,620)</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 net</w:t>
            </w:r>
          </w:p>
        </w:tc>
        <w:tc>
          <w:tcPr>
            <w:tcW w:w="8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(345,851)</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3,929,431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2,537,239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226,964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6,347,783</w:t>
            </w: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29,478,076</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31,712,634</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32,120,151</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531,686</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(59,785,620)</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34,056,927</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8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(1,928,340)</w:t>
            </w: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(2,568,035)</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(203,329)</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(4,699,704)</w:t>
            </w:r>
          </w:p>
        </w:tc>
        <w:tc>
          <w:tcPr>
            <w:tcW w:w="0" w:type="dxa"/>
            <w:vAlign w:val="bottom"/>
          </w:tcPr>
          <w:p>
            <w:pPr>
              <w:spacing w:after="0"/>
              <w:rPr>
                <w:sz w:val="1"/>
                <w:szCs w:val="1"/>
                <w:color w:val="auto"/>
              </w:rPr>
            </w:pPr>
          </w:p>
        </w:tc>
      </w:tr>
      <w:tr>
        <w:trPr>
          <w:trHeight w:val="184"/>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29,478,076</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29,784,294</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29,552,116</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328,357</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(59,785,620)</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29,357,223</w:t>
            </w:r>
          </w:p>
        </w:tc>
        <w:tc>
          <w:tcPr>
            <w:tcW w:w="0" w:type="dxa"/>
            <w:vAlign w:val="bottom"/>
          </w:tcPr>
          <w:p>
            <w:pPr>
              <w:spacing w:after="0"/>
              <w:rPr>
                <w:sz w:val="1"/>
                <w:szCs w:val="1"/>
                <w:color w:val="auto"/>
              </w:rPr>
            </w:pPr>
          </w:p>
        </w:tc>
      </w:tr>
      <w:tr>
        <w:trPr>
          <w:trHeight w:val="350"/>
        </w:trPr>
        <w:tc>
          <w:tcPr>
            <w:tcW w:w="4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40" w:type="dxa"/>
            <w:vAlign w:val="bottom"/>
          </w:tcPr>
          <w:p>
            <w:pPr>
              <w:spacing w:after="0"/>
              <w:rPr>
                <w:sz w:val="10"/>
                <w:szCs w:val="10"/>
                <w:color w:val="auto"/>
              </w:rPr>
            </w:pP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gridSpan w:val="2"/>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totals</w:t>
            </w: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3"/>
          </w:tcPr>
          <w:p>
            <w:pPr>
              <w:jc w:val="right"/>
              <w:ind w:right="24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13,062,383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1,360,569</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90,872,284</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105,295,236</w:t>
            </w:r>
          </w:p>
        </w:tc>
        <w:tc>
          <w:tcPr>
            <w:tcW w:w="0" w:type="dxa"/>
            <w:vAlign w:val="bottom"/>
          </w:tcPr>
          <w:p>
            <w:pPr>
              <w:spacing w:after="0"/>
              <w:rPr>
                <w:sz w:val="1"/>
                <w:szCs w:val="1"/>
                <w:color w:val="auto"/>
              </w:rPr>
            </w:pPr>
          </w:p>
        </w:tc>
      </w:tr>
      <w:tr>
        <w:trPr>
          <w:trHeight w:val="122"/>
        </w:trPr>
        <w:tc>
          <w:tcPr>
            <w:tcW w:w="42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w:t>
            </w:r>
          </w:p>
        </w:tc>
        <w:tc>
          <w:tcPr>
            <w:tcW w:w="8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359,211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72,339,430</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(72,698,641)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2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service </w:t>
            </w:r>
            <w:r>
              <w:rPr>
                <w:rFonts w:ascii="Times New Roman" w:cs="Times New Roman" w:eastAsia="Times New Roman" w:hAnsi="Times New Roman"/>
                <w:sz w:val="20"/>
                <w:szCs w:val="20"/>
                <w:color w:val="auto"/>
                <w:vertAlign w:val="superscript"/>
              </w:rPr>
              <w:t>(3)</w:t>
            </w:r>
          </w:p>
        </w:tc>
        <w:tc>
          <w:tcPr>
            <w:tcW w:w="840" w:type="dxa"/>
            <w:vAlign w:val="bottom"/>
            <w:gridSpan w:val="3"/>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1,416,369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1,525,153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938,100</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(3,879,622)</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14,837,963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75,225,152</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91,810,384</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(76,578,263)</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105,295,236</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(38,022)</w:t>
            </w: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(14,872,314)</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(42,256,868)</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(18,544,042)</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(75,711,246)</w:t>
            </w:r>
          </w:p>
        </w:tc>
        <w:tc>
          <w:tcPr>
            <w:tcW w:w="0" w:type="dxa"/>
            <w:vAlign w:val="bottom"/>
          </w:tcPr>
          <w:p>
            <w:pPr>
              <w:spacing w:after="0"/>
              <w:rPr>
                <w:sz w:val="1"/>
                <w:szCs w:val="1"/>
                <w:color w:val="auto"/>
              </w:rPr>
            </w:pPr>
          </w:p>
        </w:tc>
      </w:tr>
      <w:tr>
        <w:trPr>
          <w:trHeight w:val="121"/>
        </w:trPr>
        <w:tc>
          <w:tcPr>
            <w:tcW w:w="42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(72,698,641)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72,698,641</w:t>
            </w: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(1,453,656)</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(2,270,346)</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(155,620)</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3,879,622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(16,325,970)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(44,527,214)</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(91,398,303)</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76,578,263</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(75,711,246)</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(38,022)</w:t>
            </w: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(1,488,007)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30,697,938</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412,081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29,583,990</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 (losses) from subsidiaries and VIEs </w:t>
            </w:r>
            <w:r>
              <w:rPr>
                <w:rFonts w:ascii="Times New Roman" w:cs="Times New Roman" w:eastAsia="Times New Roman" w:hAnsi="Times New Roman"/>
                <w:sz w:val="17"/>
                <w:szCs w:val="17"/>
                <w:color w:val="auto"/>
                <w:vertAlign w:val="superscript"/>
              </w:rPr>
              <w:t>(2)</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30,071,305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29,362,928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55,384</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(59,489,618)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 net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(335,674)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4,658,054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1,852,504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(41,119)</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6,133,765</w:t>
            </w:r>
          </w:p>
        </w:tc>
        <w:tc>
          <w:tcPr>
            <w:tcW w:w="0" w:type="dxa"/>
            <w:vAlign w:val="bottom"/>
          </w:tcPr>
          <w:p>
            <w:pPr>
              <w:spacing w:after="0"/>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29,697,609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32,532,975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32,605,826</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370,962</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(59,489,618)</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35,717,755</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(1,895,096)</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(3,372,468)</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(193,844)</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(5,461,408)</w:t>
            </w:r>
          </w:p>
        </w:tc>
        <w:tc>
          <w:tcPr>
            <w:tcW w:w="0" w:type="dxa"/>
            <w:vAlign w:val="bottom"/>
          </w:tcPr>
          <w:p>
            <w:pPr>
              <w:spacing w:after="0"/>
              <w:rPr>
                <w:sz w:val="1"/>
                <w:szCs w:val="1"/>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29,697,609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30,637,879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29,233,358</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177,118</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(59,489,618)</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30,256,347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NetEase,</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2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(255,519)</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707,587</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(40,202,699)</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67,459,864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27,709,233</w:t>
            </w:r>
          </w:p>
        </w:tc>
        <w:tc>
          <w:tcPr>
            <w:tcW w:w="0" w:type="dxa"/>
            <w:vAlign w:val="bottom"/>
          </w:tcPr>
          <w:p>
            <w:pPr>
              <w:spacing w:after="0"/>
              <w:rPr>
                <w:sz w:val="1"/>
                <w:szCs w:val="1"/>
                <w:color w:val="auto"/>
              </w:rPr>
            </w:pPr>
          </w:p>
        </w:tc>
      </w:tr>
      <w:tr>
        <w:trPr>
          <w:trHeight w:val="126"/>
        </w:trPr>
        <w:tc>
          <w:tcPr>
            <w:tcW w:w="42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820,545</w:t>
            </w: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66,150,273</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(66,970,818)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9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29,094,971</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(29,094,971)</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2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(3,478,205)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3,175,860</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299,452</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w:t>
            </w: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(252,626)</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27,144,898</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29,123,434</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788,498</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(29,094,971)</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27,709,233</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(10,434,166)</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3,136,494</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(71,832)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(7,369,727)</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(6,013,061)</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(33,737,997)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(1,356,487)</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41,107,545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2,501,060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8,292,517</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668,856</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(11,462,433)</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(1,912)</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(31,000)</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(3,512,224)</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(35,881,558)</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2,417,863</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(71,832)</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29,678,024</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(7,369,727)</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(21,326,822)</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6,636,050</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4,505,614</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(52,541)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(10,237,699)</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(29,094,971)</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29,094,971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33,461,057</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7,168,199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276,940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201,349</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(41,107,545)</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(8,292,517)</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(2,862,847)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(306,797)</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11,462,433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31,000</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1,912</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(32,912)</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3,841,718</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10,972,402</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(24,310,777)</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(157,989)</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(583,053)</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(10,237,699)</w:t>
            </w:r>
          </w:p>
        </w:tc>
        <w:tc>
          <w:tcPr>
            <w:tcW w:w="0" w:type="dxa"/>
            <w:vAlign w:val="bottom"/>
          </w:tcPr>
          <w:p>
            <w:pPr>
              <w:spacing w:after="0"/>
              <w:rPr>
                <w:sz w:val="1"/>
                <w:szCs w:val="1"/>
                <w:color w:val="auto"/>
              </w:rPr>
            </w:pPr>
          </w:p>
        </w:tc>
      </w:tr>
      <w:tr>
        <w:trPr>
          <w:trHeight w:val="385"/>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NetEase,</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(354,694)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475,946</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(37,115,437)</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72,325,460</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35,331,275</w:t>
            </w:r>
          </w:p>
        </w:tc>
        <w:tc>
          <w:tcPr>
            <w:tcW w:w="0" w:type="dxa"/>
            <w:vAlign w:val="bottom"/>
          </w:tcPr>
          <w:p>
            <w:pPr>
              <w:spacing w:after="0"/>
              <w:rPr>
                <w:sz w:val="1"/>
                <w:szCs w:val="1"/>
                <w:color w:val="auto"/>
              </w:rPr>
            </w:pPr>
          </w:p>
        </w:tc>
      </w:tr>
      <w:tr>
        <w:trPr>
          <w:trHeight w:val="126"/>
        </w:trPr>
        <w:tc>
          <w:tcPr>
            <w:tcW w:w="42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411,369</w:t>
            </w: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72,887,298</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(73,298,667)</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9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2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(502,444)</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(137,577)</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639,545</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w:t>
            </w: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(354,218)</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26,840,819</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35,634,284</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(333,662)</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(26,455,948)</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35,331,275</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(3,584,348)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(13,375,849)</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(82,645)</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(17,043,431)</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(5,100,814)</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(32,331,958)</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(13,748,357)</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51,181,129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246,020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7,004,819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1,200,611</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(8,451,450)</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(347,375)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(17,100)</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364,475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(4,855,383)</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(29,258,862)</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(25,940,695)</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(82,645)</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43,094,154</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(17,043,431)</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(19,980,650)</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(6,357,771)</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4,855,694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15,673</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(21,467,054)</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32,327,958</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18,639,436</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209,735</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(51,181,129)</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(7,004,819)</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(1,184,057)</w:t>
            </w: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(262,574)</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8,451,450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17,100</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347,375</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(364,475)</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5,342,489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11,114,708</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(21,248,879)</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(37,166)</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(16,638,206)</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(21,467,054)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2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(20,988)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2,140,247</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(37,271,070)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74,828,624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39,676,813</w:t>
            </w:r>
          </w:p>
        </w:tc>
        <w:tc>
          <w:tcPr>
            <w:tcW w:w="0" w:type="dxa"/>
            <w:vAlign w:val="bottom"/>
          </w:tcPr>
          <w:p>
            <w:pPr>
              <w:spacing w:after="0"/>
              <w:rPr>
                <w:sz w:val="1"/>
                <w:szCs w:val="1"/>
                <w:color w:val="auto"/>
              </w:rPr>
            </w:pPr>
          </w:p>
        </w:tc>
      </w:tr>
      <w:tr>
        <w:trPr>
          <w:trHeight w:val="126"/>
        </w:trPr>
        <w:tc>
          <w:tcPr>
            <w:tcW w:w="424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259,015</w:t>
            </w: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73,526,878</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(73,785,893)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9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24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228,056</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(117,507)</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(65,495)</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(45,054)</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companies</w:t>
            </w: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207,068</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33,048,689</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36,190,313</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997,677</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(30,766,934)</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39,676,813</w:t>
            </w:r>
          </w:p>
        </w:tc>
        <w:tc>
          <w:tcPr>
            <w:tcW w:w="0" w:type="dxa"/>
            <w:vAlign w:val="bottom"/>
          </w:tcPr>
          <w:p>
            <w:pPr>
              <w:spacing w:after="0"/>
              <w:rPr>
                <w:sz w:val="1"/>
                <w:szCs w:val="1"/>
                <w:color w:val="auto"/>
              </w:rPr>
            </w:pPr>
          </w:p>
        </w:tc>
      </w:tr>
      <w:tr>
        <w:trPr>
          <w:trHeight w:val="142"/>
        </w:trPr>
        <w:tc>
          <w:tcPr>
            <w:tcW w:w="42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(1,633,126)</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19,784,580</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(234,760)</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17,916,402</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(6,437,272)</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(34,610,921)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(14,876,404)</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(1,438,000)</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57,362,597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3,634,436</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11,781,140</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16,200,334</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(31,615,910)</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(22,250)</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(2,803,484)</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(24,462,907)</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21,086,260</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(1,672,760)</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25,769,293</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17,916,402</w:t>
            </w:r>
          </w:p>
        </w:tc>
        <w:tc>
          <w:tcPr>
            <w:tcW w:w="0" w:type="dxa"/>
            <w:vAlign w:val="bottom"/>
          </w:tcPr>
          <w:p>
            <w:pPr>
              <w:spacing w:after="0"/>
              <w:rPr>
                <w:sz w:val="1"/>
                <w:szCs w:val="1"/>
                <w:color w:val="auto"/>
              </w:rPr>
            </w:pPr>
          </w:p>
        </w:tc>
      </w:tr>
      <w:tr>
        <w:trPr>
          <w:trHeight w:val="142"/>
        </w:trPr>
        <w:tc>
          <w:tcPr>
            <w:tcW w:w="42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third-parties</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(20,630,929)</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(919,224)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(5,769,454)</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(16,095)</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(27,335,702)</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34,610,921</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20,436,682</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876,994</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(57,362,597)</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(11,529,250)</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(19,187,330)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(251,889)</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(647,441)</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31,615,910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2,450,742</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352,734</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(35,350,277)</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213,458</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4,997,641</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(27,335,702)</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17" w:lineRule="exact"/>
        <w:rPr>
          <w:sz w:val="20"/>
          <w:szCs w:val="20"/>
          <w:color w:val="auto"/>
        </w:rPr>
      </w:pPr>
    </w:p>
    <w:p>
      <w:pPr>
        <w:ind w:left="680" w:right="26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intercompany technical consulting and related service charges at the consolidation level.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other intercompany activities at the consolidation level.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dividends payment at the consolidation level. </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intra-Group loans related cash activities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other investing and financing activities among NetEase, Inc., other subsidiaries, primary beneficiary of VIEs, and VIEs and their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NetEase, Inc.’s ability to pay dividends, if any, to its shareholders and ADS holders and to service any debt it may incur will depend upon dividends paid by our China mainland subsidiaries. See “—Management of Capital Resources”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regulatory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China mainland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In addition, our China mainland subsidiaries are required to make appropriations to certain statutory reserve funds, which are not distributable as cash dividends except in the event of a solvent liquidation of the companies.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10.E. “Additional Information—Taxation.”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games and related value-added services. We will seek to continually improve and enhance our existing services to respond to rapidly evolving competitive and technological conditions. For the years 2022, 2023 and 2024, we spent RMB15.0 billion, RMB16.5 billion and RMB17.5 billion (US$2.4 billion), respectively, on R&amp;D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our management to make estimates and assumptions that affect the amounts reported in the consolidated financial statements, which have been prepared in accordance with U.S. GAAP.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please see “Notes to the Consolidated Financial Statements—Note 2 Principal Accounting Policies.” You should read the following description of critical accounting estimates in conjunction with our consolidated financial statements and other disclosures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 of Average Playing Period of Paying Players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mobile games and PC games. We are the principal of substantially all games we operate, including both in-house developed games and licensed games. As all these games are hosted on our servers, we have the pricing discretion, and are responsible for the sale and marketing of the games as well as any related customer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of our game revenues are generated from the sale of in-game virtual items and revenues of certain online games in-game virtual items are recognized ratably over the respective estimated average playing period of paying players in these games.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Nature of Estimates Required – average playing period of paying players. The average playing period of paying players is subjected to period assessment. Considering the events or circumstances may change that indicate the change of the estimate, we assessed the average playing period of paying players on a quarterly basis. We make a qualitative and quantitative assessment to determine the average playing period of paying players for each game. If a qualitative and quantitative assessment identifies the change of the average playing period of paying players based on newly available paying players information, we may prospectively apply the change of estimate.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Assumptions Used. Changes in assumptions or estimates can materially affect average playing period of paying players and, therefore, can affect the test results. The following are key assumptions we use in making the average playing period of paying players for each game:</w:t>
      </w:r>
    </w:p>
    <w:p>
      <w:pPr>
        <w:spacing w:after="0" w:line="176" w:lineRule="exact"/>
        <w:rPr>
          <w:sz w:val="20"/>
          <w:szCs w:val="20"/>
          <w:color w:val="auto"/>
        </w:rPr>
      </w:pPr>
    </w:p>
    <w:p>
      <w:pPr>
        <w:jc w:val="both"/>
        <w:ind w:left="1000" w:hanging="317"/>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Players’ churn rates. A churn rate is calculated starting from the point-in-time when related in-game virtual items are delivered to the paying players’ accounts and track populations of paying players who made their initial purchases during the interval period, or the Cohort. Then, we track the number of paying players from each Cohort who left subsequent to their initial purchase. We make assumptions about the future players’ churn rate to the ending point of a paying player’s lifespan beyond the date for which we observed and extrapolate the actual observed churn rate to arrive at an estimated weighted average playing period for paying players of the selected games.</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between new games and existing games. We make assumption regarding similarities between new games and existing games with sufficient historical data. These assumptions include, but not limited to types of games and characteristics of targeted players.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periodic reviews of the estimate, the assumptions are evaluated accordingly considering historical players’ churn rates, similarities between new games and existing games and management judgment. Updates to these assumptions will impact the estimate of average playing period of paying players and the revenue recognized accordingly. If the estimate of average playing period of paying players is extended, the revenue will be recognized over a longer period and vice versa. See Note 2(c)(i) of the Notes to the Consolidated Financial Statements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Long-term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investments in common stock or in-substance commons stocks issued by privately-held companies over which we did not have significant influence, and investments in privately-held companies’ shares that are not common stock or in-substance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issuer(referred to as Measurement Alternative).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 Impairment assessment of long-term equity investments without readily determinable fair values. </w:t>
      </w:r>
      <w:r>
        <w:rPr>
          <w:rFonts w:ascii="Times New Roman" w:cs="Times New Roman" w:eastAsia="Times New Roman" w:hAnsi="Times New Roman"/>
          <w:sz w:val="18"/>
          <w:szCs w:val="18"/>
          <w:color w:val="auto"/>
        </w:rPr>
        <w:t>We regularly evaluate the impairment of the investments in privately-held companies without readily determinable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or when events or circumstances indicate that the carrying amount may not be recoverable. For equity investments without readily determinable fair value for which we have elected to use the measurement alternative, we make a qualitative assessment of whether the investment is impaired periodically, or when events or circumstances indicate that the carrying amount may not be recoverable, applying significant judgement in considering various events and factors.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 Impairment assessment. </w:t>
      </w:r>
      <w:r>
        <w:rPr>
          <w:rFonts w:ascii="Times New Roman" w:cs="Times New Roman" w:eastAsia="Times New Roman" w:hAnsi="Times New Roman"/>
          <w:sz w:val="18"/>
          <w:szCs w:val="18"/>
          <w:color w:val="auto"/>
        </w:rPr>
        <w:t>The approach we used to assess investment impairment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assumptions and management judgement in considering various factors and events. The events or circumstances and factors we consider for the impairment assessment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Many of the factors used in assessing performance and financial position of the investee are outside the control of management, and these assumptions and judgement may change in future periods.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 Fair value of the investees. </w:t>
      </w:r>
      <w:r>
        <w:rPr>
          <w:rFonts w:ascii="Times New Roman" w:cs="Times New Roman" w:eastAsia="Times New Roman" w:hAnsi="Times New Roman"/>
          <w:sz w:val="18"/>
          <w:szCs w:val="18"/>
          <w:color w:val="auto"/>
        </w:rPr>
        <w:t>If the assessment indicates that there is an impairment indicator,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estimate the investment’s fair value in accordance with the principles of ASC 820. We measure the fair value of the investees considering the severity and duration of the impairment indicator and the existence of any positive or mitigating factors or based on income approach or market approach.</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approach uses cash flow projections. Inherent in the investees’ development of cash flow projections are assumptions and estimates derived from a review of the investees’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approach is another method for measuring the fair value of the investment which relies on the market value (i.e., market capitalization) of companies that are engaged in the same or similar investment of investees being evaluated. In addition, to the extent available we also consider third-party valuations that were prepared for other business purposes.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Assumptions used in Income Approach: </w:t>
      </w:r>
      <w:r>
        <w:rPr>
          <w:rFonts w:ascii="Times New Roman" w:cs="Times New Roman" w:eastAsia="Times New Roman" w:hAnsi="Times New Roman"/>
          <w:sz w:val="18"/>
          <w:szCs w:val="18"/>
          <w:color w:val="auto"/>
        </w:rPr>
        <w:t>The following are key assumptions we use in making cash flow projections:</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projections. </w:t>
      </w:r>
      <w:r>
        <w:rPr>
          <w:rFonts w:ascii="Times New Roman" w:cs="Times New Roman" w:eastAsia="Times New Roman" w:hAnsi="Times New Roman"/>
          <w:sz w:val="18"/>
          <w:szCs w:val="18"/>
          <w:color w:val="auto"/>
        </w:rPr>
        <w:t>We make assumptions about the investees’ business in the marketplace. These assumptions drive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assumptions for each revenue streams. We also make assumptions about cost levels (e.g., capacity utilization, cost performance). These projections are derived using investees’ business plan forecasts.</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growth rate. </w:t>
      </w:r>
      <w:r>
        <w:rPr>
          <w:rFonts w:ascii="Times New Roman" w:cs="Times New Roman" w:eastAsia="Times New Roman" w:hAnsi="Times New Roman"/>
          <w:sz w:val="18"/>
          <w:szCs w:val="18"/>
          <w:color w:val="auto"/>
        </w:rPr>
        <w:t>A growth rate is used to calculate the terminal value of the business and is added to the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debt-free interim cash flows. The growth rate is the expected rate at which the investees’ business unit’s earnings stream is projected to grow beyond the planning period.</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When measuring possible impairment, future cash flows are discounted at a rate that is consistent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weighted-average cost of capital that we anticipate a potential market participant would use. Weighted-average cost of capital is an estimate of the overall risk-adjusted pre-tax rate of return expected by equity and debt holders of a business enterprise.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projections. </w:t>
      </w:r>
      <w:r>
        <w:rPr>
          <w:rFonts w:ascii="Times New Roman" w:cs="Times New Roman" w:eastAsia="Times New Roman" w:hAnsi="Times New Roman"/>
          <w:sz w:val="18"/>
          <w:szCs w:val="18"/>
          <w:color w:val="auto"/>
        </w:rPr>
        <w:t>Assumptions regarding general economic conditions are included in and affect our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industry sales and pricing estimates for the investees’ business. These macroeconomic assumptions include, but are not limited to, regulatory, economic, or technological development, inflation, interest rates, customer preference, and foreign currency exchange rates.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Assumptions used in Market Approach: </w:t>
      </w:r>
      <w:r>
        <w:rPr>
          <w:rFonts w:ascii="Times New Roman" w:cs="Times New Roman" w:eastAsia="Times New Roman" w:hAnsi="Times New Roman"/>
          <w:sz w:val="18"/>
          <w:szCs w:val="18"/>
          <w:color w:val="auto"/>
        </w:rPr>
        <w:t>The following are key assumptions we use in market approach:</w:t>
      </w:r>
    </w:p>
    <w:p>
      <w:pPr>
        <w:spacing w:after="0" w:line="225" w:lineRule="exact"/>
        <w:rPr>
          <w:sz w:val="20"/>
          <w:szCs w:val="20"/>
          <w:color w:val="auto"/>
        </w:rPr>
      </w:pPr>
    </w:p>
    <w:p>
      <w:pPr>
        <w:jc w:val="both"/>
        <w:ind w:left="1000" w:right="20" w:hanging="317"/>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Selection of comparable companies and multiples. </w:t>
      </w:r>
      <w:r>
        <w:rPr>
          <w:rFonts w:ascii="Times New Roman" w:cs="Times New Roman" w:eastAsia="Times New Roman" w:hAnsi="Times New Roman"/>
          <w:sz w:val="18"/>
          <w:szCs w:val="18"/>
          <w:color w:val="auto"/>
        </w:rPr>
        <w:t>We make selection of listed comparable companies and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by taking into account of the main businesses, the scale and the business performance, development stage, product mix, financial position of these companies and the investees.</w:t>
      </w:r>
    </w:p>
    <w:p>
      <w:pPr>
        <w:spacing w:after="0" w:line="17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and probabilities of different scenarios. </w:t>
      </w:r>
      <w:r>
        <w:rPr>
          <w:rFonts w:ascii="Times New Roman" w:cs="Times New Roman" w:eastAsia="Times New Roman" w:hAnsi="Times New Roman"/>
          <w:sz w:val="18"/>
          <w:szCs w:val="18"/>
          <w:color w:val="auto"/>
        </w:rPr>
        <w:t>Timing and probabilities of different scenarios such as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and IPO are based on our best estimate.</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Estimated volatility rate. </w:t>
      </w:r>
      <w:r>
        <w:rPr>
          <w:rFonts w:ascii="Times New Roman" w:cs="Times New Roman" w:eastAsia="Times New Roman" w:hAnsi="Times New Roman"/>
          <w:sz w:val="18"/>
          <w:szCs w:val="18"/>
          <w:color w:val="auto"/>
        </w:rPr>
        <w:t>Estimated volatility rate was estimated based on annualized standard deviation of the daily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in historical stock prices of comparable companies with a time horizon close to the expected term.</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We determined the risk-free rate based on the interest rate of different government bonds with a time horizon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to expected term. The selections of government bonds are made mainly based on the financing currency of the investee and the country where the main operation of the investee take place.</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for lack of marketability. </w:t>
      </w:r>
      <w:r>
        <w:rPr>
          <w:rFonts w:ascii="Times New Roman" w:cs="Times New Roman" w:eastAsia="Times New Roman" w:hAnsi="Times New Roman"/>
          <w:sz w:val="18"/>
          <w:szCs w:val="18"/>
          <w:color w:val="auto"/>
        </w:rPr>
        <w:t>The discount for lack of marketability, or the DLOM, was estimated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option-pricing method. Under this method, the cost of put option, which can hedge the price change before the privately held share can be sold, was considered as a basis to determine the lack of marketability discount.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long-term equity investments without readily determinable fair values, we record an impairment in the consolidated statements of operations and comprehensive income to the extent the carrying amount exceeds the fair value.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assumptions or estimates can materially affect the fair value measurement of the investment and, therefore, can affect the test results. For the year ended December 31, 2024, an aggregate of RMB1.0 billion in investment impairments were recorded. See Note 11 of Notes to the Consolidated Financial Statements 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80" w:hanging="672"/>
        <w:spacing w:after="0"/>
        <w:tabs>
          <w:tab w:leader="none" w:pos="6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names of our directors and executive officers, their ages as of the date of the filing of this annual report and the principal positions with NetEase held by them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8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Lei Ding</w:t>
            </w:r>
          </w:p>
        </w:tc>
        <w:tc>
          <w:tcPr>
            <w:tcW w:w="1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Alice Yu-Fen Cheng </w:t>
            </w:r>
            <w:r>
              <w:rPr>
                <w:rFonts w:ascii="Times New Roman" w:cs="Times New Roman" w:eastAsia="Times New Roman" w:hAnsi="Times New Roman"/>
                <w:sz w:val="25"/>
                <w:szCs w:val="25"/>
                <w:color w:val="auto"/>
                <w:vertAlign w:val="superscript"/>
              </w:rPr>
              <w:t>(1)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Grace Hui Tang </w:t>
            </w:r>
            <w:r>
              <w:rPr>
                <w:rFonts w:ascii="Times New Roman" w:cs="Times New Roman" w:eastAsia="Times New Roman" w:hAnsi="Times New Roman"/>
                <w:sz w:val="25"/>
                <w:szCs w:val="25"/>
                <w:color w:val="auto"/>
                <w:vertAlign w:val="superscript"/>
              </w:rPr>
              <w:t>(1)</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Joseph Tze Kay Tong </w:t>
            </w:r>
            <w:r>
              <w:rPr>
                <w:rFonts w:ascii="Times New Roman" w:cs="Times New Roman" w:eastAsia="Times New Roman" w:hAnsi="Times New Roman"/>
                <w:sz w:val="25"/>
                <w:szCs w:val="25"/>
                <w:color w:val="auto"/>
                <w:vertAlign w:val="superscript"/>
              </w:rPr>
              <w:t>(1)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Man Kit Leung</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Yingfeng Ding</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W. Boltz, Jr.</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Ying Li</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Head of Financial Reporting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2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Alice Cheng, Grace Tang and Joseph Tong are members of the audit, compensation, nominating and environmental, social and governance (ESG)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Lei Ding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William Lei Ding, </w:t>
      </w:r>
      <w:r>
        <w:rPr>
          <w:rFonts w:ascii="Times New Roman" w:cs="Times New Roman" w:eastAsia="Times New Roman" w:hAnsi="Times New Roman"/>
          <w:sz w:val="18"/>
          <w:szCs w:val="18"/>
          <w:color w:val="auto"/>
        </w:rPr>
        <w:t>our founder, has served as a director of our company since July 1999 and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for the NetEase group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Alice Yu-Fen Cheng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Alice Cheng</w:t>
      </w:r>
      <w:r>
        <w:rPr>
          <w:rFonts w:ascii="Times New Roman" w:cs="Times New Roman" w:eastAsia="Times New Roman" w:hAnsi="Times New Roman"/>
          <w:sz w:val="18"/>
          <w:szCs w:val="18"/>
          <w:color w:val="auto"/>
        </w:rPr>
        <w:t>, has served as a director of our company since June 2007. Ms. Cheng has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non-executive director of J&amp;T Global Express Limited since May 2020 and as a member of its audit committee since the company listed on the Hong Kong Stock Exchange in October 2023 (HKEX: 1519).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 of Business Administration from the Thunderbird School of Global Management in Arizona in 2003. Ms. Cheng is also licensed as a certified public accountant in Taiwan and the PRC.</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Grace Hui Tang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Grace Tang</w:t>
      </w:r>
      <w:r>
        <w:rPr>
          <w:rFonts w:ascii="Times New Roman" w:cs="Times New Roman" w:eastAsia="Times New Roman" w:hAnsi="Times New Roman"/>
          <w:sz w:val="18"/>
          <w:szCs w:val="18"/>
          <w:color w:val="auto"/>
        </w:rPr>
        <w:t>, has served as a director of our company since July 2022. Ms. Tang worked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for more than 30 years, including approximately 19 years as an audit partner in Hong Kong and Chinese mainland, until her retirement in 2020. At PricewaterhouseCoopers, Ms. Tang was responsible for the audits of numerous public and private companies in Hong Kong, China mainland, the United States and other jurisdictions. Since 2009, she has also been a professor at the Guanghua School of Management of Peking University where she teaches courses on accounting and auditing for the graduate school of the accounting department and on career development. Since September 2022, Ms. Tang has been teaching accounting and auditing courses to foreign students at Beijing Foreign Studies University as a professor. In addition, Ms. Tang serves as an independent director of Brii Biosciences Ltd. (HKEX: 2137), Elkem ASA (OSLO: ELK), ECARX Holdings Inc. (Nasdaq: ECX) and Pirelli &amp; C.S.p.A. (PIRC.MI). Ms. Tang received a bachelor’s degree in accounting from the University of Utah and a Master of Business Administration degree from Utah State University. Ms. Tang is a U.S. certified public accountant and a fellow of the Hong Kong Institute of Certified Public Accountants.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Joseph Tze Kay Tong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Joseph Tong</w:t>
      </w:r>
      <w:r>
        <w:rPr>
          <w:rFonts w:ascii="Times New Roman" w:cs="Times New Roman" w:eastAsia="Times New Roman" w:hAnsi="Times New Roman"/>
          <w:sz w:val="18"/>
          <w:szCs w:val="18"/>
          <w:color w:val="auto"/>
        </w:rPr>
        <w:t>, has served as a director of our company since March 2003. From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2003 to November 2021, Mr. Tong was a director of Parworld Investment Management Limited, which provides financial and investment advisory services. From December 2002 until April 2004, Mr. Tong was engaged in establishing offices and operations in Hong Kong and China mainland, setting up accounting and internal control policies and overseeing the overall operations for TLM Apparel Co., Ltd., a garment trading company operating in Hong Kong and China mainland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an associate member of the Hong Kong Institute of Certified Public Accountants.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Michael Man Kit Leung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Michael Leung</w:t>
      </w:r>
      <w:r>
        <w:rPr>
          <w:rFonts w:ascii="Times New Roman" w:cs="Times New Roman" w:eastAsia="Times New Roman" w:hAnsi="Times New Roman"/>
          <w:sz w:val="18"/>
          <w:szCs w:val="18"/>
          <w:color w:val="auto"/>
        </w:rPr>
        <w:t>, has served as a director of our company since July 2002. Mr. Leung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responsible officer of Grand Moore Capital Limited from September 2019 to November 2021.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received a Bachelor’s Degree in Social Sciences from the University of Hong Kong in October 1977 with a major in Accounting, Management and Statistics.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Yingfeng Ding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Ding Ding</w:t>
      </w:r>
      <w:r>
        <w:rPr>
          <w:rFonts w:ascii="Times New Roman" w:cs="Times New Roman" w:eastAsia="Times New Roman" w:hAnsi="Times New Roman"/>
          <w:sz w:val="18"/>
          <w:szCs w:val="18"/>
          <w:color w:val="auto"/>
        </w:rPr>
        <w:t>, has served as Executive Vice President for the NetEase group since 2016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currently in charge of our Interactive Entertainment Group, a part of our online games division. Mr. Ding previously served as Vice President for the NetEase group, responsible for the product development, operation and management of our online games division from 2011 to 2016. Mr. Ding has more than 25 years of experience in game development and design. Since joining NetEase in 2002, Mr. Ding has also led the design and development of several signature products of the NetEase group, including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Paul W. Boltz, Jr. </w:t>
      </w:r>
      <w:r>
        <w:rPr>
          <w:rFonts w:ascii="Times New Roman" w:cs="Times New Roman" w:eastAsia="Times New Roman" w:hAnsi="Times New Roman"/>
          <w:sz w:val="18"/>
          <w:szCs w:val="18"/>
          <w:color w:val="auto"/>
        </w:rPr>
        <w:t>has served as General Counsel for the NetEase group since January 2024. Mr. Boltz previously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General Counsel from February 2023 to January 2024. Prior to joining NetEase, he was a partner with the international law firms of Gibson, Dunn &amp; Crutcher, Ropes &amp; Gray (where he was the managing partner of their Hong Kong office) and Morrison &amp; Foerster in Hong Kong. Mr. Boltz has 25 years of experience practicing law in Asia, with a particular focus on capital markets, M&amp;A, joint ventures and public company compliance for technology companies, including the NetEase group since its listing on Nasdaq in 2000. Mr. Boltz is qualified to practice law in Pennsylvania and New Jersey and a practicing solicitor in Hong Kong. He received his Bachelor of Arts degree in Economics from the University of Pennsylvania and a Juris Doctor degree from Villanova University School of Law.</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Sarah Ying Li, </w:t>
      </w:r>
      <w:r>
        <w:rPr>
          <w:rFonts w:ascii="Times New Roman" w:cs="Times New Roman" w:eastAsia="Times New Roman" w:hAnsi="Times New Roman"/>
          <w:sz w:val="18"/>
          <w:szCs w:val="18"/>
          <w:color w:val="auto"/>
        </w:rPr>
        <w:t>also known as</w:t>
      </w:r>
      <w:r>
        <w:rPr>
          <w:rFonts w:ascii="Times New Roman" w:cs="Times New Roman" w:eastAsia="Times New Roman" w:hAnsi="Times New Roman"/>
          <w:sz w:val="18"/>
          <w:szCs w:val="18"/>
          <w:i w:val="1"/>
          <w:iCs w:val="1"/>
          <w:color w:val="auto"/>
        </w:rPr>
        <w:t xml:space="preserve"> Sarah Li</w:t>
      </w:r>
      <w:r>
        <w:rPr>
          <w:rFonts w:ascii="Times New Roman" w:cs="Times New Roman" w:eastAsia="Times New Roman" w:hAnsi="Times New Roman"/>
          <w:sz w:val="18"/>
          <w:szCs w:val="18"/>
          <w:color w:val="auto"/>
        </w:rPr>
        <w:t>, has served as Head of Financial Reporting for the NetEase group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Li previously served as our Group Financial Controller from April 2016. Prior to joining NetEase, Ms. Li worked in international audit firms. She worked at KPMG from January 2006 to April 2016, culminating in the position of senior audit manager and department head. She also worked at PricewaterhouseCoopers from September 2004 to January 2006 as an audit associate. Ms. Li received a Bachelor of Arts (English (International Business)) degree from Guangdong University of Foreign Studies in 2004. She is a member of the American Institute of Certified Public Accountants, the Association of Chartered Certified Accountants and the Chinese Institute of Certified Public Accountants.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Among Directors or Executive Officers; Right to Nominate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 of our company. None of our directors were nominated pursuant to a contractual or other right.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we paid our executive officers and directors aggregate cash compensation of RMB466.1 million (US$63.8 million). In 2024, we also granted restricted share unit awards under our 2019 Share Plan to our executive officers, which, if vested, represented less than 1% of our total outstanding ordinary shares as of December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separately set aside or accrued any amount to provide pension, retirement or other similar benefits to our executive officers and directors, other than pursuant to relevant statutory requirements. Our PRC subsidiaries and the consolidated VIEs are required by law to make contributions equal to certain percentages of each employee’s salary for his or her pension insurance, medical insurance, unemployment insurance and other statutory benefits and a housing provident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current directors and executive officers have entered into indemnification agreements in which we agree to indemnify, to the fullest extent allowed by Cayman Islands law, our charter documents or other applicable law, those persons from any liability or expenses, unless the liability or expense arises from such person’s own willful negligence or willful default. The indemnification agreements also specify the procedures to be followed with respect to indemnification.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and related agreements with each of our executive officers. These agreements include: (i) a covenant that prohibits the executive officer from engaging in any activities that compete with our business during and for twelve (12) months after their employment with us, (ii) a requirement that executive officers assign all rights in company-related inventions to us and to keep our proprietary information confidential, and (iii) provisions for severance payments in the event the employment of the executive officer is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two share incentive plans, which we refer to collectively in this annual report as our “Share Plans.” Our board approved the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 Our board subsequently approved an amendment and restatement of the 2019 RSU Plan in February 2023 to enable share option awards to be granted pursuant to such plan and make certain other amendments and renamed it as the Amended and Restated 2019 Share Incentive Plan (referred to in this annual report as the 2019 Share Plan).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our Share Plans is to attract and retain the best available personnel, to provide additional incentive to employees, directors and consultants and to promote the success of our business. The Share Plans provide for the granting of incentive awards of restricted share units, which may or may not be granted with dividend equivalent rights, and the 2019 Share Plan also provides for the granting of share option awards.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 Plans are not subject to the Employee Retirement Income Security Act of 1974, as amended, and neither of the Share Plans a “qualified plan” within the meaning of Section 401(a) of the Code.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designated our compensation committee to administer the Share Plans, and it may designate one or more of our officers to exercise its authority thereunder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Subject to the Share Plans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maximum aggregate number of our ordinary shares which were issuable pursuant to all awards under the 2009 RSU Plan was 323,694,050 ordinary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aggregate number of our ordinary shares which may be issued pursuant to all awards under the 2019 Share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Share Plan or any other future plan adopted by our board and, if appropriate, our shareholders.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2019 Share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Awards can be issued to participants in the Share Plans, which include employees, directors or consultants of us, our subsidiaries, the VIEs and certain other related entities.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Awards under the Share Plans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under the Share Plans are evidenced by an award agreement which contains, among other things, such provisions concerning the exercise price (in the case of share options), how the award may be settled upon vesting (in the case of restricted share unit awards) and forfeiture upon termination of an award grantee’s service with our company or entities within our group (by reason of death, disability, retirement or otherwise), as have been determined by our board, either acting directly or through our compensation committee or one or more of our officers.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share options which may be granted under the 2019 Share Plan, the exercise price for each award is determined in accordance with the terms of the 2019 Share Plan and stated in the award agreement. The vested portion of an option will expire if not exercised prior to the expiration date of the award as set forth in the award agreement. The 2019 Share Plan provides that the maximum exercisable term of share option awards is ten years from the date of a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Conditions of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Share Plans, our board may at any time terminate, suspend, or amend the Share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Share Plan, amended and restated and effective on February 22, 2023, will expire in February 2033.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Share Plans, awards may not be sold, assigned, transferred, pledged, hypothecated or otherwise disposed of, except by will or by the laws of descent and distribution and during the lifetime of the participants, to the extent and in the manner provided in the award agreement. The Share Plans permit the designation of beneficiaries by holders of awards in the event of the participant’s death. After any such transfer, the original recipient shall continue to remain subject to the withholding tax requirements described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of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ordinary shares shall be delivered under the Share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Equity Incentive Plans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Youdao, our subsidiary, adopted its 2015 Share Incentive Plan, or the 2015 Youdao Plan, in February 2015 (and amended it in April 2018), under which 10,222,222 ordinary shares of Youdao are reserved for issuance. As of March 31, 2025, options to purchase a total of 2,694,185 ordinary shares were outstanding under the 2015 Youdao Plan, and 2,371,225 of such options had vested and become exercisable. Additionally, as of March 31, 2025, restricted share units representing an aggregate of 605,288 shares were outstanding under the 2015 Youdao Plan. In April 2023, Youdao adopted a 2023 Share Incentive Plan, or the 2023 Youdao Plan, under which 5,668,625 shares of Youdao are reserved for issuance. As of March 31, 2025, no options or restricted share units were outstanding under the 2023 Youdao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NetEase Cloud Music, our subsidiary, adopted its 2016 Share Incentive Plan, or the 2016 NetEase Cloud Music Plan, in May 2016, under which 15,000,000 ordinary shares of NetEase Cloud Music are reserved for issuance. As of March 31, 2025, options to purchase a total of 1,258,490 ordinary shares were outstanding under the 2016 NetEase Cloud Music Plan, and 1,038,665 of such options had vested and become exercisable; and restricted share units representing an aggregate of 182,997 shares were outstanding and remain unsettled under the 2016 NetEase Cloud Music Plan, which may be satisfied by new or existing shares of NetEase Cloud Music. Additionally, NetEase Cloud Music adopted the 2022 Restricted Share Unit Plan, or the 2022 NetEase Cloud Music Plan (together with the 2016 NetEase Cloud Music Plan, the “NetEase Cloud Music Plans”) in August 2022 (and as amended from time to time), pursuant to which it may issue up to 10,462,280 new shares. As of March 31, 2025, 4,260,547 restricted share units had been granted under the 2022 NetEase Cloud Music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of our other subsidiaries have adopted their own equity incentive plans, which allow the relevant subsidiaries to grant options or other awards to certain of our employees. The awards under the 2015 Youdao Plan, the NetEase Cloud Music Plans and such other plans expire in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w:t>
      </w:r>
    </w:p>
    <w:p>
      <w:pPr>
        <w:spacing w:after="0" w:line="179" w:lineRule="exact"/>
        <w:rPr>
          <w:sz w:val="20"/>
          <w:szCs w:val="20"/>
          <w:color w:val="auto"/>
        </w:rPr>
      </w:pPr>
    </w:p>
    <w:p>
      <w:pPr>
        <w:ind w:left="680" w:hanging="672"/>
        <w:spacing w:after="0"/>
        <w:tabs>
          <w:tab w:leader="none" w:pos="6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each annual general meeting of our shareholders, our shareholders are asked to elect the directors nominated to serve for the ensuing year until the next annual general meeting of shareholders and until their successors are elected and duly qualified, or until such directors are otherwise vacated in accordance with our company’s memorandum and articles of association. For information regarding the period during which our officers and directors have served in their respective positions, please refer to Item 6.A. “Directors, Senior Management and Employees—Directors and Senior Management.” We have no specific policy with respect to director attendance at our annual general meetings of shareholders, and no director attended the annual general meeting of shareholders held on June 26,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our non-executive directors has been determined by our board to be “independent” under applicable U.S. regulations, as that term is defined in NASDAQ Marketplace Rule 5606(a)(2) and acts as an “independent non-executive director” of our company for the purpose of the Hong Kong Listing Rules. Our company has received an annual confirmation on his/her “independence” from each of the non-executive directors, addressing the factors set out in Rule 3.13 of the Hong Kong Listing Rules, and our board continues to consider all of them to be “independent.”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service contracts with any of our directors which provide for benefits upon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has four committees, the audit committee, the compensation committee, the nominating committee and the ESG committee. Alice Cheng, Grace Tang and Joseph Tong are currently the members of each of these committees. Grace Tang is the chairperson of the audit committee, the compensation committee and the nominating committee. Alice Cheng is the chairperson of the ESG committee. The board of directors has determined that Mr. Joseph Tong is an “audit committee financial expert” as defined by Item 16A. “Audit Committee Financial Expert” of Form 20-F. The board of directors has adopted a written audit committee charter pursuant to which the audit committee is responsible for overseeing our accounting and financial reporting processes, including the appointment, compensation and oversight of the work of our independent auditors, monitoring compliance with our accounting and financial policies, and related legal and regulatory requirements, and evaluating management’s procedures and policies relative to the adequacy of our internal accounting controls. For more information regarding the audit committee, please refer to “Audit Committee Experience and Qualification and Board Oversight” under Item 4.B. “Information on the Company—Business Overview.”</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written compensation committee charter pursuant to which the compensation committee is responsible for, among other things, annually reviewing and approving our corporate goals and objectives relevant to the compensation of our chief executive officer.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the committee may authorize one or more officers of our company to designate the recipients of equity awards created by our company and to determine the number of such equity awards, and the terms thereof, to be received by such recipients). In addition, the committee reviews and approves any new equity compensation plan or any material change to an existing plan where shareholders’ approval has not been obtained.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nominating committee charter pursuant to which the nominating committee is responsible for, among other things, monitoring the size and composition of our board and considering and making recommendations to our board with respect to the nominations or elections of directors of our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2022, our board of directors approved the establishment of ESG committee responsible for coordinating ESG-related issues and providing recommendations to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compensation, nominating and ESG committees are composed solely of non-employee directors, as such term is defined in Rule 16b-3 under the Exchange Act and the board of directors has determined that all such members are “independent” as that term is defined in NASDAQ Marketplace Rule 5605(a)(2).</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interlocking relationships have existed between our board of directors or compensation committee and the board of directors or compensation committee of any other company.</w:t>
      </w:r>
    </w:p>
    <w:p>
      <w:pPr>
        <w:spacing w:after="0" w:line="158" w:lineRule="exact"/>
        <w:rPr>
          <w:sz w:val="20"/>
          <w:szCs w:val="20"/>
          <w:color w:val="auto"/>
        </w:rPr>
      </w:pPr>
    </w:p>
    <w:p>
      <w:pPr>
        <w:ind w:left="680" w:hanging="672"/>
        <w:spacing w:after="0"/>
        <w:tabs>
          <w:tab w:leader="none" w:pos="6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2023 and 2024, we had 31,119, 29,128 and 26,028 full-time employees, respectively. A substantial majority of our employees are based in China. We believe that we have a generally good working relationship with our employees, and we have not experienced any significant labor disputes.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staff as of December 31, 2024. Our R&amp;D staff consisted of 49.0% of our total employees as of December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employees of our company, subsidiaries and the VIEs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7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in this section sets forth certain information known to us with respect to the beneficial ownership as of February 28, 2025 (unless otherwise indicated) by:</w:t>
      </w:r>
    </w:p>
    <w:p>
      <w:pPr>
        <w:spacing w:after="0" w:line="162" w:lineRule="exact"/>
        <w:rPr>
          <w:sz w:val="20"/>
          <w:szCs w:val="20"/>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are beneficial owners of 5% or more of our ordinary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2025, 3,165,991,421 of our ordinary shares were outstanding (excluding 53,573,160 ordinary shares issued to and held by The Bank of New York Mellon, the depositary of our ADS program, which were the ordinary shares underlying our treasury ADSs and were reserved for future delivery upon vesting of share awards granted under our Share Plans).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20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Number of Shares</w:t>
      </w:r>
    </w:p>
    <w:p>
      <w:pPr>
        <w:ind w:left="7940"/>
        <w:spacing w:after="0"/>
        <w:rPr>
          <w:sz w:val="20"/>
          <w:szCs w:val="20"/>
          <w:color w:val="auto"/>
        </w:rPr>
      </w:pPr>
      <w:r>
        <w:rPr>
          <w:rFonts w:ascii="Times New Roman" w:cs="Times New Roman" w:eastAsia="Times New Roman" w:hAnsi="Times New Roman"/>
          <w:sz w:val="14"/>
          <w:szCs w:val="14"/>
          <w:b w:val="1"/>
          <w:bCs w:val="1"/>
          <w:color w:val="auto"/>
        </w:rPr>
        <w:t>Beneficially Owned</w:t>
      </w: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1340" w:type="dxa"/>
            <w:vAlign w:val="bottom"/>
            <w:tcBorders>
              <w:top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w:t>
            </w: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35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Shining Globe International Limited/William Lei Ding</w:t>
            </w:r>
            <w:r>
              <w:rPr>
                <w:rFonts w:ascii="Times New Roman" w:cs="Times New Roman" w:eastAsia="Times New Roman" w:hAnsi="Times New Roman"/>
                <w:sz w:val="26"/>
                <w:szCs w:val="26"/>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1,450,300,000</w:t>
            </w:r>
          </w:p>
        </w:tc>
        <w:tc>
          <w:tcPr>
            <w:tcW w:w="20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45.8 %</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2720" w:type="dxa"/>
            <w:vAlign w:val="bottom"/>
            <w:gridSpan w:val="4"/>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73"/>
        </w:trPr>
        <w:tc>
          <w:tcPr>
            <w:tcW w:w="7200" w:type="dxa"/>
            <w:vAlign w:val="bottom"/>
          </w:tcPr>
          <w:p>
            <w:pPr>
              <w:spacing w:after="0"/>
              <w:rPr>
                <w:sz w:val="15"/>
                <w:szCs w:val="15"/>
                <w:color w:val="auto"/>
              </w:rPr>
            </w:pPr>
          </w:p>
        </w:tc>
        <w:tc>
          <w:tcPr>
            <w:tcW w:w="272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56"/>
        </w:trPr>
        <w:tc>
          <w:tcPr>
            <w:tcW w:w="7200" w:type="dxa"/>
            <w:vAlign w:val="bottom"/>
          </w:tcPr>
          <w:p>
            <w:pPr>
              <w:spacing w:after="0"/>
              <w:rPr>
                <w:sz w:val="13"/>
                <w:szCs w:val="13"/>
                <w:color w:val="auto"/>
              </w:rPr>
            </w:pPr>
          </w:p>
        </w:tc>
        <w:tc>
          <w:tcPr>
            <w:tcW w:w="1400" w:type="dxa"/>
            <w:vAlign w:val="bottom"/>
            <w:tcBorders>
              <w:top w:val="single" w:sz="8" w:color="auto"/>
            </w:tcBorders>
            <w:gridSpan w:val="2"/>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Borders>
              <w:top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Pr>
          <w:p>
            <w:pPr>
              <w:spacing w:after="0"/>
              <w:rPr>
                <w:sz w:val="13"/>
                <w:szCs w:val="13"/>
                <w:color w:val="auto"/>
              </w:rPr>
            </w:pP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Executive Officers and Directors </w:t>
            </w:r>
            <w:r>
              <w:rPr>
                <w:rFonts w:ascii="Times New Roman" w:cs="Times New Roman" w:eastAsia="Times New Roman" w:hAnsi="Times New Roman"/>
                <w:sz w:val="24"/>
                <w:szCs w:val="24"/>
                <w:b w:val="1"/>
                <w:bCs w:val="1"/>
                <w:color w:val="auto"/>
                <w:vertAlign w:val="superscript"/>
              </w:rPr>
              <w:t>(2)</w:t>
            </w: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William Lei Ding</w:t>
            </w:r>
            <w:r>
              <w:rPr>
                <w:rFonts w:ascii="Times New Roman" w:cs="Times New Roman" w:eastAsia="Times New Roman" w:hAnsi="Times New Roman"/>
                <w:sz w:val="25"/>
                <w:szCs w:val="25"/>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1,450,300,000</w:t>
            </w:r>
          </w:p>
        </w:tc>
        <w:tc>
          <w:tcPr>
            <w:tcW w:w="240" w:type="dxa"/>
            <w:vAlign w:val="bottom"/>
          </w:tcPr>
          <w:p>
            <w:pPr>
              <w:spacing w:after="0"/>
              <w:rPr>
                <w:sz w:val="18"/>
                <w:szCs w:val="18"/>
                <w:color w:val="auto"/>
              </w:rPr>
            </w:pPr>
          </w:p>
        </w:tc>
        <w:tc>
          <w:tcPr>
            <w:tcW w:w="13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45.8 </w:t>
            </w:r>
            <w:r>
              <w:rPr>
                <w:rFonts w:ascii="Calibri" w:cs="Calibri" w:eastAsia="Calibri" w:hAnsi="Calibri"/>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Alice Cheng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Grace Tang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Tong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Michael Leung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Yingfeng Ding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Paul W. Boltz, Jr.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Li</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335"/>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(eight persons)</w:t>
            </w:r>
            <w:r>
              <w:rPr>
                <w:rFonts w:ascii="Times New Roman" w:cs="Times New Roman" w:eastAsia="Times New Roman" w:hAnsi="Times New Roman"/>
                <w:sz w:val="26"/>
                <w:szCs w:val="26"/>
                <w:color w:val="auto"/>
                <w:vertAlign w:val="superscript"/>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1,472,083,436</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jc w:val="right"/>
              <w:spacing w:after="0" w:line="195" w:lineRule="exact"/>
              <w:rPr>
                <w:sz w:val="20"/>
                <w:szCs w:val="20"/>
                <w:color w:val="auto"/>
              </w:rPr>
            </w:pPr>
            <w:r>
              <w:rPr>
                <w:rFonts w:ascii="Calibri" w:cs="Calibri" w:eastAsia="Calibri" w:hAnsi="Calibri"/>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55"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Shining Globe International Limited is the record owner of 1,450,300,000 ordinary shares, consisting of 1,406,000,000 ordinary shares and 8,860,000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 The principal business address of Shining Globe International Limited is c/o NetEase, Inc., NetEase Building, No. 599 Wangshang Road, Binjiang District, Hangzhou, People’s Republic of China 310052.</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our current executive officers and directors are c/o NetEase Building, No. 599 Wangshang Road, Binjiang District, Hangzhou, People’s Republic of China 310052.</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all of our current directors and executive officers as a group includes shares beneficially owned by William Lei Ding.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2025, based on public filings with the SEC, there are no major shareholders holding 5% or more of our ordinary shares or ADSs representing ordinary shares, except as described above.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28, 2025, there were four ordinary shareholders of record with an address in the United States. The Bank of New York Mellon, depositary of our ADS program, held 518,172,325 outstanding ordinary shares as of that date, which accounted for 16.4% of our total issued and outstanding ordinary shares (excluding 53,573,160 ordinary shares issued to and held by The Bank of New York Mellon, which were the ordinary shares underlying our treasury ADSs and were reserved for future delivery upon vesting of share awards granted under our Share Plans).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our knowledge, there are no arrangements the operation of which may at a subsequent date result in us undergoing a change in control.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major shareholders do not have different voting rights than any of our other shareholders.</w:t>
      </w:r>
    </w:p>
    <w:p>
      <w:pPr>
        <w:spacing w:after="0" w:line="221" w:lineRule="exact"/>
        <w:rPr>
          <w:sz w:val="20"/>
          <w:szCs w:val="20"/>
          <w:color w:val="auto"/>
        </w:rPr>
      </w:pPr>
    </w:p>
    <w:p>
      <w:pPr>
        <w:ind w:left="660" w:right="2900" w:hanging="652"/>
        <w:spacing w:after="0" w:line="537" w:lineRule="auto"/>
        <w:tabs>
          <w:tab w:leader="none" w:pos="6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6.E. “Directors, Senior Management and Employees—Share Ownership.”</w:t>
      </w:r>
    </w:p>
    <w:p>
      <w:pPr>
        <w:spacing w:after="0" w:line="221" w:lineRule="exact"/>
        <w:rPr>
          <w:sz w:val="20"/>
          <w:szCs w:val="20"/>
          <w:color w:val="auto"/>
        </w:rPr>
      </w:pPr>
    </w:p>
    <w:p>
      <w:pPr>
        <w:ind w:right="7160" w:firstLine="8"/>
        <w:spacing w:after="0" w:line="532" w:lineRule="auto"/>
        <w:tabs>
          <w:tab w:leader="none" w:pos="66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Material VIE Agreements</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NetEase, Inc. and certain of its subsidiaries have entered into a series of agreements with Guangzhou NetEase, Hangzhou Leihuo, Youdao Computer, Hangzhou Yuedu and certain other VIEs and the shareholders of these entities, under which we provide our computer software, mobile applications, technologies and relevant services to Guangzhou NetEase, Hangzhou Leihuo, Youdao Computer and certain other VIEs, and they in turn provide certain of our online games and operate the NetEase websites,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Hangzhou Yuedu and our other VIEs will not receive material benefits from these agreements except as shareholders of NetEase. The agreements with Guangzhou NetEase, Hangzhou Leihuo, Youdao Computer and Hangzhou Yuedu are described below.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Guangzhou NetEase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William Lei Ding, our Chief Executive Officer, and Xiaojun Hui, one of our employees, own 99.0% and 1.0% of the equity interest in Guangzhou NetEase, respectively.</w:t>
      </w:r>
    </w:p>
    <w:p>
      <w:pPr>
        <w:spacing w:after="0" w:line="160" w:lineRule="exact"/>
        <w:rPr>
          <w:sz w:val="20"/>
          <w:szCs w:val="20"/>
          <w:color w:val="auto"/>
        </w:rPr>
      </w:pPr>
    </w:p>
    <w:p>
      <w:pPr>
        <w:jc w:val="both"/>
        <w:ind w:left="1000" w:right="20" w:hanging="317"/>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Copyright License Agreement between NetEase Beijing and Guangzhou NetEase. </w:t>
      </w:r>
      <w:r>
        <w:rPr>
          <w:rFonts w:ascii="Times New Roman" w:cs="Times New Roman" w:eastAsia="Times New Roman" w:hAnsi="Times New Roman"/>
          <w:sz w:val="18"/>
          <w:szCs w:val="18"/>
          <w:color w:val="auto"/>
        </w:rPr>
        <w:t>NetEase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Co. Ltd., or “NetEase Beijing,” granted Guangzhou NetEase the right to use NetEase Beijing’s web page layout in China for a royalty of RMB10,000 per year. NetEase Beijing may waive this fee at any time.</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Trademark License Agreement between NetEase Beijing and Guangzhou NetEase. </w:t>
      </w:r>
      <w:r>
        <w:rPr>
          <w:rFonts w:ascii="Times New Roman" w:cs="Times New Roman" w:eastAsia="Times New Roman" w:hAnsi="Times New Roman"/>
          <w:sz w:val="18"/>
          <w:szCs w:val="18"/>
          <w:color w:val="auto"/>
        </w:rPr>
        <w:t>NetEase Beijing granted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a license to use NetEase Beijing’s registered trademarks on the NetEase websites in China for license fees of RMB10,000 per year. NetEase Beijing may waive this fee at any time.</w:t>
      </w:r>
    </w:p>
    <w:p>
      <w:pPr>
        <w:spacing w:after="0" w:line="173"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t>
      </w:r>
      <w:r>
        <w:rPr>
          <w:rFonts w:ascii="Times New Roman" w:cs="Times New Roman" w:eastAsia="Times New Roman" w:hAnsi="Times New Roman"/>
          <w:sz w:val="18"/>
          <w:szCs w:val="18"/>
          <w:color w:val="auto"/>
        </w:rPr>
        <w:t>Guangzhou NetEase has entered into cooperative agreements with each of NetEase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Boguan and NetEase Hangzhou pursuant to which such subsidiaries have agreed to provide the following services:</w:t>
      </w:r>
    </w:p>
    <w:p>
      <w:pPr>
        <w:spacing w:after="0" w:line="160" w:lineRule="exact"/>
        <w:rPr>
          <w:rFonts w:ascii="Times New Roman" w:cs="Times New Roman" w:eastAsia="Times New Roman" w:hAnsi="Times New Roman"/>
          <w:sz w:val="18"/>
          <w:szCs w:val="18"/>
          <w:color w:val="auto"/>
        </w:rPr>
      </w:pPr>
    </w:p>
    <w:p>
      <w:pPr>
        <w:ind w:left="1660" w:right="20" w:hanging="329"/>
        <w:spacing w:after="0" w:line="282" w:lineRule="auto"/>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of computer software (including, but not limited to, online games software) and technical support and maintenance for the operation of computer software;</w:t>
      </w:r>
    </w:p>
    <w:p>
      <w:pPr>
        <w:spacing w:after="0" w:line="161" w:lineRule="exact"/>
        <w:rPr>
          <w:rFonts w:ascii="Times New Roman" w:cs="Times New Roman" w:eastAsia="Times New Roman" w:hAnsi="Times New Roman"/>
          <w:sz w:val="18"/>
          <w:szCs w:val="18"/>
          <w:color w:val="auto"/>
        </w:rPr>
      </w:pPr>
    </w:p>
    <w:p>
      <w:pPr>
        <w:ind w:left="1660" w:right="20" w:hanging="329"/>
        <w:spacing w:after="0" w:line="282" w:lineRule="auto"/>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for internet services, including, but not limited to, server maintenance and development, update and upgrade of relevant application software; and</w:t>
      </w:r>
    </w:p>
    <w:p>
      <w:pPr>
        <w:spacing w:after="0" w:line="161"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of electronic publishing technology and relevant technical assistance and support.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78" w:lineRule="exact"/>
        <w:rPr>
          <w:sz w:val="20"/>
          <w:szCs w:val="20"/>
          <w:color w:val="auto"/>
        </w:rPr>
      </w:pPr>
    </w:p>
    <w:p>
      <w:pPr>
        <w:jc w:val="both"/>
        <w:ind w:left="1000" w:hanging="317"/>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Advertising Agreement between Guangzhou NetEase and NetEase Advertising. </w:t>
      </w:r>
      <w:r>
        <w:rPr>
          <w:rFonts w:ascii="Times New Roman" w:cs="Times New Roman" w:eastAsia="Times New Roman" w:hAnsi="Times New Roman"/>
          <w:sz w:val="18"/>
          <w:szCs w:val="18"/>
          <w:color w:val="auto"/>
        </w:rPr>
        <w:t>Guangzhou NetEase sells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banner space on the NetEase websites to Beijing NetEase Chuanmei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of the foregoing agreement is automatically renewable for successive one year term.</w:t>
      </w:r>
    </w:p>
    <w:p>
      <w:pPr>
        <w:spacing w:after="0" w:line="223" w:lineRule="exact"/>
        <w:rPr>
          <w:sz w:val="20"/>
          <w:szCs w:val="20"/>
          <w:color w:val="auto"/>
        </w:rPr>
      </w:pPr>
    </w:p>
    <w:p>
      <w:pPr>
        <w:ind w:left="1000" w:hanging="317"/>
        <w:spacing w:after="0" w:line="28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Trademark Transfer Agreement between Guangzhou NetEase and NetEase Beijing</w:t>
      </w:r>
      <w:r>
        <w:rPr>
          <w:rFonts w:ascii="Times New Roman" w:cs="Times New Roman" w:eastAsia="Times New Roman" w:hAnsi="Times New Roman"/>
          <w:sz w:val="18"/>
          <w:szCs w:val="18"/>
          <w:color w:val="auto"/>
        </w:rPr>
        <w:t>. Under this agreement,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transferred its registered trademarks to NetEase Beijing.</w:t>
      </w:r>
    </w:p>
    <w:p>
      <w:pPr>
        <w:spacing w:after="0" w:line="158" w:lineRule="exact"/>
        <w:rPr>
          <w:rFonts w:ascii="Times New Roman" w:cs="Times New Roman" w:eastAsia="Times New Roman" w:hAnsi="Times New Roman"/>
          <w:sz w:val="18"/>
          <w:szCs w:val="18"/>
          <w:color w:val="auto"/>
        </w:rPr>
      </w:pPr>
    </w:p>
    <w:p>
      <w:pPr>
        <w:jc w:val="both"/>
        <w:ind w:left="1000" w:right="20" w:hanging="317"/>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Supplemental Agreement between NetEase Beijing and Guangzhou NetEase. </w:t>
      </w:r>
      <w:r>
        <w:rPr>
          <w:rFonts w:ascii="Times New Roman" w:cs="Times New Roman" w:eastAsia="Times New Roman" w:hAnsi="Times New Roman"/>
          <w:sz w:val="18"/>
          <w:szCs w:val="18"/>
          <w:color w:val="auto"/>
        </w:rPr>
        <w:t>NetEase Beijing may not grant the license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its domain name, copyright and trademark to any third party without Guangzhou NetEase’s consent and may not provide technical service to any third party.</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Voting Rights Trust Agreement among NetEase Beijing and the Individual Shareholders of Guangzhou NetEase. </w:t>
      </w:r>
      <w:r>
        <w:rPr>
          <w:rFonts w:ascii="Times New Roman" w:cs="Times New Roman" w:eastAsia="Times New Roman" w:hAnsi="Times New Roman"/>
          <w:sz w:val="18"/>
          <w:szCs w:val="18"/>
          <w:color w:val="auto"/>
        </w:rPr>
        <w:t>William Lei Ding and Xiaojun Hui agreed to irrevocably appoint NetEase Beijing to represent him to exercise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82"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between NetEase Beijing and Guangzhou NetEase. </w:t>
      </w:r>
      <w:r>
        <w:rPr>
          <w:rFonts w:ascii="Times New Roman" w:cs="Times New Roman" w:eastAsia="Times New Roman" w:hAnsi="Times New Roman"/>
          <w:sz w:val="18"/>
          <w:szCs w:val="18"/>
          <w:color w:val="auto"/>
        </w:rPr>
        <w:t>NetEase Beijing agrees to pay the operating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Guangzhou NetEase.</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Letter of Agreement. </w:t>
      </w:r>
      <w:r>
        <w:rPr>
          <w:rFonts w:ascii="Times New Roman" w:cs="Times New Roman" w:eastAsia="Times New Roman" w:hAnsi="Times New Roman"/>
          <w:sz w:val="18"/>
          <w:szCs w:val="18"/>
          <w:color w:val="auto"/>
        </w:rPr>
        <w:t>Each of William Lei Ding and Xiaojun Hui have agreed that any amendments to be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Voting 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 and Equity Pledge Agreement</w:t>
      </w:r>
      <w:r>
        <w:rPr>
          <w:rFonts w:ascii="Times New Roman" w:cs="Times New Roman" w:eastAsia="Times New Roman" w:hAnsi="Times New Roman"/>
          <w:sz w:val="18"/>
          <w:szCs w:val="18"/>
          <w:color w:val="auto"/>
        </w:rPr>
        <w:t>. Concurrent with Mr. Hui’s acquisition of his equity interest in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from a 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Hangzhou Leihuo</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the filing of this annual report, the ultimate shareholders of Hangzhou Leihuo are Zhipeng Hu and Long Cheng, two of our employees, who each hold a 50.0% equity interest. Mr. Cheng’s equity interest in Hangzhou Leihuo was transferred to him in April 2019 by the prior equity holder and our former employee, Tianlei Hu, at which time Mr. Cheng assumed all of Mr. Hu’s rights and obligations under the loan agreement, operating agreement, equity pledge agreement, exclusive purchase option agreement and shareholder voting rights trust agreement described below.</w:t>
      </w:r>
    </w:p>
    <w:p>
      <w:pPr>
        <w:spacing w:after="0" w:line="181" w:lineRule="exact"/>
        <w:rPr>
          <w:sz w:val="20"/>
          <w:szCs w:val="20"/>
          <w:color w:val="auto"/>
        </w:rPr>
      </w:pPr>
    </w:p>
    <w:p>
      <w:pPr>
        <w:jc w:val="both"/>
        <w:ind w:left="1000" w:hanging="317"/>
        <w:spacing w:after="0" w:line="25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Agreements and Equity Pledge Agreements between NetEase Hangzhou and each of the ultimate shareholders of Hangzhou Leihuo</w:t>
      </w:r>
      <w:r>
        <w:rPr>
          <w:rFonts w:ascii="Times New Roman" w:cs="Times New Roman" w:eastAsia="Times New Roman" w:hAnsi="Times New Roman"/>
          <w:sz w:val="18"/>
          <w:szCs w:val="18"/>
          <w:color w:val="auto"/>
        </w:rPr>
        <w:t>. Each of the ultimate shareholders of Hangzhou Leihuo has entered into a Loan Agreement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9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Agreements among NetEase Hangzhou, Hangzhou Leihuo and each of the ultimate shareholders of Hangzhou Leihuo</w:t>
      </w:r>
      <w:r>
        <w:rPr>
          <w:rFonts w:ascii="Times New Roman" w:cs="Times New Roman" w:eastAsia="Times New Roman" w:hAnsi="Times New Roman"/>
          <w:sz w:val="18"/>
          <w:szCs w:val="18"/>
          <w:color w:val="auto"/>
        </w:rPr>
        <w:t>. Under the Exclusive Purchase Option Agreements, each dated December 1, 2015,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ultimate shareholders of Hangzhou 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Voting Rights Trust Agreement between NetEase Hangzhou and each of the ultimate shareholders of Hangzhou Leihuo</w:t>
      </w:r>
      <w:r>
        <w:rPr>
          <w:rFonts w:ascii="Times New Roman" w:cs="Times New Roman" w:eastAsia="Times New Roman" w:hAnsi="Times New Roman"/>
          <w:sz w:val="18"/>
          <w:szCs w:val="18"/>
          <w:color w:val="auto"/>
        </w:rPr>
        <w:t>. Under these agreements, each dated December 1, 2015, each of the ultimate shareholders of Hangzhou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Agreement among NetEase Hangzhou, Hangzhou Leihuo and the ultimate shareholders of Hangzhou Leihuo.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the 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000" w:right="20" w:hanging="317"/>
        <w:spacing w:after="0" w:line="284"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Cooperation Agreement between NetEase Hangzhou and Hangzhou Leihuo. </w:t>
      </w:r>
      <w:r>
        <w:rPr>
          <w:rFonts w:ascii="Times New Roman" w:cs="Times New Roman" w:eastAsia="Times New Roman" w:hAnsi="Times New Roman"/>
          <w:sz w:val="18"/>
          <w:szCs w:val="18"/>
          <w:color w:val="auto"/>
        </w:rPr>
        <w:t>Under this Cooperation Agreement, NetEase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has agreed to provide the following services:</w:t>
      </w:r>
    </w:p>
    <w:p>
      <w:pPr>
        <w:spacing w:after="0" w:line="160" w:lineRule="exact"/>
        <w:rPr>
          <w:rFonts w:ascii="Times New Roman" w:cs="Times New Roman" w:eastAsia="Times New Roman" w:hAnsi="Times New Roman"/>
          <w:sz w:val="18"/>
          <w:szCs w:val="18"/>
          <w:color w:val="auto"/>
        </w:rPr>
      </w:pPr>
    </w:p>
    <w:p>
      <w:pPr>
        <w:ind w:left="1660" w:right="20" w:hanging="329"/>
        <w:spacing w:after="0" w:line="282" w:lineRule="auto"/>
        <w:tabs>
          <w:tab w:leader="none" w:pos="1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computer software (including, but not limited to, online games) and technical support and maintenance for computer software operation;</w:t>
      </w:r>
    </w:p>
    <w:p>
      <w:pPr>
        <w:spacing w:after="0" w:line="161"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broadband internet access and other operational support; and</w:t>
      </w:r>
    </w:p>
    <w:p>
      <w:pPr>
        <w:spacing w:after="0" w:line="225" w:lineRule="exact"/>
        <w:rPr>
          <w:rFonts w:ascii="Times New Roman" w:cs="Times New Roman" w:eastAsia="Times New Roman" w:hAnsi="Times New Roman"/>
          <w:sz w:val="18"/>
          <w:szCs w:val="18"/>
          <w:color w:val="auto"/>
        </w:rPr>
      </w:pPr>
    </w:p>
    <w:p>
      <w:pPr>
        <w:ind w:left="1660" w:right="20" w:hanging="329"/>
        <w:spacing w:after="0" w:line="282" w:lineRule="auto"/>
        <w:tabs>
          <w:tab w:leader="none" w:pos="1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jointly with Hangzhou Leihuo, the provision of value-added telecommunication and other services to users of the Leihuo website and relevant products.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Youdao Computer</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Feng Zhou, the chief executive officer of Youdao, owns 28.9% of the equity interest in Youdao Computer, and William Lei Ding owns 71.1% of the equity interest in Youdao Computer.</w:t>
      </w:r>
    </w:p>
    <w:p>
      <w:pPr>
        <w:spacing w:after="0" w:line="160" w:lineRule="exact"/>
        <w:rPr>
          <w:sz w:val="20"/>
          <w:szCs w:val="20"/>
          <w:color w:val="auto"/>
        </w:rPr>
      </w:pPr>
    </w:p>
    <w:p>
      <w:pPr>
        <w:jc w:val="both"/>
        <w:ind w:left="1000" w:hanging="317"/>
        <w:spacing w:after="0" w:line="254"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Agreements between Youdao Information and each of William Lei Ding and Feng Zhou</w:t>
      </w:r>
      <w:r>
        <w:rPr>
          <w:rFonts w:ascii="Times New Roman" w:cs="Times New Roman" w:eastAsia="Times New Roman" w:hAnsi="Times New Roman"/>
          <w:sz w:val="18"/>
          <w:szCs w:val="18"/>
          <w:color w:val="auto"/>
        </w:rPr>
        <w:t>. Each of William Lei 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Feng Zhou 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 proceeds from the loans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Pledge Agreements between Youdao Information and each of William Lei Ding and Feng Zhou</w:t>
      </w:r>
      <w:r>
        <w:rPr>
          <w:rFonts w:ascii="Times New Roman" w:cs="Times New Roman" w:eastAsia="Times New Roman" w:hAnsi="Times New Roman"/>
          <w:sz w:val="18"/>
          <w:szCs w:val="18"/>
          <w:color w:val="auto"/>
        </w:rPr>
        <w:t>. Each of William Lei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Ding and Feng 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Agreements</w:t>
      </w:r>
      <w:r>
        <w:rPr>
          <w:rFonts w:ascii="Times New Roman" w:cs="Times New Roman" w:eastAsia="Times New Roman" w:hAnsi="Times New Roman"/>
          <w:sz w:val="18"/>
          <w:szCs w:val="18"/>
          <w:color w:val="auto"/>
        </w:rPr>
        <w:t>. Each of William Lei Ding and Feng Zhou entered into an Exclusive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Agreement with Youdao Information and Youdao Computer, dated September 26, 2016 and November 20, 2017, respectively. Under such Exclusive Purchase Option Agreements,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Voting Rights Trust Agreements between Youdao Information and each of William Lei Ding and Feng Zhou. </w:t>
      </w:r>
      <w:r>
        <w:rPr>
          <w:rFonts w:ascii="Times New Roman" w:cs="Times New Roman" w:eastAsia="Times New Roman" w:hAnsi="Times New Roman"/>
          <w:sz w:val="18"/>
          <w:szCs w:val="18"/>
          <w:color w:val="auto"/>
        </w:rPr>
        <w:t>Each of William Lei Ding and Feng Zhou entered into a Shareholder Voting Rights Trust Agreement with Youdao Information, dated September 26, 2016 and November 20, 2017, respectively. Under such Shareholder Voting Rights Trust Agreements,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Agreements among Youdao Computer, Youdao Information and each of William Lei Ding and Feng Zhou</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the successful performance of the various agreements between the parties, each of William Lei Ding and Feng Zhou entered into an Operating Agreement with Youdao Computer and Youdao Information, dated September 26, 2016 and November 20, 2017, respectively. Under such Operating Agreements,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As counter-guarantee, Youdao Computer agreed to pledge the account receivable in its operations and all of its assets to Youdao Information, which pledge has not been implemented as of the date of the filing of this annual report. Furthermore, each of William Lei Ding and Feng Zhou agreed that, upon instruction from Youdao Information, he would appoint candidates recommended by Youdao Information as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85"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 Agreement between Youdao Information and Youdao Computer</w:t>
      </w:r>
      <w:r>
        <w:rPr>
          <w:rFonts w:ascii="Times New Roman" w:cs="Times New Roman" w:eastAsia="Times New Roman" w:hAnsi="Times New Roman"/>
          <w:sz w:val="18"/>
          <w:szCs w:val="18"/>
          <w:color w:val="auto"/>
        </w:rPr>
        <w:t>. Under this Cooperation Agreement, Youdao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has agreed to provide the following services:</w:t>
      </w:r>
    </w:p>
    <w:p>
      <w:pPr>
        <w:spacing w:after="0" w:line="160" w:lineRule="exact"/>
        <w:rPr>
          <w:rFonts w:ascii="Times New Roman" w:cs="Times New Roman" w:eastAsia="Times New Roman" w:hAnsi="Times New Roman"/>
          <w:sz w:val="18"/>
          <w:szCs w:val="18"/>
          <w:color w:val="auto"/>
        </w:rPr>
      </w:pPr>
    </w:p>
    <w:p>
      <w:pPr>
        <w:jc w:val="both"/>
        <w:ind w:left="1660" w:hanging="329"/>
        <w:spacing w:after="0" w:line="266" w:lineRule="auto"/>
        <w:tabs>
          <w:tab w:leader="none" w:pos="1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75" w:lineRule="exact"/>
        <w:rPr>
          <w:rFonts w:ascii="Times New Roman" w:cs="Times New Roman" w:eastAsia="Times New Roman" w:hAnsi="Times New Roman"/>
          <w:sz w:val="18"/>
          <w:szCs w:val="18"/>
          <w:color w:val="auto"/>
        </w:rPr>
      </w:pPr>
    </w:p>
    <w:p>
      <w:pPr>
        <w:ind w:left="1660" w:right="20" w:hanging="329"/>
        <w:spacing w:after="0" w:line="282" w:lineRule="auto"/>
        <w:tabs>
          <w:tab w:leader="none" w:pos="1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computer software related to generating online advertisement, establishment of platforms for online advertisement and related updates and operational support; and</w:t>
      </w:r>
    </w:p>
    <w:p>
      <w:pPr>
        <w:spacing w:after="0" w:line="161" w:lineRule="exact"/>
        <w:rPr>
          <w:rFonts w:ascii="Times New Roman" w:cs="Times New Roman" w:eastAsia="Times New Roman" w:hAnsi="Times New Roman"/>
          <w:sz w:val="18"/>
          <w:szCs w:val="18"/>
          <w:color w:val="auto"/>
        </w:rPr>
      </w:pPr>
    </w:p>
    <w:p>
      <w:pPr>
        <w:ind w:left="1660" w:hanging="329"/>
        <w:spacing w:after="0" w:line="282" w:lineRule="auto"/>
        <w:tabs>
          <w:tab w:leader="none" w:pos="1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technology support, including, but not limited to, server maintenance, development of server software and related maintenance and updates.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Hangzhou Yuedu</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William Lei Ding, our Chief Executive Officer, and Wei Li, an employee of NetEase Cloud Music, own 99.0% and 1.0% of the equity interest in Hangzhou Yuedu, respectively.</w:t>
      </w:r>
    </w:p>
    <w:p>
      <w:pPr>
        <w:spacing w:after="0" w:line="160" w:lineRule="exact"/>
        <w:rPr>
          <w:sz w:val="20"/>
          <w:szCs w:val="20"/>
          <w:color w:val="auto"/>
        </w:rPr>
      </w:pPr>
    </w:p>
    <w:p>
      <w:pPr>
        <w:jc w:val="both"/>
        <w:ind w:left="1000" w:hanging="317"/>
        <w:spacing w:after="0" w:line="25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Under the amended and restated cooperation agreement entered into by Hangzhou Yuedu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NetEase Cloud Music dated on May 18, 2021, Hangzhou Yuedu have agreed to engage Hangzhou NetEase Cloud Music as its exclusive cooperation partner, providing users, among other things and as the case may be, with technical services, including software development, technical support and maintenance, network technology services, server maintenance, relevant software development and update, and technology development, technical assistance and support in relation to electronic publication and telecommunication, in exchange for service fees. Hangzhou Yuedu and Hangzhou NetEase Cloud Music shall share the income generated from its cooperation. The distributable income shall consist of the total income of Hangzhou Yuedu, after deduction of any relevant operating costs, expenses, taxes and other statutory contributions, and profits to be retained by Hangzhou Yuedu. Hangzhou NetEase Cloud Music shall be entitled to receive the entire portion of the distributable income, or if applicable, to share the distributable income with other entities who are affiliates of Hangzhou NetEase Cloud Music according to the service statements confirmed by Hangzhou NetEase Cloud Music and these entities. Hangzhou Yuedu and Hangzhou NetEase Cloud Music shall settle the service fees on a regular basis. This agreement remains in effect unless terminated by written notice from Hangzhou NetEase Cloud Music, and Hangzhou Yuedu shall not terminate the cooperation agreement without the written consent from Hangzhou NetEase Cloud Music.</w:t>
      </w:r>
    </w:p>
    <w:p>
      <w:pPr>
        <w:spacing w:after="0" w:line="19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Agreement</w:t>
      </w:r>
      <w:r>
        <w:rPr>
          <w:rFonts w:ascii="Times New Roman" w:cs="Times New Roman" w:eastAsia="Times New Roman" w:hAnsi="Times New Roman"/>
          <w:sz w:val="18"/>
          <w:szCs w:val="18"/>
          <w:color w:val="auto"/>
        </w:rPr>
        <w:t>. Under the operating agreement entered into by Hangzhou Yuedu, William Lei Ding, Wei Li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NetEase Cloud Music dated November 2, 2023, Hangzhou NetEase Cloud Music agreed to be the guarantor of Hangzhou Yuedu in, and provide full guarantees for the performance of, the contracts, agreements or transactions entered into between Hangzhou Yuedu and any third-party in connection with Hangzhou Yuedu’s businesses and operations. Hangzhou Yuedu, in return, agreed to pledge the accounts receivable in its operations and all of its assets to Hangzhou NetEase Cloud Music. Hangzhou Yuedu, William Lei Ding and Wei Li also jointly agreed that without Hangzhou NetEase Cloud Music’s prior written consent, Hangzhou Yuedu would not engage in any transaction that may materially affect their assets, liabilities, rights or operations, except that Hangzhou Yuedu may enter into business contracts or agreements, sell or purchase assets and create liens in favor of relevant counter parties as required by law in the ordinary course of business. William Lei Ding and Wei Li shall appoint candidates recommended by Hangzhou NetEase Cloud Music as directors of Hangzhou Yuedu, and Hangzhou Yuedu shall appoint Hangzhou NetEase Cloud Music’s senior executive officers recommended by Hangzhou NetEase Cloud Music as Hangzhou Yuedu’ senior management.</w:t>
      </w:r>
    </w:p>
    <w:p>
      <w:pPr>
        <w:spacing w:after="0" w:line="18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w:t>
      </w:r>
      <w:r>
        <w:rPr>
          <w:rFonts w:ascii="Times New Roman" w:cs="Times New Roman" w:eastAsia="Times New Roman" w:hAnsi="Times New Roman"/>
          <w:sz w:val="18"/>
          <w:szCs w:val="18"/>
          <w:color w:val="auto"/>
        </w:rPr>
        <w:t>. On May 18, 2021, Hangzhou Yuedu, Hangzhou NetEase Cloud Music and William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 Ding entered into an amended and restated exclusive purchase option agreement, and on November 2, 2023, Hangzhou Yuedu, Hangzhou NetEase Cloud Music and Wei Li entered into an exclusive purchase option agreement on substantially the same terms (collectively, the “Exclusive Purchase Option Agreements”). Under the Exclusive Purchase Option Agreements, William Lei Ding and Wei Li irrevocably granted Hangzhou NetEase Cloud Music an option, exercisable in one or more times, to purchase or cause any person(s) designated by Hangzhou NetEase Cloud Music to purchase, to the extent permitted under any applicable PRC laws, a portion of or all of William Lei Ding and Wei Li’s equity interests in Hangzhou Yuedu at any time and from time to time, for a consideration equals to, the outstanding loan amounts under the relevant Loan Agreements or otherwise for the minimum amount of consideration permitted by applicable PRC laws, under circumstances in which Hangzhou NetEase Cloud Music or its designated third party is permitted under PRC laws to acquire all or part of the assets of Hangzhou Yuedu, subject to adjustments. None of the material assets of Hangzhou Yuedu are to be sold, transferred or otherwise disposed of without the written consent of Hangzhou NetEase Cloud Music. In addition, under the Exclusive Purchase Option Agreements, William Lei Ding and Wei Li may not transfer or permit the encumbrance of or allow any guarantee or security to be created on any of its equity interest in Hangzhou Yuedu without Hangzhou NetEase Cloud Music’s prior written consent.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4"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Pledge Agreements</w:t>
      </w:r>
      <w:r>
        <w:rPr>
          <w:rFonts w:ascii="Times New Roman" w:cs="Times New Roman" w:eastAsia="Times New Roman" w:hAnsi="Times New Roman"/>
          <w:sz w:val="18"/>
          <w:szCs w:val="18"/>
          <w:color w:val="auto"/>
        </w:rPr>
        <w:t>. On May 18, 2021, Hangzhou NetEase Cloud Music and William Lei Ding entered into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equity pledge agreement, and on November 2, 2023, Hangzhou NetEase Cloud Music and Wei Li entered into an equity pledge agreement on substantially the same terms (collectively, the “Equity Pledge Agreements”). Under the Equity Pledge Agreements, William Lei Ding and Wei Li agreed to pledge all their respective equity interests in Hangzhou Yuedu that they legally own to Hangzhou NetEase Cloud Music as a first security interest to guarantee the timely and complete payment and performance of contractual obligations under the relevant VIE agreements. William Lei Ding and Wei Li have further agreed that, without prior written consent of Hangzhou NetEase Cloud Music, they will not transfer or dispose the pledged equity interests or create or allow any third party to create any encumbrance on the pledged equity interests that would prejudice Hangzhou NetEase Cloud Music’s interest.</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Voting Right Trust Agreements and Powers of Attorney</w:t>
      </w:r>
      <w:r>
        <w:rPr>
          <w:rFonts w:ascii="Times New Roman" w:cs="Times New Roman" w:eastAsia="Times New Roman" w:hAnsi="Times New Roman"/>
          <w:sz w:val="18"/>
          <w:szCs w:val="18"/>
          <w:color w:val="auto"/>
        </w:rPr>
        <w:t>. Hangzhou NetEase Cloud Music entered into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shareholder voting right trust agreement and (ii) a power of attorney with William Lei Ding on May 18, 2021 and with Wei Li on November 2, 2023, both on substantially the same terms (collectively, (i) the “Shareholder Voting Right Trust Agreements” and (ii) “Powers of Attorney,” respectively). Under the Shareholder Voting Right Trust Agreements and the Powers of Attorney, William Lei Ding and Wei Li have appointed Hangzhou NetEase Cloud Music and the person designated by Hangzhou NetEase Cloud Music director or his/her successor as their agent and attorney to act on their behalf on all matters concerning Hangzhou Yuedu and to exercise all of their rights as a registered shareholder of Hangzhou Yuedu.</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On May 18, 2021, Hangzhou NetEase Cloud Music and William Lei Ding entered into an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loan agreement, and on November 2, 2023, Hangzhou NetEase Cloud Music and Wei Li entered into a loan agreement on substantially the same terms (collectively, the “Loan Agreements”). Under the Loan Agreements, Hangzhou NetEase Cloud Music agreed to provide loans to William Lei Ding and Wei Li to be used exclusively as investment in Hangzhou Yuedu. The loans must not be used for any other purposes without the lender’s prior written consent. The term of each loan shall be ten years from the date of the respective Loan Agreement and will be automatically extended for another ten years unless otherwise indicated by the lender. The borrowers shall not make any repayment of their respective loan prior to the expiration of the term or termination of the relevant loan without the lender’s prior written consent. The loans shall terminate on the date the lender exercises its exclusive purchase option under the relevant Exclusive Purchase Option Agreement, or when certain defined termination events occur, such as when the lender sends a written notice demanding repayment to the respective borrower, or upon the default of the respective borrower, whichever is earlier. After the lender exercises its exclusive purchase option, the respective borrower shall repay the respective loan by transferring all of his equity interest in Hangzhou Yuedu to the lender, or persons designated by the lender. If the transfer price for the equity interest in Hangzhou Yuedu is higher than the principal of the loan under the relevant Loan Agreement, any surplus would be considered interest for the loan.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several guarantee agreements in the aggregate amount of US$2.7 billion in respect of certain credit facilities taken by our subsidiaries. As of December 31, 2024, US$1.5 billion of such credit facilities had not been utilized.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Youdao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 intellectual property license agreement and multiple loan agreements, each of which are summarized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Master Transaction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Transitional Services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transitional services agreement, we agreed to provide Youdao with various corporate support and services such as legal support, human resources support, financial reporting, internal control and internal audit support, technology and operational support, and administrative support. The transitional services agreement expired in accordance with its terms in October 2024, although we continue to provide such services to Youdao pursuant to arms’ length arrangements.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Non-competition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p>
      <w:pPr>
        <w:spacing w:after="0" w:line="180" w:lineRule="exact"/>
        <w:rPr>
          <w:sz w:val="20"/>
          <w:szCs w:val="20"/>
          <w:color w:val="auto"/>
        </w:rPr>
      </w:pPr>
    </w:p>
    <w:p>
      <w:pPr>
        <w:jc w:val="both"/>
        <w:ind w:left="1000" w:right="20" w:hanging="317"/>
        <w:spacing w:after="0" w:line="25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not to compete with Youdao in the provision of the Online Learning Business, provided that such non-compete restrictions shall not prevent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non-competition agreement provides that if there is any ambiguity in the scope of business subject to the foregoing non-compete restrictions, our interpretation shall prevail.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Cooperation Framework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years after the Control Ending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Intellectual Property License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Agreements and Guarantees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various loan agreements to extend loans to Youdao. These loans were used to provide working capital for the daily operations of Youdao with the original term of one year. In April 2021, we also entered into a 36-month revolving loan facility with Youdao in the principal amount of US$300 million to support its long-term growth. In September 2023, we and Youdao entered into an agreement to further extend such revolving loan facility agreement to March 31, 2027. As of December 31, 2024, the total principal amount of interest-bearing short-term loan outstanding to Youdao was RMB878.0 million (US$120.3 million). As of March 31, 2025, the total principal amount of interest-bearing long-term loans outstanding to Youdao was US$128.1 million (equivalent to RMB926.7 million), which was drawn down from the above-mentioned revolving loan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NetEase Cloud Music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NetEase Cloud Music, which became listed on the Hong Kong Stock Exchange in December 2021, is currently our majority-controlled subsidiary. On August 5, 2021, we entered into a framework agreement with NetEase Cloud Music to govern key aspects of the intragroup transactions between NetEase Cloud Music and us, or the NetEase Cloud Music Framework Agreement, including (a) from us to NetEase Cloud Music (i) intellectual property licensing services where we grant NetEase Cloud Music a royalty-free license to non-exclusively use certain intellectual property, including software copyrights, domain names, trademarks and logos relating or registered by us, in perpetuity, (ii) advertising agency services, (iii) bandwidth, server custody and rack services, (iv) information technology services, (v) shared services and (vi) product procurement, and (b) from NetEase Cloud Music to us, advertising services and others. On November 28, 2023, we entered into a new framework agreement, which superseded the original NetEase Cloud Music Framework Agreement, pursuant to which the intragroup transactions between NetEase Cloud Music and us set forth in the NetEase Cloud Music Framework Agreement (save for the aforementioned advertising agency services provided by us) were renewed for a term of three years (other than the intellectual property license which, as noted above, was granted in perpetuity), commencing from January 1, 2024.</w:t>
      </w:r>
    </w:p>
    <w:p>
      <w:pPr>
        <w:spacing w:after="0" w:line="186" w:lineRule="exact"/>
        <w:rPr>
          <w:sz w:val="20"/>
          <w:szCs w:val="20"/>
          <w:color w:val="auto"/>
        </w:rPr>
      </w:pPr>
    </w:p>
    <w:p>
      <w:pPr>
        <w:ind w:left="680" w:hanging="672"/>
        <w:spacing w:after="0"/>
        <w:tabs>
          <w:tab w:leader="none" w:pos="6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18. “Financial Statements” for our audited consolidated financial statements filed as part of this annual report.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A.7</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April 2018, PUBG Corporation and PUBG Santa Monica, Inc. (now known as Krafton, Inc. and Krafton Americas, Inc., respectively, or “the Krafton Parties”), filed a lawsuit against defendants NetEase, Inc., NetEase Information Technology Corp. and NetEase (Hong Kong) Limited in the U.S. District Court for the Northern District of California. The Krafton Parties subsequently dropped all claims against NetEase (Hong Kong) Limited, and added Hong Kong NetEase Interactive Entertainment Limited to the lawsuit. The Krafton Parties’ complaint generally alleged that two of NetEase’s mobile games, Rules of Survival and Knives Out, infringed the Krafton Parties’ copyrights and trade dress in their competing game, Player Unknown’s Battlegrounds. On March 11, 2019, NetEase entered into a settlement agreement with the Krafton Parties, and the lawsuit was dismissed. On October 15, 2019, the Krafton Parties filed a second lawsuit against the same NetEase defendants, also in the U.S. District Court for the Northern District of California, claiming NetEase had allegedly breached the settlement agreement. On March 3, 2020, the court dismissed the Krafton Parties’ new lawsuit, without prejudice, for lack of subject matter jurisdiction. On March 4, 2020, NetEase initiated a declaratory judgment action against the Krafton Parties in the Superior Court of California for the County of San Mateo, requesting a declaration that NetEase had not breached the settlement agreement. On March 13, 2020, the Krafton Parties filed a cross claim in the same Court, realleging that we breached the settlement agreement. In May 2023, the court held a bench trial and subsequently found that we had breached such settlement agreement and awarded the Krafton Parties US$6 million in liquidated damages but denied a request for injunctive relief by the Krafton Parties. After the court issued its final statement of decision, the parties settled the matter to avoid further litigation. The settlement amount we paid has no material impact on our consolidated financial statements.</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A.8</w:t>
      </w:r>
      <w:r>
        <w:rPr>
          <w:sz w:val="20"/>
          <w:szCs w:val="20"/>
          <w:color w:val="auto"/>
        </w:rPr>
        <w:tab/>
      </w: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US$0.0990 per ordinary share (US$0.4950 per ADS), US$0.0870 per ordinary share (US$0.4350 per ADS), US$0.0870 per ordinary share (US$0.4350 per ADS) and US$0.24405 per ordinary share (US$1.22025 per ADS) for the first, second, third and fourth quarters of 2024,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our ability to pay dividends to our shareholders depends upon dividends, loans or advances that we receive from our subsidiaries and the VIEs. Please refer to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except for Item 9.A.4 and Item 9.C.</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June 30, 2000 and trade under the symbol “NTES.” Our shares have been listed on the Hong Kong Stock Exchange since June 11, 2020 and trade under the symbol “9999.”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680" w:hanging="672"/>
        <w:spacing w:after="0"/>
        <w:tabs>
          <w:tab w:leader="none" w:pos="6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following presents a description of the terms and provisions of our currently effective memorandum and articles of association, which were adopted by a special resolution passed at the annual general meeting of our company held on June 15, 2023, insofar as they relate to the material terms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the Cayman Islands on July 6, 1999 and operate under the Cayman Islands Companies Act, as revised and amended from time to time, or the Companies Act. Our corporate objectives and purpose are unrestricted.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any separate requirement for approval by our board or any committee of our board under applicable law or the designated stock exchange rules, 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determine the remuneration to be paid to the directors. Our directors may exercise all the powers of our company to borrow money and to mortgage or charge its undertaking, property and uncalled capital or any part thereof, and to issue debentures, debenture stock and other securities, whether outright or as security for any of our debts, liabilities, or obligations or those of any third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shareholding qualification for directors may be fixed by our company in a general meeting, but unless and until so fixed, there are no shareholding qualifications. Further, there are no age limitations or retirement requirements applicable to our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Restrictions of Ordinary Shares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shares are fully paid and non-assessable. Shares are issued in registered form.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who are non-residents of the Cayman Islands may freely hold and vote their shares.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shares are entitled to such dividends as may be declared by our board of directors. Under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 Any dividend which cannot be paid to a shareholder and/or which remains unclaimed after six (6) months from the date of declaration of such dividend may, in the discretion of our directors, be invested or otherwise made use of by our board for the benefit of our company until claimed. Any dividend which remains unclaimed after a period of six years from the date of declaration of such dividend shall be forfeited and shall revert to our company.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is entitled to one vote on all matters upon which the shares are entitled to vote, including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A resolution put to the vote of any general meeting shall be decided on the vote of the requisite majority pursuant to a poll of the shareholders. A quorum required for a meeting of shareholders consists of one or more member’s holding shares which carry, in aggregate, not less than one third of the votes attaching to all issued and outstanding shares and entitled to vote, present at the meeting.</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ordinary resolution to be made by the shareholders requires the affirmative vote of a simple majority of the votes which are cast by those shareholders who, being entitled to do so, vote at the shareholders’ meeting, while a special resolution (a) in respect of (i) any amendment to our memorandum of association or articles of association, or (ii) the voluntary liquidation or winding up of our company, requires the affirmative vote of no less than three-fourths (3/4) of the votes which are cast by those shareholders who, being entitled to do so, vote at the shareholders’ meeting, or (b) in respect of any other matter that requires a special resolution (other than those specified in (a) above), requires the affirmative vote of no less than two-thirds (2/3) of the votes which are cast by those shareholders who, being entitled to do so, vote at the shareholders’ meeting. A special resolution is required for certain significant corporate actions, such as amending our memorandum of association or articles or association, changing our company’s name, approving a statutory merger, or commencing a voluntary winding up. Our shareholders may by ordinary resolution, among other things, appoint or remove directors, appoint auditors, and increase our share capital. Both ordinary resolutions and special resolutions may also be passed by a unanimous written resolution signed by all the shareholders of our company entitled to vote.</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the winding up of our company, if the assets available for distribution among the holders of our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more than sufficient to repay the whole of the capital paid up at the commencement of the winding up, the excess shall be distributed among the holders of the shares in proportion to the capital paid up at the commencement of the winding up on the shares held by them respectively. If the assets available for distribution are insufficient to repay all of the paid-up capital, the assets will be distributed so that the losses are borne by our shareholders in proportion to the capital paid up, or which ought to have been paid up, at the commencement of the winding up on the shares held by them respectively.</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fourteen (14) days prior to the specified time or times of payment. The shares that have been called upon and remain unpaid are subject to forfeiture.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Subject to the provisions of the Companies Act, our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and, where applicable, the designated stock exchange rules and/or the rules of any competent governmental authority, we may issue shares on the terms that they are, or at our option or at the option of the holders are, subject to redemption on such terms and in such manner as may, before the issue of the shares, be determined by our board of directors or by a special resolution of our shareholders. Subject to the provisions of the Companies Act, our memorandum and articles of association and, where applicable, the designated stock exchange rules and/or the rules of any competent governmental authority, we may also repurchase any of our shares provided that the manner of such purchase has first been authorized by our board of directors or by our company in general meeting, provided that no repurchase may be made contrary to the terms or manner recommended by our directors.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attached to any class of shares (unless otherwise provided by the terms of issue of the shares of that class) may only be varied either with the consent in writing of the holders of three-fourths of the voting rights of the issued shares of that class or with the sanction of a resolution passed at a separate general meeting by the holders of a majority of not less than three-fourths of the shares of that class present and voting at such a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equally with or in priority or subsequent to such existing class or the redemption or purchase of any shares of any class by our company. The rights of the holders of shares shall not be deemed to be varied or abrogated by the creation or issue of shares with preferred or other rights.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company is required, in each financial year, to hold a general meeting as its annual general meeting, to be held within six</w:t>
      </w:r>
    </w:p>
    <w:p>
      <w:pPr>
        <w:spacing w:after="0" w:line="27" w:lineRule="exact"/>
        <w:rPr>
          <w:sz w:val="20"/>
          <w:szCs w:val="20"/>
          <w:color w:val="auto"/>
        </w:rPr>
      </w:pPr>
    </w:p>
    <w:p>
      <w:pPr>
        <w:ind w:firstLine="8"/>
        <w:spacing w:after="0" w:line="260" w:lineRule="auto"/>
        <w:tabs>
          <w:tab w:leader="none" w:pos="26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end of such financial year (or such other period as may be permitted by the designated stock exchange rules), to be held at such time and place as our directors shall determine.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directors may whenever they think fit, and they shall on the requisition of one or more our shareholders holding together, at the date of the deposit of the requisition, shares representing not less than 10% of the voting rights of our company which carry the right of voting at general meetings of our company, on a one vote per share basis in the share capital of our company, proceed to convene a general meeting of our company and add resolutions to the meeting agenda.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twenty-one (21) days. At least twenty-one (21) days’ notice in writing shall be given of an annual general meeting and at least fourteen (14) days’ notice in writing shall be given of any extraordinary general meeting.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Limitations on the Right to Own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limitations on the right to own our shares.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Limitations on Transfer of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our articles of association and the designated stock exchanges rules, any shareholder may transfer all or any of his shares by an instrument of transfer in the usual or common form or in a form prescribed by the designated stock exchanges or in any other form approved by our board and may be under hand or, if the transferor or transferee is a clearing house or a central depository house or its nominee(s), by hand or by machine imprinted signature or by such other manner of execution as our board may approve from time to time.</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may (a) decline to register any transfer of shares where holders proposing or effecting the transfers of the shares are subject to binding written agreements or applicable laws which restrict the transfer of the shares held by such holders and such holders have not complied with the terms of such agreements or the restrictions have not been waived in accordance with their terms, or such applicable law, as the case may be; (b) in their absolute discretion decline to register any transfer of shares which is not fully paid up or on which our company has a lien; and (c) decline to register any transfer of any share unless certain requirements as specified in our memorandum and articles of association have been satisfied.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have the effect of delaying, deferring or preventing a change of control of our company, including provisions that authorize our board of directors to issue preference shares in one or more series and to designate the rights (including, without limitation, voting, dividend and redemption rights), restrictions, preferences, privileges and payment obligations of such preference shares without any further vote or action by our shareholders, and provisions which limit the ability of our shareholders to requisition and convene general meetings of shareholders.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currently effective amended and restated memorandum and articles of association for a proper purpose and for what they believe in good faith to be in the best interests of our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of Shareholder Ownership</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in our memorandum or articles of association that require our company to disclose shareholder ownership above any particular ownership threshold.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Capital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by ordinary resolution increase our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76" w:lineRule="exact"/>
        <w:rPr>
          <w:sz w:val="20"/>
          <w:szCs w:val="20"/>
          <w:color w:val="auto"/>
        </w:rPr>
      </w:pPr>
    </w:p>
    <w:p>
      <w:pPr>
        <w:ind w:left="1000" w:hanging="31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 than our existing shares;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smaller amount than is fixed by our memorandum of association or into shares without nominal or par value;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reduce our share capital and any capital redemption reserve fund in any manner authorized by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75% in value of shareholders, or (b) a majority in number representing 75% in value of creditors, depending on the circumstances,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9" w:lineRule="exact"/>
        <w:rPr>
          <w:sz w:val="20"/>
          <w:szCs w:val="20"/>
          <w:color w:val="auto"/>
        </w:rPr>
      </w:pPr>
    </w:p>
    <w:p>
      <w:pPr>
        <w:ind w:left="1000" w:hanging="317"/>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required vote have been complied with;</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and as a general rule a derivative action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Cayman Islands law does not (other than as set forth hereafter)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72"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March 2015, SAFE released the Circular on Reforming the Management Approach regarding the Foreign Exchange Capital Settlement of Foreign Invested Enterprises,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foreign invested enterprises may settle a specified proportion of their foreign exchange capital in banks at their discretion, and may choose the timing for such settlement. The proportion of foreign exchange capital to be settled at foreign invested enterprises’ discretion for the time being is 100% and the SAFE may adjust the proportion in due time based on the situation of international balance of payments. The foreign invested enterprises’ capital and Renminbi capital gained from the settlement of foreign exchange capital may not be directly or indirectly used for expenditure beyond the business scope of the foreign invested enterprises or as prohibited by laws and regulations of the PRC. Such capital may not be directly or indirectly used for investments in securities, except as otherwise provided by laws and regulations. Except foreign-funded real estate enterprises, such capital may not be used for paying the costs relevant to the purchase of the real estate not for self-use. Such capital also may not be directly or indirectly used for issuing Renminbi entrusted loans except as permitted by the business scope of the foreign invested enterprise,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foreign invested enterprises may either continue to follow the current payment-based foreign currency settlement system or choose to follow the “conversion-at-will” system for foreign currency settlement. Where a Foreign Invested Enterprise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Foreign Invested Enterprise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Article 8.2, which became effective on January 1, 2020). Under Notice 28, foreign invested enterprises without an investment business scope are also allowed to utilize and convert capital received from foreign investors for making equity investment in China. Previously this had been limited to foreign invested enterprises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China mainland subsidiaries incurs debt on its own behalf in the future, the instruments governing the debt may restrict its ability to pay dividends or make other distributions to 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pursuant to regulations promulgated by SAFE, China mainland subsidiaries of offshore parent companies may be prohibited from making distributions of profits to such offshore parent companies and from paying the offshore parent companies proceeds from any reduction in capital, share transfer or liquidation in respect of such China mainland subsidiaries, if PRC shareholders with a direct or indirect stake in the offshore parent company fail to make the requisite SAFE registrations.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more information about foreign exchange regulation,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Doing Business in China—Regulation on currency exchange may limit our ability to utilize our revenues effectively.”</w:t>
      </w:r>
    </w:p>
    <w:p>
      <w:pPr>
        <w:spacing w:after="0" w:line="179"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PRC, Hong Kong and United States federal income tax consequences relevant to the purchase, ownership or sale of our ordinary shares or ADSs is based upon laws and relevant interpretations thereof in effect as of the date of the filing of this annual report, all of which are subject to change. To the extent that the discussion relates to matters of Cayman Islands tax law, it represents the opinion of Maples and Calder (Hong Kong) LLP, our Cayman Islands counsel.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 things,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because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Doing Business in China—We and our shareholders face uncertainties with respect to indirect transfers of equity interests in PRC resident enterprises by a non-PRC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Hong Kong were subject to income tax on their taxable income generated from operations in Hong Kong at a rate of 16.5%. For the years 2022, 2023 and 2024, the first HK$2 million of profits earned by one of our subsidiaries incorporated in Hong Kong was taxed at a rate of 8.25%, while the remaining profits were taxed at the 16.5% tax rate. The payments of dividends by these companies to us are not subject to any Hong Kong withholding tax.</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Dealings in our ordinary shares registered on our Hong Kong share register are subject to Hong Kong stamp duty. The stamp duty is charged to each of the seller and purchaser at the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3.D. “Key Information—Risk Factors—Risks Related to Our ADSs and Shares—There is uncertainty as to whether Hong Kong stamp duty will apply to deposits of our ordinary shares into or withdrawal of our ordinary shares from the ADS facility or trading of our ADSs.”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Taxation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United States federal income tax considerations applicable to the purchase, ownership and disposition of our ordinary shares or ADSs by a U.S. Holder (as defined below) who holds such ordinary shares or ADSs as capital assets within the meaning of Section 1221 of the Code (generally, property held for investment). This summary does not purport to be a complete analysis of all potential United States federal income tax consequences of the purchase, ownership, and disposition of the ordinary shares or ADSs. This discussion is based on the Code as in effect on the date of this annual report and on United States Treasury regulations in effect or, in some cases, proposed, as of the date of the filing of this annual report, as well as judicial and administrative interpretations thereof available on or before such date. All of the foregoing authorities are subject to change, which change could apply retroactively and could affect the tax consequences described below. No assurance can be given that the IRS would not assert, or that a court would not sustain, a position contrary to any of the tax consequences described below.</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76" w:lineRule="exact"/>
        <w:rPr>
          <w:sz w:val="20"/>
          <w:szCs w:val="20"/>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 in stocks, securities, commodities or currencies;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(including securities traders) that use a mark-to-market accounting method;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financial institutions;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ADSs as part of a hedging, conversion, straddle,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ordinary shares or ADSs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or pass-through entities for U.S. federal income tax purposes, or persons holding ADSs or ordinary shares through such entities;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indirect or constructive owners of 10% or more of the total combined vote or value of all classes of our equity;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ordinary shares or ADSs pursuant to the exercise of any employee share option or otherwise as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U.S. federal estate, gift, and other non-income tax considerations, the Medicare contribution tax on certain net investment income, or any state, local or non-U.S. tax considerations, relating to the ownership or disposition of our ordinary shares or ADSs. Prospective purchasers are urged to consult their tax advisors about the United States federal, state and local and non-U.S. tax consequences to them of the purchase, ownership and disposition of our ordinary shares or ADSs.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summary, “U.S. Holder” means a beneficial holder of our ordinary shares or ADSs that for United States federal income tax purposes is:</w:t>
      </w:r>
    </w:p>
    <w:p>
      <w:pPr>
        <w:spacing w:after="0" w:line="162" w:lineRule="exact"/>
        <w:rPr>
          <w:sz w:val="20"/>
          <w:szCs w:val="20"/>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court within the United States is able to exercise primary supervision over the administration of such trust and one or more “United States persons” (within the meaning of Section 7701(a)(30) of the Code) have the authority to control all substantial decisions of the trust, or (b) if a valid election is in effect to be treated as a United States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classified as a partnership for United States federal income tax purposes holds ordinary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ordinary shares or ADSs, you should consult your tax advisor regarding the U.S. federal income tax consequences of acquiring, owning or disposing of our ordinary shares or ADSs.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performed in accordance with their terms. Based on such assumptions, a U.S. Holder of ADSs generally should be treated as the owner of the underlying ordinary shares represented by those ADSs for United States federal income tax purposes. Accordingly, no gain or loss will be recognized if a U.S. Holder exchanges ADSs for the underlying shares represented by those ADSs.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Treasury Department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Dividends and Other Distributions on the Ordinary Shares or ADSs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in respect of dividends received from other United States corporations. Distributions in excess of current and accumulated earnings and profits will be treated as a non-taxable return of capital to the extent of the U.S. Holder’s adjusted tax basis in the ordinary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ordinary shares or ADSs will constitute dividend income even if that distribution would otherwise be treated as a non-taxable return of capital or as capital gain under the rules described above. U.S. Holders should consult their tax advisors with respect to the appropriate United States federal income tax treatment of any distribution received from our company. This discussion assumes that distributions, if any, will be made in U.S. dollars.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Companies” below. Dividends may be taxed at the lower applicable capital gains rate provided that (1) our ordinary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Alternatively, certain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income tax treaty between the United States and the PRC, or the U.S.-PRC Tax Treaty, for purposes of these rules. U.S. Holders should consult their tax advisors regarding the availability of the reduced tax rates on dividends paid with respect to our ordinary shares or ADSs in light of their particular circumstances.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ordinary shares or ADSs. For purposes of calculating the U.S. foreign tax credit, dividends paid on our ordinary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Recently issued U.S. Treasury regulations may restrict the availability of any such credit based on the nature of the tax imposed by the foreign jurisdiction, though under current IRS guidance, taxpayers generally may elect to determine the creditability of foreign taxes without regard to such restrictions for taxable years ending prior to the year further guidance is issued. The U.S. foreign tax credit rules are complex. U.S. Holders should consult their tax advisors regarding the foreign tax credit rules in light of their particular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Disposition of Ordinary Shares or ADSs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you will generally recognize taxable gain or loss on any sale or exchange or other taxable disposition of an ordinary share or ADS in an amount equal to the difference between the amount realized for the ordinary share or ADS and your adjusted tax basis in the ordinary share or ADS. The gain or loss will generally be capital gain or loss and will be long-term capital gain or loss if you have held the ordinary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ordinary shares or ADSs, such gain may be treated as PRC source gain under the U.S.-PRC Tax Treaty, in which case a U.S. Holder eligible for treaty benefits may be able to claim a foreign tax credit, subject to applicable limitations. See the discussion above under the heading “—Taxation of Dividends and Other Distributions on the Ordinary Shares or ADSs” regarding the potential availability of U.S.-PRC Tax Treaty benefits. Recently issued U.S. Treasury regulations may impose additional restrictions on the creditability of any PRC taxes on disposition gains, though under current IRS guidance, taxpayers generally may elect to determine the creditability of foreign taxes without regard to such restrictions for taxable years ending prior to the year further guidance is issued.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ordinary shares or ADSs, including the availability of the U.S. foreign tax credit and the ability and whether to treat any gain as PRC source gain for the purposes of the U.S. foreign tax credit in consideration of their particular circumstances.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Passive Foreign Investment Companies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any taxable year in which, after taking into account the income and assets of the corporation and certain subsidiaries pursuant to applicable “look-through rules,” either (i) 75% or more of its gross income for such taxable year is “passive income” or (ii) 50% or more of the value of our assets (generally determined on the basis of a quarterly average) during such taxable year is attributable to assets that either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be treated as owning our proportionate share of the assets and earning our proportionate share of the income of any other corporation in which we own, directly or indirectly, 25% or more (by value) of the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if we are classified as a PFIC in any taxable year with respect to which a U.S. Holder owns ordinary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 with respect to a U.S. Holder (as discussed below under the heading “—U.S. Federal Income Tax Treatment of a Shareholder of a PFIC”).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value of our assets, including goodwill, and the composition of our income and assets, we do not believe that we were a PFIC for the taxable year ended December 31, 2024. We have not obtained any opinion of counsel or any rulings from the IRS regarding our status as a PFIC. The PFIC determination is highly fact-intensive and made at the end of each taxable year. We hold and may continue to hold a substantial amount of cash and cash equivalents. In addition, the value of our assets, including goodwill, for purposes of the asset test will generally be determined by reference to the market price of the ADSs and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a Shareholder of a PFIC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owns ordinary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ordinary shares or ADSs in a taxable year that are greater than 125% of the average annual distributions received by the U.S. Holder in the three preceding taxable years or, if shorter, the U.S. Holder’s holding period for the ordinary shares or ADSs) and (ii) any gain realized on the sale or other disposition of ordinary shares or ADSs.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in any year with respect to a U.S. Holder, and any of our subsidiaries are also PFICs (“lower-tier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After the deemed sale election, the ordinary shares or ADSs with respect to which the deemed sale election was made will not be treated as shares in a PFIC unless we subsequently become a PFIC. However, gain recognized as a result of making the deemed sale election would be subject to the adverse rules described above and loss would not be recognized.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in any year with respect to a U.S. Holder, such U.S. Holder generally will be required to file an annual information return on IRS Form 8621 (or other then applicable IRS Form or statement) regarding distributions received on our ordinary shares or ADSs and any gain realized on the disposition of our ordinary shares or ADSs, and certain U.S. Holders will be required to file an annual information return (also on IRS Form 8621 or other then applicable IRS Form or statement) relating to their ownership of our ordinary shares or ADSs.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Mark-to-Market Election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a U.S. Holder may be eligible to make a mark-to-market election with respect to its ordinary shares or ADSs if such ordinary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Holder that makes an effective mark-to-market election must include in gross income, as ordinary income, rather than capital gain, for each taxable year an amount equal to the excess, if any, of the fair market value of the ordinary shares or ADSs, as applicable, at the close of the taxable year over the U.S. Holder’s adjusted basis in the ordinary shares or ADSs.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electing U.S. Holder may also claim an ordinary loss deduction for the excess, if any, of the U.S. Holder’s adjusted tax basis in such ordinary shares or ADSs over their fair market value at the close of the taxable year, but this deduction is allowable only to the extent of any net mark-to-market gains previously included in income pursuant to the mark-to-market election. The adjusted tax basis of a U.S. Holder’s ordinary shares or ADSs with respect to which the mark-to-market election applies would be adjusted to reflect amounts included in gross income or allowed as a deduction because of such election. If a U.S. Holder makes an effective mark-to-market election with respect to our ordinary shares or ADSs, gains from an actual sale or other disposition of such ordinary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in which a U.S. Holder owns ordinary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ordinary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Prospective investors should consult their tax advisors regarding the availability of, and the procedure for, and the effect of making, a mark-to-market election, and whether making the election would be advisable, including in light of their particular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“QEF” Election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Holder would need to make a QEF election if we are classified as a PFIC.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ASSURANCE CAN BE GIVEN THAT WE HAVE NOT BEEN A PFIC,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 Specified Foreign Financial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proceeds of a sale or other disposition, as well as dividends paid with respect to ordinary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p>
      <w:pPr>
        <w:spacing w:after="0" w:line="180" w:lineRule="exact"/>
        <w:rPr>
          <w:sz w:val="20"/>
          <w:szCs w:val="20"/>
          <w:color w:val="auto"/>
        </w:rPr>
      </w:pPr>
    </w:p>
    <w:p>
      <w:pPr>
        <w:ind w:left="1000" w:hanging="31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generally his or her social security number;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tax advisors regarding the information reporting obligations that may arise from their acquisition, ownership or disposition of our ordinary shares or ADSs.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DISCUSSION DOES NOT COVER ALL TAX MATTERS THAT MAY BE OF IMPORTANCE TO A PARTICULAR INVESTOR. PROSPECTIVE INVESTORS ARE STRONGLY URGED TO CONSULT THEIR TAX ADVISORS ABOUT THE TAX CONSEQUENCES OF AN INVESTMENT IN OUR ORDINARY SHARES OR ADSs.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an exempted company incorporated in the Cayman Islands because of the following benefits found there:</w:t>
      </w:r>
    </w:p>
    <w:p>
      <w:pPr>
        <w:spacing w:after="0" w:line="225" w:lineRule="exact"/>
        <w:rPr>
          <w:sz w:val="20"/>
          <w:szCs w:val="20"/>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162" w:lineRule="exact"/>
        <w:rPr>
          <w:sz w:val="20"/>
          <w:szCs w:val="20"/>
          <w:color w:val="auto"/>
        </w:rPr>
      </w:pPr>
    </w:p>
    <w:p>
      <w:pPr>
        <w:ind w:left="1000" w:hanging="31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provides significantly less protection to investors;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current operations is conducted in China through our wholly-owned subsidiaries which are incorporated in China, Hong Kong, the BVI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Maples and Calder (Hong Kong) LLP, our counsel as to Cayman Islands law, and Zhong Lun Lawyers, our counsel as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law, have advised us, respectively, that there is uncertainty as to whether the courts of the Cayman Islands or China would:</w:t>
      </w:r>
    </w:p>
    <w:p>
      <w:pPr>
        <w:spacing w:after="0" w:line="207" w:lineRule="exact"/>
        <w:rPr>
          <w:sz w:val="20"/>
          <w:szCs w:val="20"/>
          <w:color w:val="auto"/>
        </w:rPr>
      </w:pPr>
    </w:p>
    <w:p>
      <w:pPr>
        <w:ind w:firstLine="656"/>
        <w:spacing w:after="0" w:line="282" w:lineRule="auto"/>
        <w:tabs>
          <w:tab w:leader="none" w:pos="9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76" w:lineRule="exact"/>
        <w:rPr>
          <w:sz w:val="20"/>
          <w:szCs w:val="20"/>
          <w:color w:val="auto"/>
        </w:rPr>
      </w:pPr>
    </w:p>
    <w:p>
      <w:pPr>
        <w:ind w:left="660" w:right="7020" w:hanging="652"/>
        <w:spacing w:after="0" w:line="500" w:lineRule="auto"/>
        <w:tabs>
          <w:tab w:leader="none" w:pos="64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80" w:hanging="672"/>
        <w:spacing w:after="0"/>
        <w:tabs>
          <w:tab w:leader="none" w:pos="6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statements have been prepared in accordance with U.S. GAAP.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72" w:lineRule="exact"/>
        <w:rPr>
          <w:sz w:val="20"/>
          <w:szCs w:val="20"/>
          <w:color w:val="auto"/>
        </w:rPr>
      </w:pPr>
    </w:p>
    <w:p>
      <w:pPr>
        <w:ind w:left="660" w:right="7440" w:hanging="652"/>
        <w:spacing w:after="0" w:line="500" w:lineRule="auto"/>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580" w:hanging="652"/>
        <w:spacing w:after="0" w:line="537" w:lineRule="auto"/>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the interest income generated by excess cash invested in financial products issued by commercial banks in China, as well as interest expenses payable on our short-term and long-term bank borrowings. All of our short-term bank borrowings as of December 31, 2024 were at fixed rates.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2024, a 10% change in the interest rate would result in an increase or decrease of RMB492.1 million (US$67.4 million) of our total amount of net interest income and of RMB48.7 million (US$6.7 million) of our total amount of investment income from short-term investments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majority of our revenues and expenses are denominated in Renminbi, but as noted above, a certain portion of our cash is also kept in U.S. dollars as well as various other currencies. Although we believe that, in general, our exposure to foreign exchange risks should be limited, the value of our ADSs will be affected by the foreign exchange rate between U.S. dollars, other foreign currencies and Renminbi. For example, to the extent that we need to convert U.S. dollars and other foreign currencies into Renminbi for our operational needs and the Renminbi appreciates against the U.S. dollars and other foreign currencies at that time, our financial position and the price of our ADSs may be adversely affected. Conversely, if we decide to convert our Renminbi into U.S. dollars for the purpose of declaring dividends on our ADSs or otherwise and the U.S. dollar or other foreign currencies appreciates against the Renminbi, the U.S. dollar equivalent of our earnings from our subsidiaries and controlled entities in China would be reduced.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gains of RMB255.4 million (US$35.0 million) in 2024, compared to net foreign exchange losses of RMB133.0 million in 2023.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  </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U.S. dollar-denominated debt outstanding of US$1.0 billion. If the U.S. dollar had appreciated/depreciated by 10% against the Renminbi, our U.S. dollar-denominated debt as of December 31, 2024 would have increased/decreased by RMB729.9 million in Renminbi terms.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U.S. dollar-denominated cash and cash equivalents and time deposits of US$12.2 billion. If the U.S. dollar had appreciated/depreciated by 10% against the Renminbi, our U.S. dollar-denominated cash and cash equivalents and time deposits as of December 31, 2024 would have increased/decreased by RMB8.9 billion in Renminbi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jc w:val="both"/>
        <w:ind w:left="660" w:right="8120" w:hanging="652"/>
        <w:spacing w:after="0" w:line="530" w:lineRule="auto"/>
        <w:tabs>
          <w:tab w:leader="none" w:pos="637"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680" w:hanging="652"/>
        <w:spacing w:after="0" w:line="530" w:lineRule="auto"/>
        <w:tabs>
          <w:tab w:leader="none" w:pos="624"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40" w:hanging="652"/>
        <w:spacing w:after="0" w:line="530" w:lineRule="auto"/>
        <w:tabs>
          <w:tab w:leader="none" w:pos="637"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660" w:right="7100" w:hanging="652"/>
        <w:spacing w:after="0" w:line="503" w:lineRule="auto"/>
        <w:tabs>
          <w:tab w:leader="none" w:pos="627"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 Our ADSs</w:t>
      </w:r>
    </w:p>
    <w:p>
      <w:pPr>
        <w:ind w:left="660" w:right="2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representing our ordinary shares trade on Nasdaq. Dealings in our ADSs on Nasdaq are conducted in U.S. dollars. ADSs may be held either:</w:t>
      </w:r>
    </w:p>
    <w:p>
      <w:pPr>
        <w:spacing w:after="0" w:line="1" w:lineRule="exact"/>
        <w:rPr>
          <w:rFonts w:ascii="Times New Roman" w:cs="Times New Roman" w:eastAsia="Times New Roman" w:hAnsi="Times New Roman"/>
          <w:sz w:val="18"/>
          <w:szCs w:val="18"/>
          <w:b w:val="1"/>
          <w:bCs w:val="1"/>
          <w:color w:val="auto"/>
        </w:rPr>
      </w:pPr>
    </w:p>
    <w:p>
      <w:pPr>
        <w:jc w:val="both"/>
        <w:ind w:left="1000" w:hanging="317"/>
        <w:spacing w:after="0" w:line="266" w:lineRule="auto"/>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by holding a security entitlement in ADSs through a broker or other financial institution that is a direct or indirect participant in The Depository Trust Company, also called DTC.</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for our ADSs is The Bank of New York Mellon, whose office is located at 240 Greenwich Street, New York, New York 10286,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Fees and charges our ADS holders may have to pay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refuse to provide fee-attracting services until its fees for those services are paid.</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40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US$5.00 or less per 100 ADSs (or portion of 100 ADSs)</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Issuance of ADSs, including issuances resulting from</w:t>
            </w: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distribution of ordinary shares or rights or other</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w:t>
            </w:r>
          </w:p>
        </w:tc>
      </w:tr>
      <w:tr>
        <w:trPr>
          <w:trHeight w:val="414"/>
        </w:trPr>
        <w:tc>
          <w:tcPr>
            <w:tcW w:w="4200" w:type="dxa"/>
            <w:vAlign w:val="bottom"/>
          </w:tcPr>
          <w:p>
            <w:pPr>
              <w:spacing w:after="0"/>
              <w:rPr>
                <w:sz w:val="24"/>
                <w:szCs w:val="24"/>
                <w:color w:val="auto"/>
              </w:rPr>
            </w:pP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Cancellation of ADSs for the purpose of withdrawal,</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US$0.02 or less per ADS</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Cash  dividend  or  any  cash  distribution  to  ADS</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holders</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 fee equivalent to the fee that would be payable if</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Distribution of securities distributed to holders of</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securities distributed to you had been shares and the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shares had been deposited for issuance of ADSs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US$1.50 or less per certificate presented for transfer</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Transfer of American depositary receipts, or ADRs</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or transfer fees</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Transfer  and  registration  of  shares  on  our  share</w:t>
            </w: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Cable (including SWIFT) and facsimile transmissions</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432"/>
        </w:trPr>
        <w:tc>
          <w:tcPr>
            <w:tcW w:w="4200" w:type="dxa"/>
            <w:vAlign w:val="bottom"/>
          </w:tcPr>
          <w:p>
            <w:pPr>
              <w:spacing w:after="0"/>
              <w:rPr>
                <w:sz w:val="24"/>
                <w:szCs w:val="24"/>
                <w:color w:val="auto"/>
              </w:rPr>
            </w:pPr>
          </w:p>
        </w:tc>
        <w:tc>
          <w:tcPr>
            <w:tcW w:w="4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  custodian  has  to  pay  on  any  ADSs  or  shares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w w:val="99"/>
              </w:rPr>
              <w:t>underlying ADSs, such as stock transfer taxes, stamp duty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or withholding taxes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servicing the deposited securities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Fees and other payments made by the depositary to us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 Our depositary has agreed to share with us certain fees payable to the depositary by holders of ADSs. For the year ended December 31, 2024, the depositary paid us US$1.5 million pursuant to this arrangement.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ordinary shares trade on the Hong Kong Stock Exchange in board lots of 100 ordinary shares. Dealings in our ordinary shares on the Hong Kong Stock Exchange will be conducted in Hong Kong dollars.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costs of dealings in our ordinary shares on the Hong Kong Stock Exchange include:</w:t>
      </w:r>
    </w:p>
    <w:p>
      <w:pPr>
        <w:spacing w:after="0" w:line="225" w:lineRule="exact"/>
        <w:rPr>
          <w:sz w:val="20"/>
          <w:szCs w:val="20"/>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(AFRC) Transaction Levy of 0.00015% (rounded to the nearest cent) is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3"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 valorem </w:t>
      </w:r>
      <w:r>
        <w:rPr>
          <w:rFonts w:ascii="Times New Roman" w:cs="Times New Roman" w:eastAsia="Times New Roman" w:hAnsi="Times New Roman"/>
          <w:sz w:val="18"/>
          <w:szCs w:val="18"/>
          <w:color w:val="auto"/>
        </w:rPr>
        <w:t>stamp duty at a total rate of 0.2% of the value of the transaction, with 0.1% payable by each of the buyer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seller;</w:t>
      </w:r>
    </w:p>
    <w:p>
      <w:pPr>
        <w:spacing w:after="0" w:line="16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HKSCC and HKSCC Operational Procedures in effect from time to time. For an investor who holds the physical certificates, settlement certificates and the duly executed transfer forms must be delivered to his/her broker or custodian before the settlement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ordinary shares in Hong Kong, or the Hong Kong Public Offering, we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Maples Fund Services (Cayman) Limited.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ordinary shares offered in the Hong Kong Public Offering were registered on the Hong Kong share register in order to be listed and traded on the Hong Kong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Ordinary Shares Trading in Hong Kong into 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ordinary shares trading in Hong Kong in exchange for ADSs involves the following procedures: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ADSs to Ordinary Shares Trading in Hong Kong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the ordinary shares outside CCASS, he/she must so indicate in the instruction delivered to the depositary.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the ordinary shares, the depositary may require:</w:t>
      </w:r>
    </w:p>
    <w:p>
      <w:pPr>
        <w:spacing w:after="0" w:line="225" w:lineRule="exact"/>
        <w:rPr>
          <w:sz w:val="20"/>
          <w:szCs w:val="20"/>
          <w:color w:val="auto"/>
        </w:rPr>
      </w:pPr>
    </w:p>
    <w:p>
      <w:pPr>
        <w:ind w:left="98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the ordinary shares to effect a withdrawal from or deposit of the ordinary shares into our ADS program will be borne by the investor requesting the transfer or deposit. In particular, holders of ordinary shares and ADSs should note that the Hong Kong Share Registrar will charge between HK$2.50 to HK$20, depending on the speed of service (or such higher fee as may from time to time be permitted under the Hong Kong Listing Rules), for each transfer of the ordinary shares from one registered owner to another, each share certificate canceled or issued by it and any applicable fee as stated in the share transfer forms used in Hong Kong. In addition, holders of the ordinary shares and ADSs must pay up to US$5.00 per 100 ADSs (or portion thereof) for each issuance of ADSs and each cancelation of ADSs, as the case may be, in connection with the deposit of the ordinary shares into, or withdrawal of the ordinary shares from, the ADS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William Lei Ding, our Chief Executive Officer, and Sarah Li, our Head of Financial Reporting (principal financial officer), have conducted an evaluation pursuant to Rule 13a-15 promulgated under the Exchange Act, as amended, of the effectiveness of our disclosure controls and procedures as of December 31, 2024. Based on this evaluation, our Chief Executive Officer and our Head of Financial Reporting concluded that such disclosure controls and procedures were effective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management’s annual report on internal control over financial reporting is included in this annual report on pages F-2.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PricewaterhouseCoopers Zhong Tian LLP, our independent registered public accounting firm that audited our financial statements included in this annual report, has issued an attestation report on the effectiveness of our internal control over the financial reporting period of December 31, 2024, which can be found on page F-3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The Code of Business Conduct may also apply on a contractual basis to other persons (e.g. third party vendors) that provide goods or services to, or act on half of, the NetEase group and is intended to qualify as a “code of ethics” within the meaning of the applicable rules of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Code of Business Conduct is filed as an exhibit to this annual report on Form 20-F and also available on our website under the Investor Relations section at https://ir.netease.com.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Fees Charged by Independent Accountants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charged by PricewaterhouseCoopers Zhong Tian LLP and its affiliates for certain services rendered to us during 2023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24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2023</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(1)</w:t>
            </w:r>
          </w:p>
        </w:tc>
      </w:tr>
      <w:tr>
        <w:trPr>
          <w:trHeight w:val="129"/>
        </w:trPr>
        <w:tc>
          <w:tcPr>
            <w:tcW w:w="24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80" w:type="dxa"/>
            <w:vAlign w:val="bottom"/>
            <w:gridSpan w:val="3"/>
          </w:tcPr>
          <w:p>
            <w:pPr>
              <w:jc w:val="right"/>
              <w:ind w:right="537"/>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r>
      <w:tr>
        <w:trPr>
          <w:trHeight w:val="216"/>
        </w:trPr>
        <w:tc>
          <w:tcPr>
            <w:tcW w:w="7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r>
      <w:tr>
        <w:trPr>
          <w:trHeight w:val="216"/>
        </w:trPr>
        <w:tc>
          <w:tcPr>
            <w:tcW w:w="7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7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All other fees </w:t>
            </w:r>
            <w:r>
              <w:rPr>
                <w:rFonts w:ascii="Times New Roman" w:cs="Times New Roman" w:eastAsia="Times New Roman" w:hAnsi="Times New Roman"/>
                <w:sz w:val="25"/>
                <w:szCs w:val="25"/>
                <w:color w:val="auto"/>
                <w:vertAlign w:val="superscript"/>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28,721</w:t>
            </w:r>
          </w:p>
        </w:tc>
      </w:tr>
      <w:tr>
        <w:trPr>
          <w:trHeight w:val="101"/>
        </w:trPr>
        <w:tc>
          <w:tcPr>
            <w:tcW w:w="248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disclosed are exclusive of out-of-pocket expenses, which totaled approximately RMB1.3 million and RMB1.3 million in 2023 and 2024, respectively.</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for professional services rendered by our principal auditors for the audit of our annual financial statements and our internal controls over financial reporting, as well as assistance with and review of documents filed with the SEC and other statutory and regulatory filings.</w:t>
      </w:r>
    </w:p>
    <w:p>
      <w:pPr>
        <w:spacing w:after="0" w:line="13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billed in each of the fiscal years for professional services rendered by our principal auditors for tax compliance and tax advice.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includes the aggregate fees billed in each of the fiscal years for non-audit services rendered which were not listed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p>
      <w:pPr>
        <w:spacing w:after="0" w:line="135" w:lineRule="exact"/>
        <w:rPr>
          <w:sz w:val="20"/>
          <w:szCs w:val="20"/>
          <w:color w:val="auto"/>
        </w:rPr>
      </w:pPr>
    </w:p>
    <w:p>
      <w:pPr>
        <w:ind w:left="1000" w:right="20" w:hanging="317"/>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in its sole discretion then approves or disapproves the proposed services and documents such approval, if given, through written resolutions or in the minutes of meetings, as the case may be.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services related to us provided by PricewaterhouseCoopers Zhong Tian LLP and its affiliates listed above have been approved by our audit committee.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sought an exemption from the applicable listing standards for the audit committee of our board of directors.</w:t>
      </w:r>
    </w:p>
    <w:p>
      <w:pPr>
        <w:spacing w:after="0" w:line="19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17, 2022, we announced a share repurchase program authorized by our board of directors pursuant to which we were authorized to purchase up to US$5.0 billion of our outstanding ADSs and ordinary shares for a period not to exceed 36 months. This share repurchase program became effective on January 10, 2023, immediately following the expiration of the prior program authorized by our board of directors in February 2021. As of December 31, 2024, approximately 21.2 million ADSs were repurchased in open market transactions under this program for a total cost of US$1.9 billion.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ADSs that we repurchased for each month in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ADSs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vMerge w:val="restart"/>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ADSs</w:t>
            </w:r>
          </w:p>
        </w:tc>
        <w:tc>
          <w:tcPr>
            <w:tcW w:w="220" w:type="dxa"/>
            <w:vAlign w:val="bottom"/>
          </w:tcPr>
          <w:p>
            <w:pPr>
              <w:spacing w:after="0"/>
              <w:rPr>
                <w:sz w:val="12"/>
                <w:szCs w:val="12"/>
                <w:color w:val="auto"/>
              </w:rPr>
            </w:pPr>
          </w:p>
        </w:tc>
        <w:tc>
          <w:tcPr>
            <w:tcW w:w="12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w:t>
            </w:r>
          </w:p>
        </w:tc>
        <w:tc>
          <w:tcPr>
            <w:tcW w:w="2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76"/>
        </w:trPr>
        <w:tc>
          <w:tcPr>
            <w:tcW w:w="470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Purchased</w:t>
            </w:r>
            <w:r>
              <w:rPr>
                <w:rFonts w:ascii="Times New Roman" w:cs="Times New Roman" w:eastAsia="Times New Roman" w:hAnsi="Times New Roman"/>
                <w:sz w:val="20"/>
                <w:szCs w:val="20"/>
                <w:b w:val="1"/>
                <w:bCs w:val="1"/>
                <w:color w:val="auto"/>
                <w:w w:val="99"/>
                <w:vertAlign w:val="superscript"/>
              </w:rPr>
              <w:t>(1)</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Latest Plan</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1,030,966</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94,688,124</w:t>
            </w:r>
          </w:p>
        </w:tc>
        <w:tc>
          <w:tcPr>
            <w:tcW w:w="1360" w:type="dxa"/>
            <w:vAlign w:val="bottom"/>
            <w:tcBorders>
              <w:top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4,261,204,679</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39,905,645</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4,221,299,034</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32,294,288</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4,189,004,746</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74,055,442</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4,114,949,304</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77,516,011</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4,037,433,293</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122,334,549</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3,915,098,744</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136,001,832</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3,779,096,912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225,222,863</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3,553,874,049</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182,115,435</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3,371,758,614</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89,187,139</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3,282,571,475</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101,968,013</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3,180,603,462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592,488</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54,271,868</w:t>
            </w:r>
          </w:p>
        </w:tc>
        <w:tc>
          <w:tcPr>
            <w:tcW w:w="1360" w:type="dxa"/>
            <w:vAlign w:val="bottom"/>
            <w:tcBorders>
              <w:bottom w:val="single" w:sz="8" w:color="CCEEFF"/>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3,126,331,594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13,939,834</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1,229,561,209</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Our ADS to ordinary share ratio is one ADS for every five ordinary shares.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31, 2021, we announced a share purchase program authorized by our board of directors pursuant to which we were authorized to purchase up to US$50.0 million worth of Youdao’s outstanding ADSs on the New York Stock Exchange in open market transactions beginning on September 2, 2021 and for a period not to exceed 36 months. The program has expired and as of December 31, 2024, an aggregate of approximately 2.7 million ADSs had been purchased in the open market under this program for approximately US$22.0 million.</w:t>
      </w:r>
    </w:p>
    <w:p>
      <w:pPr>
        <w:spacing w:after="0" w:line="17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permitted by NASDAQ, in lieu of the NASDAQ corporate governance rules, but subject to certain exceptions, we may follow the practices of our home country which for the purpose of such rules is the Cayman Islands. Specifically, although we sought and obtained shareholder’s approval for the amended and restated 2019 Share Plan at the annual general meeting of shareholders held on June 15, 2023, our board of directors had initially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NetEase, Inc.’s board of directors has adopted insider trading policies and procedures governing the purchase, sale, and other dispositions of NetEase, Inc.’s securities by directors, senior management, and employees that are reasonably designed to promote compliance with applicable insider trading laws, rules and regulations, and any listing standards applicable to us. A copy of the insider trading policy of NetEase, Inc. is filed as an exhibit to this annual report on Form 20-F and incorporated herein by reference.</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designed to protect the confidentiality, integrity, and availability of our critical systems and information. Our cybersecurity risk management program is integrated into our overall enterprise risk management program and shares common methodologies, reporting channels and governance processes that apply across the risk management program to other risk areas.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the following:</w:t>
      </w:r>
    </w:p>
    <w:p>
      <w:pPr>
        <w:spacing w:after="0" w:line="225" w:lineRule="exact"/>
        <w:rPr>
          <w:sz w:val="20"/>
          <w:szCs w:val="20"/>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IT systems and information;</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office, supported by security teams of business units, principally responsible for managing (1) our cybersecurity risk assessment processes, (2) our security controls, and (3) our response to cybersecurity incidents;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incident management policy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review process, where appropriate, to assess the risks associated with the use of key third-party service providers, suppliers, and vendors based on our assessment of their criticality to our operations and respective risk profile.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the filing of this annual report, we have not experienced any material cybersecurity incidents or identified any material cybersecurity threats that have affected or are reasonably likely to materially affect us, our business strategy, results of operations or financial condition. We face certain ongoing risks from cybersecurity threats that, if realized, could potentially materially affect us. See Item 3.D. “Key Information—Risk Factor—Risks Related to Our Operations Overall—Cybersecurity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This could materially adversely affect our business, results of operations and financial condition and expose us to liability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also designated the audit committee to oversee cybersecurity and other information security risks. The audit committee reviews our cybersecurity management and strategy periodically and receives regular reports from the management on our cybersecurity risks. In addition, our management updates the audit committee, where it deems appropriate, regarding cybersecurity incidents it considers to be significant.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management level, we have established an information security committee that is responsible for implementing a global information security program which is aligned with our strategy, establishing and promoting the corresponding policies and procedures, and, as necessary, assisting in ensuring adequate and timely disclosure of information security incidents and certain threats to our company’s management and board of directors, in accordance with our information security incident management policy.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information security committee is comprised of members of senior management and senior personnel, including our chief executive officer, the head of our information security office, and other members of management, leaders of business units and the legal, IT and other departments. The head of our information security office, who reports to our chief executive officer and leads our cybersecurity efforts, has over 15 years of experience in information technology and cybersecurity, with a career that includes various cybersecurity roles at several technology companies.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information security committee reports to the audit committee on the state of information security risks on periodic basis, as well as on an as-needed basis in the case of information security incidents it deems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consolidated financial statements for NetEase, Inc. and its subsidiaries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140" w:type="dxa"/>
            <w:vAlign w:val="bottom"/>
            <w:gridSpan w:val="14"/>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60" w:type="dxa"/>
            <w:vAlign w:val="bottom"/>
            <w:gridSpan w:val="9"/>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6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Second Amended and Restated Memorandum of Association and Articles of Association of NetEase, Inc., as currently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in effect (incorporated by reference to Exhibit 1.1 to our company’s Form 6-K (file no. 000-30666) furnished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SEC on June 15,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American Depositary Receipt of NetEase.com, Inc. (incorporated by reference to Exhibit 4.1 to Amendment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 1 to our company’s Registration Statement on Form F-1 (file no. 333-11724) filed with the SEC on May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Stock Certificate of NetEase.com, Inc. (incorporated by reference to Exhibit 4.2 to Amendment No. 1 to our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9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Deposit Agreement dated July 6, 2000 by and among NetEase.com, Inc., The Bank of New York and the owners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beneficial owners of American depositary receipts (incorporated by reference to Exhibit 1 to our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Registration Statement on Form F-6EF (File No. 333-115868) filed with the SEC on May 26, 2004)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Description of Ordinary Shares (incorporated by reference to Exhibit 2.4 to our company’s Annual Report on Form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4"/>
                <w:szCs w:val="24"/>
                <w:color w:val="auto"/>
              </w:rPr>
            </w:pPr>
          </w:p>
        </w:tc>
        <w:tc>
          <w:tcPr>
            <w:tcW w:w="8600" w:type="dxa"/>
            <w:vAlign w:val="bottom"/>
            <w:gridSpan w:val="13"/>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Description of American Depositary Shares (incorporated by reference to Exhibit 2.5 to our company’s Annual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on Form 20-F for the year ended December 31, 2023 filed with the SEC on April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8600" w:type="dxa"/>
            <w:vAlign w:val="bottom"/>
            <w:gridSpan w:val="13"/>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Proxy Agreement dated April 15, 2009 between NetEase (Hangzhou) Network Co., Ltd. and Zhipeng Hu (incorporated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by reference to Exhibit 3.3 to our company’s Annual Report on Form 20-F for the year ended December 31, 2014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with the SEC on April 24, 2015)</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and Tianlei Hu (incorporated by reference to Exhibit 3.8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and Zhipeng Hu (incorporated by reference to Exhibit 3.9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Amended and Restated Shareholder Voting Right Trust Agreement dated November 30, 2015 among NetEase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Information Technology (Beijing) Co., Ltd., Beijing Guangyitong Advertising Co., Ltd., William Lei Ding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Xiaojun Hui (incorporated by reference to Exhibit 3.7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Shareholder Voting Rights Trust Agreement dated September 26, 2016 between NetEase Youdao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Technology (Beijing) Co., Ltd. and William Lei Ding (incorporated by reference to Exhibit 3.6 to our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Annual Report on Form 20-F for the year ended December 31, 2016 filed with the SEC on April 21, 2017)</w:t>
              </w:r>
            </w:hyperlink>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Shareholder Voting Right Trust Agreement dated November 20, 2017 between NetEase Youdao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Technology (Beijing) Co., Ltd. and Feng Zhou (incorporated by reference to Exhibit 3.8 to our company’s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Report on Form 20-F for the year ended December 31, 2017 filed with the SEC on April 20,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2009 Restricted Share Unit Plan (incorporated by reference to Exhibit 10.1 to our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Form S-8 (file no. 333-164249) filed with the SEC on January 8, 2010)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Employment Agreement between NetEase, Inc. and its executive officers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Exhibit 4.2 to our company’s Annual Report on Form 20-F for the year ended December 31, 2023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on April 25, 2024)</w:t>
              </w:r>
            </w:hyperlink>
          </w:p>
        </w:tc>
        <w:tc>
          <w:tcPr>
            <w:tcW w:w="7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3"/>
            <w:vMerge w:val="restart"/>
          </w:tcPr>
          <w:p>
            <w:pPr>
              <w:ind w:left="39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4.3</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Copyright License Agreement dated February 3, 2000 between NetEase Information Technology (Beijing)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Guangzhou NetEase Computer System Co., Ltd. (incorporated by reference to Exhibit 10.8 to our company’s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Trademark License Agreement dated February 3, 2000 between NetEase Information Technology (Beijing)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Guangzhou NetEase Computer System Co., Ltd. (incorporated by reference to Exhibit 10.9 to our company’s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(to Copyright License Agreement) dated April 27, 2000 between NetEase Information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Technology (Beijing) Co., Ltd. and Guangzhou NetEase Computer System Co., Ltd.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10.10 to Amendment No.1 to our company’s Registration Statement on Form F-1 (file no. 333-11724)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the SEC on May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Renewal dated April 2, 2001 relating to the Copyright License Agreement and the Trademark License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each dated February 3, 2000 and made between NetEase Information Technology (Beijing) Co., Ltd.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Guangzhou NetEase Computer System Co., Ltd. (incorporated by reference to Exhibit 4.14 to our company’s Annual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on Form 20-F for the year ended December 31, 2000 filed with the SEC on August 31, 2001)</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Online Advertising Agreement dated February 15, 2000 between Guangzhou NetEase Computer System Co., Ltd.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Guangyitong Advertising Co., Ltd. (incorporated by reference to Exhibit 10.15 to our company’s Registration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Renewal dated April 2, 2001 relating to the Online Advertising Agreement dated February 15, 2000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made between Guangzhou NetEase Computer System Co., Ltd. and Beijing Guangyitong Advertising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by reference to Exhibit 4.21 to our company’s Annual Report on Form 20-F 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2000 filed with the SEC on August 31, 2001)</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Agreement dated May 12, 2000 between NetEase Information Technology (Beijing) Co., Ltd. and Guangzhou NetEase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Computer System Co., Ltd. (incorporated by reference to Exhibit 10.41 to Amendment No. 1 to our company’s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dated May 12, 2000 (supplementing the Online Advertising Agreement dated 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between Guangzhou NetEase Computer System Co., Ltd. and Beijing Guangyitong Advertising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(incorporated by reference to Exhibit 10.47 to Amendment No. 1 to our company’s Registration Statement on Form F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(file no. 333 - 11724) filed with the SEC on May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Letter of Agreement dated June 6, 2000 among William Lei Ding, Bo Ding and NetEase.com, Inc.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reference to Exhibit 10.49 to Amendment No. 2 to our company’s Registration Statement on Form F-1 (file no. 333-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11724) filed with the SEC on June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dated June 15, 2000 (supplementing the Online Advertising Agreement dated 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between Beijing Guangyitong Advertising Co., Ltd. and Guangzhou NetEase Computer System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by reference to Exhibit 10.50 to Amendment No. 2 to our company’s Registration Statement on Form 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(file no. 333-11724) filed with the SEC on June 15, 2000)</w:t>
            </w:r>
          </w:p>
        </w:tc>
        <w:tc>
          <w:tcPr>
            <w:tcW w:w="0" w:type="dxa"/>
            <w:vAlign w:val="bottom"/>
          </w:tcPr>
          <w:p>
            <w:pPr>
              <w:spacing w:after="0"/>
              <w:rPr>
                <w:sz w:val="1"/>
                <w:szCs w:val="1"/>
                <w:color w:val="auto"/>
              </w:rPr>
            </w:pPr>
          </w:p>
        </w:tc>
      </w:tr>
      <w:tr>
        <w:trPr>
          <w:trHeight w:val="391"/>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540" w:type="dxa"/>
            <w:vAlign w:val="bottom"/>
          </w:tcPr>
          <w:p>
            <w:pPr>
              <w:spacing w:after="0"/>
              <w:rPr>
                <w:sz w:val="24"/>
                <w:szCs w:val="24"/>
                <w:color w:val="auto"/>
              </w:rPr>
            </w:pPr>
          </w:p>
        </w:tc>
        <w:tc>
          <w:tcPr>
            <w:tcW w:w="8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Supplemental Letter of Agreement dated May 17, 2004 (supplementing the Letter Agreement dated June 6, 2000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and among William Lei Ding, Bo Ding and NetEase.com, Inc.) by and among William Lei Ding, Bo Ding, Jun Liang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and NetEase.com, Inc. (incorporated by reference to Exhibit 4.39 to our company’s Annual Report on Form 20-F for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the year ended December 31, 2004 filed with the SEC on June 27, 2005)</w:t>
              </w:r>
            </w:hyperlink>
          </w:p>
        </w:tc>
        <w:tc>
          <w:tcPr>
            <w:tcW w:w="3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3"/>
          </w:tcPr>
          <w:p>
            <w:pPr>
              <w:jc w:val="right"/>
              <w:ind w:right="1359"/>
              <w:spacing w:after="0"/>
              <w:rPr>
                <w:sz w:val="20"/>
                <w:szCs w:val="20"/>
                <w:color w:val="auto"/>
              </w:rPr>
            </w:pPr>
            <w:r>
              <w:rPr>
                <w:rFonts w:ascii="Times New Roman" w:cs="Times New Roman" w:eastAsia="Times New Roman" w:hAnsi="Times New Roman"/>
                <w:sz w:val="18"/>
                <w:szCs w:val="18"/>
                <w:color w:val="auto"/>
              </w:rPr>
              <w:t>186</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gridSpan w:val="7"/>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w:t>
            </w:r>
          </w:p>
        </w:tc>
        <w:tc>
          <w:tcPr>
            <w:tcW w:w="5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Second Supplemental Letter of Agreement dated July 15, 2004 (supplementing the Letter Agreement dated June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2000 by and among William Lei Ding, Bo Ding and NetEase.com, Inc., as supplemented by the Supplemental Letter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Agreement dated May 17, 2004 by and among William Lei Ding, Bo Ding, Jun Liang and NetEase.com, Inc.)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among William Lei Ding, Bo Ding, Jun Liang and NetEase.com, Inc. (incorporated by reference to Exhibit 4.40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company’s Annual Report on Form 20-F for the year ended December 31, 2004 filed with the SEC on June 27, 2005)</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No. 3 Supplemental Letter of Agreement dated July 20, 2004 (supplementing the Letter Agreement dated June 6, 2000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by and among William Lei Ding, Bo Ding and NetEase.com, Inc., as supplemented by the Supplemental Letter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Agreement dated May 17, 2004 and the Second Supplemental Letter of Agreement dated July 15, 2004, each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among William Lei Ding, Bo Ding, Jun Liang and NetEase.com, Inc.) by and among William Lei Ding, Bo Ding, Jun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Liang and NetEase.com, Inc. (incorporated by reference to Exhibit 4.41 to our company’s Annual Report on Form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F for the year ended December 31, 2004 filed with the SEC on June 27, 2005)</w:t>
              </w:r>
            </w:hyperlink>
          </w:p>
        </w:tc>
        <w:tc>
          <w:tcPr>
            <w:tcW w:w="2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540" w:type="dxa"/>
            <w:vAlign w:val="bottom"/>
          </w:tcPr>
          <w:p>
            <w:pPr>
              <w:spacing w:after="0"/>
              <w:rPr>
                <w:sz w:val="24"/>
                <w:szCs w:val="24"/>
                <w:color w:val="auto"/>
              </w:rPr>
            </w:pPr>
          </w:p>
        </w:tc>
        <w:tc>
          <w:tcPr>
            <w:tcW w:w="2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Cooperative Agreement</w:t>
            </w:r>
          </w:p>
        </w:tc>
        <w:tc>
          <w:tcPr>
            <w:tcW w:w="6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Amendment and Novation of Operating Agreement dated May 1, 2014 among NetEase Information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(Beijing) Co., Ltd., Beijing Guangyitong Advertising Co., Ltd., Bo Ding and William Lei Ding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reference to Exhibit 4.33 to our company’s Annual Report on Form 20-F for the year ended December 31, 2014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with the SEC on April 24, 2015)</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Loan Agreement dated May 1, 2014 between NetEase Information Technology (Beijing) Co., Ltd. and Xiaojun Hui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4.35 to our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December 31, 2014 filed with the SEC on April 24, 2015)</w:t>
              </w:r>
            </w:hyperlink>
          </w:p>
        </w:tc>
        <w:tc>
          <w:tcPr>
            <w:tcW w:w="4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Equity Pledge Agreement dated May 1, 2014 between NetEase Information Technology (Beijing) Co., Ltd.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Xiaojun Hui (incorporated by reference to Exhibit 4.36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ended December 31, 2014 filed with the SEC on April 24, 2015)</w:t>
              </w:r>
            </w:hyperlink>
          </w:p>
        </w:tc>
        <w:tc>
          <w:tcPr>
            <w:tcW w:w="39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Amended and Restated Letter of Agreement dated November 30, 2015 among NetEase, Inc., William Lei Ding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Xiaojun Hui (incorporated by reference to Exhibit 4.44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ended December 31, 2015 filed with the SEC on April 22, 2016)</w:t>
              </w:r>
            </w:hyperlink>
          </w:p>
        </w:tc>
        <w:tc>
          <w:tcPr>
            <w:tcW w:w="39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Amended and Restated Loan Agreement dated December 1, 2015 between NetEase (Hangzhou) Network Co., Ltd.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Tianlei Hu (incorporated by reference to Exhibit 4.45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Amended and Restated Loan Agreement dated December 1, 2015 between NetEase (Hangzhou) Network Co., Ltd.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Zhipeng Hu (incorporated by reference to Exhibit 4.46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Amended and Restated Equity Pledge Agreement dated December 1, 2015 between NetEase (Hangzhou) Network Co.,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Ltd. and Tianlei Hu (incorporated by reference to Exhibit 4.47 to our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year ended December 31, 2015 filed with the SEC on April 22,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Amended and Restated Equity Pledge Agreement dated December 1, 2015 between NetEase (Hangzhou) Network Co.,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Ltd. and Zhipeng Hu. (incorporated by reference to Exhibit 4.48 to our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year ended December 31, 2015 filed with the SEC on April 22, 2016)</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Amended and Restated Exclusive Purchase Option Agreement dated December 1, 2015 among NetEase (Hangzhou)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Network Co., Ltd., Hangzhou NetEase Leihuo Technology Co., Ltd. and Tianlei Hu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Exhibit 4.49 to our company’s Annual Report on Form 20-F for the year ended December 31, 2015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on April 22, 2016)</w:t>
              </w:r>
            </w:hyperlink>
          </w:p>
        </w:tc>
        <w:tc>
          <w:tcPr>
            <w:tcW w:w="7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60" w:type="dxa"/>
            <w:vAlign w:val="bottom"/>
            <w:gridSpan w:val="6"/>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4.26</w:t>
            </w:r>
          </w:p>
        </w:tc>
        <w:tc>
          <w:tcPr>
            <w:tcW w:w="5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Amended and Restated Exclusive Purchase Option Agreement dated December 1, 2015 among NetEase (Hangzhou)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Network Co., Ltd., Hangzhou NetEase Leihuo Technology Co., Ltd. and Zhipeng Hu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Exhibit 4.50 to our company’s Annual Report on Form 20-F for the year ended December 31, 2015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on April 22, 2016)</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Amended and Restated Operating Agreement dated December 1, 2015 among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Hangzhou NetEase Leihuo Technology Co., Ltd., Tianlei Hu and Zhipeng Hu (incorporated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0000EE"/>
                </w:rPr>
                <w:t xml:space="preserve"> to our company’s Annual Report on Form 20-F for the year ended December 31, 2015 filed with the SEC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April 22, 2016)</w:t>
              </w:r>
            </w:hyperlink>
          </w:p>
        </w:tc>
        <w:tc>
          <w:tcPr>
            <w:tcW w:w="7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4.28</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Loan Agreement dated September 26, 2016 between William Lei Ding and NetEase Youdao Information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(Beijing) Co., Ltd. (incorporated by reference to Exhibit 4.51 to our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Equity Pledge Agreement dated September 26, 2016 between William Lei Ding and NetEase Youdao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Technology (Beijing) Co., Ltd. (incorporated by reference to Exhibit 4.52 to our company’s Annual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Exclusive Purchase Option Agreement dated September 26, 2016 among William Lei Ding, NetEase Youdao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Information Technology (Beijing) Co., Ltd. and Beijing NetEase Youdao Computer System Co., Ltd.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reference to Exhibit 4.53 to our company’s Annual Report on Form 20-F for the year ended December 31, 2016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with the SEC on April 21, 2017)</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Operating Agreement dated September 26, 2016 among Beijing NetEase Youdao Computer System Co., Ltd., NetEase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Youdao Information Technology (Beijing) Co., Ltd. and William Lei Ding. (incorporated by reference to Exhibit 4.54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to our company’s Annual Report on Form 20-F for the year ended December 31, 2016 filed with the SEC on April 21,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3"/>
          </w:tcPr>
          <w:p>
            <w:pPr>
              <w:ind w:left="540"/>
              <w:spacing w:after="0" w:line="196" w:lineRule="exact"/>
              <w:rPr>
                <w:rFonts w:ascii="Times New Roman" w:cs="Times New Roman" w:eastAsia="Times New Roman" w:hAnsi="Times New Roman"/>
                <w:sz w:val="18"/>
                <w:szCs w:val="18"/>
                <w:color w:val="0000EE"/>
                <w:w w:val="95"/>
              </w:rPr>
            </w:pPr>
            <w:hyperlink r:id="rId242">
              <w:r>
                <w:rPr>
                  <w:rFonts w:ascii="Times New Roman" w:cs="Times New Roman" w:eastAsia="Times New Roman" w:hAnsi="Times New Roman"/>
                  <w:sz w:val="18"/>
                  <w:szCs w:val="18"/>
                  <w:color w:val="0000EE"/>
                  <w:w w:val="95"/>
                </w:rPr>
                <w:t>2017)</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Cooperation Agreement dated July 1, 2015 between NetEase Youdao Information Technology (Beijing) Co., Ltd.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Youdao Computer System Co., Ltd. (incorporated by reference to Exhibit 4.55 to our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Loan Agreement dated November 20, 2017 between Feng Zhou and NetEase Youdao Information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(Beijing) Co., Ltd. (incorporated by reference to Exhibit 4.52 to our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4.34</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Equity Pledge Agreement dated November 20, 2017 between Feng Zhou and NetEase Youdao Information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(Beijing) Co., Ltd. (incorporated by reference to Exhibit 4.53 to our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6"/>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Exclusive Purchase Option Agreement dated November 20, 2017 among NetEase Youdao Information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(Beijing) Co., Ltd., Feng Zhou and Beijing NetEase Youdao Computer System Co., Ltd.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Exhibit 4.54 to our company’s Annual Report on Form 20-F for the year ended December 31, 2017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on April 20, 2018)</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Operating Agreement dated November 20, 2017 among NetEase Youdao Information Technology (Beijing)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Beijing NetEase Youdao Computer System Co., Ltd. and Feng Zhou (incorporated by reference to Exhibit 4.55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company’s Annual Report on Form 20-F for the 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00" w:type="dxa"/>
            <w:vAlign w:val="bottom"/>
            <w:gridSpan w:val="9"/>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Supplementary Agreement of Assignment among NetEase (Hangzhou) Network Co., Ltd., Hangzhou NetEase Leihuo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Technology Co., Ltd., Zhipeng Hu, Tianlei Hu and Long Cheng dated April 18, 2019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Exhibit 4.58 to our company’s Annual Report on Form 20-F for the year ended December 31, 2018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on April 26, 2019)</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8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4.38</w:t>
            </w:r>
          </w:p>
        </w:tc>
        <w:tc>
          <w:tcPr>
            <w:tcW w:w="560" w:type="dxa"/>
            <w:vAlign w:val="bottom"/>
          </w:tcPr>
          <w:p>
            <w:pPr>
              <w:spacing w:after="0"/>
              <w:rPr>
                <w:sz w:val="15"/>
                <w:szCs w:val="15"/>
                <w:color w:val="auto"/>
              </w:rPr>
            </w:pPr>
          </w:p>
        </w:tc>
        <w:tc>
          <w:tcPr>
            <w:tcW w:w="8580" w:type="dxa"/>
            <w:vAlign w:val="bottom"/>
            <w:tcBorders>
              <w:top w:val="single" w:sz="8" w:color="auto"/>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Master Transaction Agreement dated September 27, 2019 between NetEase, Inc. and Youdao, Inc.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reference to Exhibit 4.52 to our company’s Annual Report on Form 20-F for the year ended December 31, 2019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with the SEC on April 29, 2020)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4.39</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Non-Competition Agreement dated September 27, 2019 between NetEase, Inc. and Youdao, Inc.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reference to Exhibit 4.54 to our company’s Annual Report on Form 20-F for the year ended December 31, 2019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with the SEC on April 29, 2020)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Cooperation Framework Agreement dated September 27, 2019 between NetEase, Inc. and Youdao, Inc. (incorporated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by reference to Exhibit 4.55 to our company’s Annual Report on Form 20-F for the year ended December 31, 2019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52">
              <w:r>
                <w:rPr>
                  <w:rFonts w:ascii="Times New Roman" w:cs="Times New Roman" w:eastAsia="Times New Roman" w:hAnsi="Times New Roman"/>
                  <w:sz w:val="18"/>
                  <w:szCs w:val="18"/>
                  <w:color w:val="0000EE"/>
                  <w:w w:val="98"/>
                </w:rPr>
                <w:t>filed with the SEC on April 29, 2020)</w:t>
              </w:r>
            </w:hyperlink>
          </w:p>
        </w:tc>
        <w:tc>
          <w:tcPr>
            <w:tcW w:w="5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Intellectual Property License Agreement dated September 27, 2019 between NetEase, Inc. and Youdao,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(incorporated by reference to Exhibit 4.56 to our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December 31, 2019 filed with the SEC on April 29, 2020)</w:t>
              </w:r>
            </w:hyperlink>
          </w:p>
        </w:tc>
        <w:tc>
          <w:tcPr>
            <w:tcW w:w="4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56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Amended and Restated 2019 Share Incentive Plan (incorporated by reference to Exhibit 4.5 to our company’s Post-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effective Amendment No. 1 to Registration Statement on Form S-8 (file no. 333-234189) filed with the SEC on March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2"/>
          </w:tcPr>
          <w:p>
            <w:pPr>
              <w:ind w:left="540"/>
              <w:spacing w:after="0" w:line="196" w:lineRule="exact"/>
              <w:rPr>
                <w:rFonts w:ascii="Times New Roman" w:cs="Times New Roman" w:eastAsia="Times New Roman" w:hAnsi="Times New Roman"/>
                <w:sz w:val="18"/>
                <w:szCs w:val="18"/>
                <w:color w:val="0000EE"/>
                <w:w w:val="96"/>
              </w:rPr>
            </w:pPr>
            <w:hyperlink r:id="rId254">
              <w:r>
                <w:rPr>
                  <w:rFonts w:ascii="Times New Roman" w:cs="Times New Roman" w:eastAsia="Times New Roman" w:hAnsi="Times New Roman"/>
                  <w:sz w:val="18"/>
                  <w:szCs w:val="18"/>
                  <w:color w:val="0000EE"/>
                  <w:w w:val="96"/>
                </w:rPr>
                <w:t>2, 2023)</w:t>
              </w:r>
            </w:hyperlink>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4.43+</w:t>
            </w:r>
          </w:p>
        </w:tc>
        <w:tc>
          <w:tcPr>
            <w:tcW w:w="56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 xml:space="preserve">Facility agreement for a revolving loan facility of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300 million between NetEase, Inc. as lender and Youdao, Inc.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borrower dated September 12, 2023 (incorporated by reference to Exhibit 4.46 to our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 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4.44</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Amended and Restated Loan Agreement dated May 18, 2021 between Hangzhou NetEase Cloud Music Technology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Co., Ltd. and William Lei Ding (incorporated by reference to Exhibit 4.47 to our company’s Annual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20-F for the year ended December 31, 2022 filed with the SEC on April 27,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56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Amended and Restated Equity Pledge Agreement dated May 18, 2021 between Hangzhou NetEase Cloud Music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Technology Co., Ltd. and William Lei Ding (incorporated by reference to Exhibit 4.48 to our company’s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Report on Form 20-F for the year ended December 31, 2022 filed with the SEC on April 27,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4.46</w:t>
            </w:r>
          </w:p>
        </w:tc>
        <w:tc>
          <w:tcPr>
            <w:tcW w:w="560" w:type="dxa"/>
            <w:vAlign w:val="bottom"/>
          </w:tcPr>
          <w:p>
            <w:pPr>
              <w:spacing w:after="0"/>
              <w:rPr>
                <w:sz w:val="24"/>
                <w:szCs w:val="24"/>
                <w:color w:val="auto"/>
              </w:rPr>
            </w:pPr>
          </w:p>
        </w:tc>
        <w:tc>
          <w:tcPr>
            <w:tcW w:w="8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Amended and Restated Exclusive Purchase Option Agreement dated May 18, 2021 among Hangzhou NetEase Cloud</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Music Technology Co., Ltd., Hangzhou Yuedu Technology Co., Ltd. and William Lei Ding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3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to Exhibit 4.49 to our company’s Annual Report on Form 20-F for the year ended December 31, 2022 filed with the</w:t>
              </w:r>
            </w:hyperlink>
          </w:p>
        </w:tc>
        <w:tc>
          <w:tcPr>
            <w:tcW w:w="16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258">
              <w:r>
                <w:rPr>
                  <w:rFonts w:ascii="Times New Roman" w:cs="Times New Roman" w:eastAsia="Times New Roman" w:hAnsi="Times New Roman"/>
                  <w:sz w:val="18"/>
                  <w:szCs w:val="18"/>
                  <w:color w:val="0000EE"/>
                  <w:w w:val="97"/>
                </w:rPr>
                <w:t>SEC on April 27, 2023)</w:t>
              </w:r>
            </w:hyperlink>
          </w:p>
        </w:tc>
        <w:tc>
          <w:tcPr>
            <w:tcW w:w="6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4.47</w:t>
            </w:r>
          </w:p>
        </w:tc>
        <w:tc>
          <w:tcPr>
            <w:tcW w:w="56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Amended and Restated Shareholder Voting Right Trust Agreement dated May 18, 2021 between Hangzhou NetEase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Cloud Music Technology Co., Ltd. and William Lei Ding (incorporated by reference to Exhibit 4.50 to our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Annual Report on Form 20-F for the year ended December 31, 2022 filed with the SEC on April 27, 2023)</w:t>
              </w:r>
            </w:hyperlink>
          </w:p>
        </w:tc>
        <w:tc>
          <w:tcPr>
            <w:tcW w:w="9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Loan Agreement dated November 2, 2023 between Hangzhou NetEase Cloud Music Technology Co., Ltd. and Wei Li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4640" w:type="dxa"/>
            <w:vAlign w:val="bottom"/>
            <w:gridSpan w:val="6"/>
            <w:shd w:val="clear" w:color="auto" w:fill="0000EE"/>
          </w:tcPr>
          <w:p>
            <w:pPr>
              <w:spacing w:after="0" w:line="20" w:lineRule="exact"/>
              <w:rPr>
                <w:sz w:val="1"/>
                <w:szCs w:val="1"/>
                <w:color w:val="auto"/>
              </w:rPr>
            </w:pPr>
          </w:p>
        </w:tc>
        <w:tc>
          <w:tcPr>
            <w:tcW w:w="38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(incorporated by reference to Exhibit 4.51 to our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December 31, 2023 filed with the SEC on April 25, 2024)</w:t>
              </w:r>
            </w:hyperlink>
          </w:p>
        </w:tc>
        <w:tc>
          <w:tcPr>
            <w:tcW w:w="4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56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Equity Pledge Agreement dated November 2, 2023 between Hangzhou NetEase Cloud Music Technology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and Wei Li (incorporated by reference to Exhibit 4.52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ended December 31, 2023 filed with the SEC on April 25, 2024)</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560" w:type="dxa"/>
            <w:vAlign w:val="bottom"/>
          </w:tcPr>
          <w:p>
            <w:pPr>
              <w:spacing w:after="0"/>
              <w:rPr>
                <w:sz w:val="24"/>
                <w:szCs w:val="24"/>
                <w:color w:val="auto"/>
              </w:rPr>
            </w:pPr>
          </w:p>
        </w:tc>
        <w:tc>
          <w:tcPr>
            <w:tcW w:w="8580" w:type="dxa"/>
            <w:vAlign w:val="bottom"/>
            <w:gridSpan w:val="14"/>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Operating Agreement dated November 2, 2023 among Hangzhou NetEase Cloud Music Technology Co.,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8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Hangzhou Yuedu Technology Co., Ltd., William Lei Ding and Wei Li (incorporated by reference to Exhibit 4.53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company’s Annual Report on Form 20-F for the year ended December 31, 2023 filed with the SEC on April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40" w:type="dxa"/>
            <w:vAlign w:val="bottom"/>
            <w:gridSpan w:val="8"/>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4.51</w:t>
            </w:r>
          </w:p>
        </w:tc>
        <w:tc>
          <w:tcPr>
            <w:tcW w:w="5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Exclusive Purchase Option Agreement dated November 2, 2023 among Hangzhou NetEase Cloud Music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Co., Ltd., Hangzhou Yuedu Technology Co., Ltd. and Wei Li (incorporated by reference to Exhibit 4.54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company’s Annual Report on Form 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Shareholder Voting Right Trust Agreement dated November 2, 2023 between Hangzhou NetEase Cloud Music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Technology Co., Ltd., and Wei Li (incorporated by reference to Exhibit 4.55 to our company’s Annual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Amended and Restated Cooperation Agreement dated May 18, 2021 between Hangzhou NetEase Cloud Music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Technology Co., Ltd. and Hangzhou Yuedu Technology Co., Ltd. (incorporated by reference to Exhibit 4.56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company’s Annual Report on Form 20-F for the year ended December 31, 2022 filed with the SEC on April 27,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4.54</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Form of Indemnification Agreement between NetEase, Inc. and its directors and executive officers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reference to Exhibit 4.57 to our company’s Annual Report on Form 20-F for the year ended December 31, 2023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List of Significant Subsidiaries and Variable Interest Entities of NetEase, Inc. (incorporated by reference to Exhibit 8.1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to our company’s Annual Report on Form 20-F for the year ended December 31, 2020 filed with the SEC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3"/>
          </w:tcPr>
          <w:p>
            <w:pPr>
              <w:ind w:left="540"/>
              <w:spacing w:after="0" w:line="196" w:lineRule="exact"/>
              <w:rPr>
                <w:rFonts w:ascii="Times New Roman" w:cs="Times New Roman" w:eastAsia="Times New Roman" w:hAnsi="Times New Roman"/>
                <w:sz w:val="18"/>
                <w:szCs w:val="18"/>
                <w:color w:val="0000EE"/>
                <w:w w:val="95"/>
              </w:rPr>
            </w:pPr>
            <w:hyperlink r:id="rId268">
              <w:r>
                <w:rPr>
                  <w:rFonts w:ascii="Times New Roman" w:cs="Times New Roman" w:eastAsia="Times New Roman" w:hAnsi="Times New Roman"/>
                  <w:sz w:val="18"/>
                  <w:szCs w:val="18"/>
                  <w:color w:val="0000EE"/>
                  <w:w w:val="95"/>
                </w:rPr>
                <w:t>2021)</w:t>
              </w:r>
            </w:hyperlink>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Code of Business Conduct (incorporated by reference to Exhibit 11.1 to our company’s Annual Report on Form 20-F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for the year ended December 31, 2023 filed with the SEC on April 25, 2024)</w:t>
              </w:r>
            </w:hyperlink>
          </w:p>
        </w:tc>
        <w:tc>
          <w:tcPr>
            <w:tcW w:w="0" w:type="dxa"/>
            <w:vAlign w:val="bottom"/>
          </w:tcPr>
          <w:p>
            <w:pPr>
              <w:spacing w:after="0"/>
              <w:rPr>
                <w:sz w:val="1"/>
                <w:szCs w:val="1"/>
                <w:color w:val="auto"/>
              </w:rPr>
            </w:pPr>
          </w:p>
        </w:tc>
      </w:tr>
      <w:tr>
        <w:trPr>
          <w:trHeight w:val="34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c>
          <w:tcPr>
            <w:tcW w:w="5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Insider Trading Policy of our company</w:t>
            </w:r>
          </w:p>
        </w:tc>
        <w:tc>
          <w:tcPr>
            <w:tcW w:w="2720" w:type="dxa"/>
            <w:vAlign w:val="bottom"/>
            <w:tcBorders>
              <w:top w:val="single" w:sz="8" w:color="0000EE"/>
            </w:tcBorders>
            <w:gridSpan w:val="4"/>
          </w:tcPr>
          <w:p>
            <w:pPr>
              <w:spacing w:after="0"/>
              <w:rPr>
                <w:sz w:val="24"/>
                <w:szCs w:val="24"/>
                <w:color w:val="auto"/>
              </w:rPr>
            </w:pPr>
          </w:p>
        </w:tc>
        <w:tc>
          <w:tcPr>
            <w:tcW w:w="3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12.1*</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13a-14(a)</w:t>
            </w:r>
          </w:p>
        </w:tc>
        <w:tc>
          <w:tcPr>
            <w:tcW w:w="0" w:type="dxa"/>
            <w:vAlign w:val="bottom"/>
          </w:tcPr>
          <w:p>
            <w:pPr>
              <w:spacing w:after="0"/>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12.2*</w:t>
            </w:r>
          </w:p>
        </w:tc>
        <w:tc>
          <w:tcPr>
            <w:tcW w:w="540" w:type="dxa"/>
            <w:vAlign w:val="bottom"/>
          </w:tcPr>
          <w:p>
            <w:pPr>
              <w:spacing w:after="0"/>
              <w:rPr>
                <w:sz w:val="24"/>
                <w:szCs w:val="24"/>
                <w:color w:val="auto"/>
              </w:rPr>
            </w:pPr>
          </w:p>
        </w:tc>
        <w:tc>
          <w:tcPr>
            <w:tcW w:w="5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Required by Rule 13a-14(a)</w:t>
            </w:r>
          </w:p>
        </w:tc>
        <w:tc>
          <w:tcPr>
            <w:tcW w:w="40" w:type="dxa"/>
            <w:vAlign w:val="bottom"/>
            <w:tcBorders>
              <w:top w:val="single" w:sz="8" w:color="0000EE"/>
            </w:tcBorders>
          </w:tcPr>
          <w:p>
            <w:pPr>
              <w:spacing w:after="0"/>
              <w:rPr>
                <w:sz w:val="24"/>
                <w:szCs w:val="24"/>
                <w:color w:val="auto"/>
              </w:rPr>
            </w:pPr>
          </w:p>
        </w:tc>
        <w:tc>
          <w:tcPr>
            <w:tcW w:w="3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13a-14(b) and Section 1350 of Chapter 63 of Title 18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United States Code</w:t>
            </w:r>
          </w:p>
        </w:tc>
        <w:tc>
          <w:tcPr>
            <w:tcW w:w="69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by Rule 13a-14(b) and Section 1350 of Chapter 63 of Title 18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United States Code</w:t>
            </w:r>
          </w:p>
        </w:tc>
        <w:tc>
          <w:tcPr>
            <w:tcW w:w="69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Charter of Audit Committee of the Board of Directors of our company (incorporated by reference to Exhibit 15.1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our company’s Annual Report on Form 20-F for the year ended December 31, 2023 filed with the SEC on April 25,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3"/>
          </w:tcPr>
          <w:p>
            <w:pPr>
              <w:ind w:left="540"/>
              <w:spacing w:after="0" w:line="196" w:lineRule="exact"/>
              <w:rPr>
                <w:rFonts w:ascii="Times New Roman" w:cs="Times New Roman" w:eastAsia="Times New Roman" w:hAnsi="Times New Roman"/>
                <w:sz w:val="18"/>
                <w:szCs w:val="18"/>
                <w:color w:val="0000EE"/>
                <w:w w:val="95"/>
              </w:rPr>
            </w:pPr>
            <w:hyperlink r:id="rId270">
              <w:r>
                <w:rPr>
                  <w:rFonts w:ascii="Times New Roman" w:cs="Times New Roman" w:eastAsia="Times New Roman" w:hAnsi="Times New Roman"/>
                  <w:sz w:val="18"/>
                  <w:szCs w:val="18"/>
                  <w:color w:val="0000EE"/>
                  <w:w w:val="95"/>
                </w:rPr>
                <w:t>2024)</w:t>
              </w:r>
            </w:hyperlink>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PricewaterhouseCoopers Zhong Tian LLP, Independent Registered Public Accounting Firm</w:t>
            </w:r>
          </w:p>
        </w:tc>
        <w:tc>
          <w:tcPr>
            <w:tcW w:w="0" w:type="dxa"/>
            <w:vAlign w:val="bottom"/>
          </w:tcPr>
          <w:p>
            <w:pPr>
              <w:spacing w:after="0"/>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15.3*</w:t>
            </w:r>
          </w:p>
        </w:tc>
        <w:tc>
          <w:tcPr>
            <w:tcW w:w="540" w:type="dxa"/>
            <w:vAlign w:val="bottom"/>
          </w:tcPr>
          <w:p>
            <w:pPr>
              <w:spacing w:after="0"/>
              <w:rPr>
                <w:sz w:val="24"/>
                <w:szCs w:val="24"/>
                <w:color w:val="auto"/>
              </w:rPr>
            </w:pPr>
          </w:p>
        </w:tc>
        <w:tc>
          <w:tcPr>
            <w:tcW w:w="74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1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54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Zhong Lun Law Firm</w:t>
            </w:r>
          </w:p>
        </w:tc>
        <w:tc>
          <w:tcPr>
            <w:tcW w:w="1160" w:type="dxa"/>
            <w:vAlign w:val="bottom"/>
            <w:tcBorders>
              <w:top w:val="single" w:sz="8" w:color="0000EE"/>
            </w:tcBorders>
            <w:gridSpan w:val="2"/>
          </w:tcPr>
          <w:p>
            <w:pPr>
              <w:spacing w:after="0"/>
              <w:rPr>
                <w:sz w:val="24"/>
                <w:szCs w:val="24"/>
                <w:color w:val="auto"/>
              </w:rPr>
            </w:pPr>
          </w:p>
        </w:tc>
        <w:tc>
          <w:tcPr>
            <w:tcW w:w="5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Clawback Policy of our company (incorporated by reference to Exhibit 97.1 to our company’s Annual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5"/>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20-F for the year ended December 31, 2023 filed with the SEC on April 25, 2024)</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40" w:type="dxa"/>
            <w:vAlign w:val="bottom"/>
          </w:tcPr>
          <w:p>
            <w:pPr>
              <w:spacing w:after="0"/>
              <w:rPr>
                <w:sz w:val="24"/>
                <w:szCs w:val="24"/>
                <w:color w:val="auto"/>
              </w:rPr>
            </w:pPr>
          </w:p>
        </w:tc>
        <w:tc>
          <w:tcPr>
            <w:tcW w:w="59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7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101.SCH*</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101.CAL*</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101.DEF*</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101.LAB*</w:t>
            </w:r>
          </w:p>
        </w:tc>
        <w:tc>
          <w:tcPr>
            <w:tcW w:w="540" w:type="dxa"/>
            <w:vAlign w:val="bottom"/>
          </w:tcPr>
          <w:p>
            <w:pPr>
              <w:spacing w:after="0"/>
              <w:rPr>
                <w:sz w:val="24"/>
                <w:szCs w:val="24"/>
                <w:color w:val="auto"/>
              </w:rPr>
            </w:pPr>
          </w:p>
        </w:tc>
        <w:tc>
          <w:tcPr>
            <w:tcW w:w="8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8600" w:type="dxa"/>
            <w:vAlign w:val="bottom"/>
            <w:vMerge w:val="restart"/>
          </w:tcPr>
          <w:p>
            <w:pPr>
              <w:ind w:left="398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8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annual report on Form 20-F.</w:t>
      </w:r>
    </w:p>
    <w:p>
      <w:pPr>
        <w:spacing w:after="0" w:line="171" w:lineRule="exact"/>
        <w:rPr>
          <w:sz w:val="20"/>
          <w:szCs w:val="20"/>
          <w:color w:val="auto"/>
        </w:rPr>
      </w:pPr>
    </w:p>
    <w:p>
      <w:pPr>
        <w:ind w:left="340" w:right="20" w:hanging="332"/>
        <w:spacing w:after="0" w:line="282" w:lineRule="auto"/>
        <w:tabs>
          <w:tab w:leader="none" w:pos="1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is the type that our company treats as private or confidential.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854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William Lei Ding</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77"/>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NETEASE, INC.</w:t>
            </w:r>
          </w:p>
        </w:tc>
        <w:tc>
          <w:tcPr>
            <w:tcW w:w="720" w:type="dxa"/>
            <w:vAlign w:val="bottom"/>
          </w:tcPr>
          <w:p>
            <w:pPr>
              <w:spacing w:after="0"/>
              <w:rPr>
                <w:sz w:val="24"/>
                <w:szCs w:val="24"/>
                <w:color w:val="auto"/>
              </w:rPr>
            </w:pPr>
          </w:p>
        </w:tc>
      </w:tr>
      <w:tr>
        <w:trPr>
          <w:trHeight w:val="405"/>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Management’s report on internal control over financial reporting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ID:1424)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at December 31, 2023 and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years ended December 31, 2022, 2023 and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88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2022, 2023 and 2024</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412"/>
        </w:trPr>
        <w:tc>
          <w:tcPr>
            <w:tcW w:w="7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2023 and 2024</w:t>
            </w:r>
          </w:p>
        </w:tc>
        <w:tc>
          <w:tcPr>
            <w:tcW w:w="17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68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4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898"/>
        </w:trPr>
        <w:tc>
          <w:tcPr>
            <w:tcW w:w="12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20" w:type="dxa"/>
            <w:vAlign w:val="bottom"/>
          </w:tcPr>
          <w:p>
            <w:pPr>
              <w:spacing w:after="0"/>
              <w:rPr>
                <w:sz w:val="24"/>
                <w:szCs w:val="24"/>
                <w:color w:val="auto"/>
              </w:rPr>
            </w:pPr>
          </w:p>
        </w:tc>
      </w:tr>
      <w:tr>
        <w:trPr>
          <w:trHeight w:val="547"/>
        </w:trPr>
        <w:tc>
          <w:tcPr>
            <w:tcW w:w="1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principal executive officer and principal financial officer, assessed the effectiveness of the Company’s internal control over financial reporting as of the end of the most recent fiscal year, December 31, 2024. In making this assessment, the Company’s management used the criteria set forth by the Committee of Sponsoring Organizations of the Treadway Commission (COSO) in Internal Control-Integrated Framework (2013). Based on its assessment, management concluded that, as of the end of the Company’s most recent fiscal year, December 31, 2024, the Company’s internal control over financial reporting is effective based on those criteria.</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the Company’s independent registered public accounting firm, has audited the effectiveness of the Company’s internal control over financial reporting as of December 31, 2024,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NetEase,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NetEase, Inc. and its subsidiaries (the “Company”) as of December 31, 2024 and 2023, and the related consolidated statements of operations and comprehensive income,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F-2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 of average playing period of paying players for recognition of in-game virtual items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2(c) and 28 to the consolidated financial statements, the Company recognized RMB83.6 billion of revenues from games and related value-added services for the year ended December 31, 2024.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the estimated average playing period of the paying players for each game. If a new game was launched and only a limited period of paying player data was available, then management considered other qualitative factors to estimate the average playing period of the paying players for the new game. Significant management assumptions applied to the estimated average playing period of paying players for recognition of in-game virtual items revenue include (i) estimating future players’ churn rates based on historical players’ churn rates; and (ii) similarities between new games and existing games with sufficient historical data.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estimates of average playing period of paying players for recognition of in-game virtual items revenue is a critical audit matter are the significant judgment made by management in developing these estimates, which in turn led to a high degree of auditor judgment, subjectivity and effort in performing procedures to evaluate the reasonableness of the significant assumptions used by management related to estimates of future players’ churn rates and estimates of similarities between new games and existing games.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judgments, inputs and assumptions of the estimates of average playing period of paying players for recognition of in-game virtual items revenue. These procedures also included, among others, evaluating the appropriateness of methods used by management;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of long-term equity investments without readily determinable fair values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2(j) and 11 to the consolidated financial statements, the Company’s consolidated balance of long-term equity investments without readily determinable fair values as of December 31, 2024 was RMB11.1 billion.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conducted impairment tests for investments in long-term equity investments without readily determinable fair values periodically, or when events or circumstances indicate that the carrying amount may not be recoverable. Management performed a qualitative assessment of the fair value of the equity interest in comparison to its carrying amount to determine if there is an indication of potential impairment. If such indication exists, management estimated the fair value of the investment, and recorded an impairment in the consolidated statements of operations and comprehensive income to the extent the carrying amount exceeds the fair value. Management applied significant judgments in the impairment assessment for these equity investments when determining whether any impairment indicators exist during the year and estimating the impairment amount if an impairment exists.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based on the severity of the impairment indicator and the existence of any positive or mitigating factors.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impairment assessment of long-term equity investments without readily determinable fair values is a critical audit matter are the high degree of auditor judgment, subjectivity and audit effort involved in performing procedures to evaluate the reasonableness of significant judgments and key estimates management applied in the impairment assessment.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long-term equity investments without readily determinable fair values. These procedures also included, among others, (i) testing the completeness, accuracy and relevance of underlying data management used to identify the indicators of impairment;</w:t>
      </w:r>
    </w:p>
    <w:p>
      <w:pPr>
        <w:spacing w:after="0" w:line="3" w:lineRule="exact"/>
        <w:rPr>
          <w:sz w:val="20"/>
          <w:szCs w:val="20"/>
          <w:color w:val="auto"/>
        </w:rPr>
      </w:pPr>
    </w:p>
    <w:p>
      <w:pPr>
        <w:jc w:val="both"/>
        <w:ind w:firstLine="8"/>
        <w:spacing w:after="0" w:line="253" w:lineRule="auto"/>
        <w:tabs>
          <w:tab w:leader="none" w:pos="27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qualitative evaluation as to whether indicators of impairment existed by assessing the evidence considered by management, as well as other relevant market information; (iii) evaluating the reasonableness of key estimates used by management in the determination of the impairment amounts, by considering (a) the investee’s current and past performances, (b) the consistency with industry and third party data, and (c) whether these estimates were consistent with evidence obtained in other areas of the audit.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Notes</w:t>
            </w: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240" w:type="dxa"/>
            <w:vAlign w:val="bottom"/>
          </w:tcPr>
          <w:p>
            <w:pPr>
              <w:spacing w:after="0"/>
              <w:rPr>
                <w:sz w:val="9"/>
                <w:szCs w:val="9"/>
                <w:color w:val="auto"/>
              </w:rPr>
            </w:pPr>
          </w:p>
        </w:tc>
        <w:tc>
          <w:tcPr>
            <w:tcW w:w="10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260" w:type="dxa"/>
            <w:vAlign w:val="bottom"/>
          </w:tcPr>
          <w:p>
            <w:pPr>
              <w:spacing w:after="0"/>
              <w:rPr>
                <w:sz w:val="9"/>
                <w:szCs w:val="9"/>
                <w:color w:val="auto"/>
              </w:rPr>
            </w:pPr>
          </w:p>
        </w:tc>
        <w:tc>
          <w:tcPr>
            <w:tcW w:w="10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Note 2(q)</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21,428,902</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51,383,310</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7,039,485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130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100,856,034</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75,441,355</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10,335,423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2,777,206</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3,086,405</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422,836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6,422,417</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5,669,027</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776,654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2(i)</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695,374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571,548</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78,302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 net</w:t>
            </w:r>
          </w:p>
        </w:tc>
        <w:tc>
          <w:tcPr>
            <w:tcW w:w="130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1"/>
              </w:rPr>
              <w:t>6</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6,076,595</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6,416,868</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879,107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investments</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1"/>
              </w:rPr>
              <w:t>7</w:t>
            </w: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4,436,057</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10,756,143</w:t>
            </w:r>
          </w:p>
        </w:tc>
        <w:tc>
          <w:tcPr>
            <w:tcW w:w="26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1,473,586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30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142,692,585</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153,324,656</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21,005,393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0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Non-current assets: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1"/>
              </w:rPr>
              <w:t>8</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8,075,044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8,520,101</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1,167,249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Land use rights, net</w:t>
            </w:r>
          </w:p>
        </w:tc>
        <w:tc>
          <w:tcPr>
            <w:tcW w:w="130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1"/>
              </w:rPr>
              <w:t>9</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4,075,143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4,172,465</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Operating lease right-of-use assets, net</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10</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749,275</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541,071</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13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rPr>
              <w:t>13(c)</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1,560,088</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1,113,435</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152,540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1300" w:type="dxa"/>
            <w:vAlign w:val="bottom"/>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1,050,000</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3,025,000</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414,423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30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550</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5,208</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11</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21,783,187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20,206,356</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2,768,259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long-term assets</w:t>
            </w:r>
          </w:p>
        </w:tc>
        <w:tc>
          <w:tcPr>
            <w:tcW w:w="1300" w:type="dxa"/>
            <w:vAlign w:val="bottom"/>
            <w:tcBorders>
              <w:bottom w:val="single" w:sz="8" w:color="CCEEFF"/>
            </w:tcBorders>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12</w:t>
            </w: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5,939,106</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5,083,258</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696,404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non-current assets</w:t>
            </w:r>
          </w:p>
        </w:tc>
        <w:tc>
          <w:tcPr>
            <w:tcW w:w="130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43,232,393</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42,666,894</w:t>
            </w:r>
          </w:p>
        </w:tc>
        <w:tc>
          <w:tcPr>
            <w:tcW w:w="26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5,845,339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1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185,924,978</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195,991,550</w:t>
            </w:r>
          </w:p>
        </w:tc>
        <w:tc>
          <w:tcPr>
            <w:tcW w:w="2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26,850,732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Redeemable noncontrolling interests and Shareholders’ equity</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881,016</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720,549</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98,715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Salary and welfare payables</w:t>
            </w:r>
          </w:p>
        </w:tc>
        <w:tc>
          <w:tcPr>
            <w:tcW w:w="1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4,857,206</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4,683,009</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641,570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14</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2,571,534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2,759,185</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loans</w:t>
            </w:r>
          </w:p>
        </w:tc>
        <w:tc>
          <w:tcPr>
            <w:tcW w:w="13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15</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19,240,163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11,805,051</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1,617,285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 liabilities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16</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13,362,166</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15,299,222</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2,095,985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13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17</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12,670,906</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14,229,032</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1,949,369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operating lease liabilities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10</w:t>
            </w: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259,493</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171,609</w:t>
            </w:r>
          </w:p>
        </w:tc>
        <w:tc>
          <w:tcPr>
            <w:tcW w:w="26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30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53,842,484</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49,667,657</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6,804,441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0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Non-current liabilities: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rPr>
              <w:t>13(c)</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2,299,303</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2,173,117</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13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10</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555,829</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412,600</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loans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18</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427,997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427,997</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58,635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30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715,284</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816,041</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111,797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non-current liabilities</w:t>
            </w:r>
          </w:p>
        </w:tc>
        <w:tc>
          <w:tcPr>
            <w:tcW w:w="130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3,998,413</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3,829,755</w:t>
            </w:r>
          </w:p>
        </w:tc>
        <w:tc>
          <w:tcPr>
            <w:tcW w:w="26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524,674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liabilities</w:t>
            </w:r>
          </w:p>
        </w:tc>
        <w:tc>
          <w:tcPr>
            <w:tcW w:w="1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57,840,897</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53,497,412</w:t>
            </w:r>
          </w:p>
        </w:tc>
        <w:tc>
          <w:tcPr>
            <w:tcW w:w="2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7,329,115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24</w:t>
            </w: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interests</w:t>
            </w:r>
          </w:p>
        </w:tc>
        <w:tc>
          <w:tcPr>
            <w:tcW w:w="1300" w:type="dxa"/>
            <w:vAlign w:val="bottom"/>
            <w:shd w:val="clear" w:color="auto" w:fill="CCEEFF"/>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19</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115,759</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84,272</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Shareholders’ equity:</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Ordinary shares, US$0.0001 par value:</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1,000,300,000,000 shares authorized, 3,210,783,141 and 3,167,959,016 shares issued and</w:t>
            </w:r>
          </w:p>
        </w:tc>
        <w:tc>
          <w:tcPr>
            <w:tcW w:w="1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outstanding as of December 31, 2023 and 2024, respectively</w:t>
            </w:r>
          </w:p>
        </w:tc>
        <w:tc>
          <w:tcPr>
            <w:tcW w:w="1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22,604,651</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9,860,962</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1,350,946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(12,694,364)</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(4,473,063)</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(612,807)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Statutory reserves</w:t>
            </w:r>
          </w:p>
        </w:tc>
        <w:tc>
          <w:tcPr>
            <w:tcW w:w="13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2"/>
              </w:rPr>
              <w:t>2(u)</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1,541,416</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1,954,872</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267,817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616,780</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1,006,807</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130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112,214,583</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130,333,397</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17,855,602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NetEase, Inc.’s shareholders’ equity</w:t>
            </w:r>
          </w:p>
        </w:tc>
        <w:tc>
          <w:tcPr>
            <w:tcW w:w="1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124,285,776</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138,685,606</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18,999,850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Noncontrolling interests</w:t>
            </w:r>
          </w:p>
        </w:tc>
        <w:tc>
          <w:tcPr>
            <w:tcW w:w="1300" w:type="dxa"/>
            <w:vAlign w:val="bottom"/>
            <w:tcBorders>
              <w:bottom w:val="single" w:sz="8" w:color="CCEEFF"/>
            </w:tcBorders>
          </w:tcPr>
          <w:p>
            <w:pPr>
              <w:jc w:val="center"/>
              <w:ind w:right="15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19</w:t>
            </w: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3,682,546</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3,724,260</w:t>
            </w:r>
          </w:p>
        </w:tc>
        <w:tc>
          <w:tcPr>
            <w:tcW w:w="2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30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127,968,322</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142,409,866</w:t>
            </w:r>
          </w:p>
        </w:tc>
        <w:tc>
          <w:tcPr>
            <w:tcW w:w="26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19,510,072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liabilities, redeemable noncontrolling interests and shareholders’ equity</w:t>
            </w:r>
          </w:p>
        </w:tc>
        <w:tc>
          <w:tcPr>
            <w:tcW w:w="1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185,924,978</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195,991,550</w:t>
            </w:r>
          </w:p>
        </w:tc>
        <w:tc>
          <w:tcPr>
            <w:tcW w:w="2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26,850,732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right="472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(in thousands except per share data or per ADS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82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82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2(q)</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28</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96,495,809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103,468,159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105,295,236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14,425,388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28</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(43,729,683)</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(40,404,765)</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(39,488,152)</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(5,409,855)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9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52,766,126</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63,063,394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65,807,084</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9,015,533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9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(13,402,721)</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(13,969,460)</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(14,147,657)</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9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(4,695,798)</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(4,899,880)</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(4,550,625)</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9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(15,039,014)</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(16,484,910)</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(17,524,812)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(33,137,533)</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(35,354,250)</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(36,223,094)</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(4,962,543)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19,628,593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27,709,144</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29,583,990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4,052,990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income/(expenses):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53,976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1,306,722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355,286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2,149,673</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4,120,418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4,920,915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Exchange gains/(losses), net</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1,571,207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(132,999)</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255,430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9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846,815</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1,053,642</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602,134</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24,250,264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34,056,927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35,717,755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4,893,313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8"/>
              </w:rPr>
              <w:t>13(a)</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(5,031,838)</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(4,699,704)</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(5,461,408)</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from continuing operations</w:t>
            </w:r>
          </w:p>
        </w:tc>
        <w:tc>
          <w:tcPr>
            <w:tcW w:w="9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19,218,426</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29,357,223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30,256,347</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4,145,103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624,864</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19,843,290</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29,357,223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30,256,347</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4,145,103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(2,978)</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(3,589)</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loss/(income) attributable to noncontrolling interests and redeemable noncontrolling</w:t>
            </w:r>
          </w:p>
        </w:tc>
        <w:tc>
          <w:tcPr>
            <w:tcW w:w="9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497,288</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62,918</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(554,819)</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9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the Company’s shareholders</w:t>
            </w:r>
          </w:p>
        </w:tc>
        <w:tc>
          <w:tcPr>
            <w:tcW w:w="9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20,337,600</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29,416,552</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29,697,609</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4,068,556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from continuing operations attributable to the Company’s shareholders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19,712,736</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29,416,552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29,697,609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4,068,556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 attributable to the Company’s shareholders</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85"/>
              </w:rPr>
              <w:t>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624,864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19,843,290</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29,357,223</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30,256,347</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4,145,103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1,441,414</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221,872</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424,356</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21,284,704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29,579,095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30,680,703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4,203,240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loss/(income) attributable to noncontrolling interests and redeemable</w:t>
            </w:r>
          </w:p>
        </w:tc>
        <w:tc>
          <w:tcPr>
            <w:tcW w:w="9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315,725</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26,040</w:t>
            </w:r>
          </w:p>
        </w:tc>
        <w:tc>
          <w:tcPr>
            <w:tcW w:w="14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(589,148)</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(80,713)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attributable to the Company’s shareholders</w:t>
            </w:r>
          </w:p>
        </w:tc>
        <w:tc>
          <w:tcPr>
            <w:tcW w:w="9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21,600,429</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29,605,135</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30,091,555</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4,122,527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 basic</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ADS, basic</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 diluted</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ADS, diluted</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ordinary shares outstanding, basic</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3,263,455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3,216,475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3,200,453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3,200,453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ADS outstanding, basic</w:t>
            </w: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652,691</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643,295</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640,091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640,091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ordinary shares outstanding, diluted</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9"/>
              </w:rPr>
              <w:t>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3,296,014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3,230,602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ADS outstanding, diluted</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659,203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650,406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646,120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Additional paid-</w:t>
            </w:r>
          </w:p>
        </w:tc>
        <w:tc>
          <w:tcPr>
            <w:tcW w:w="110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Statutory</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15"/>
        </w:trPr>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in capital</w:t>
            </w:r>
          </w:p>
        </w:tc>
        <w:tc>
          <w:tcPr>
            <w:tcW w:w="540" w:type="dxa"/>
            <w:vAlign w:val="bottom"/>
            <w:tcBorders>
              <w:top w:val="single" w:sz="8" w:color="auto"/>
            </w:tcBorders>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56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reserves</w:t>
            </w:r>
          </w:p>
        </w:tc>
        <w:tc>
          <w:tcPr>
            <w:tcW w:w="9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 income</w:t>
            </w:r>
          </w:p>
        </w:tc>
        <w:tc>
          <w:tcPr>
            <w:tcW w:w="120" w:type="dxa"/>
            <w:vAlign w:val="bottom"/>
          </w:tcPr>
          <w:p>
            <w:pPr>
              <w:spacing w:after="0"/>
              <w:rPr>
                <w:sz w:val="10"/>
                <w:szCs w:val="10"/>
                <w:color w:val="auto"/>
              </w:rPr>
            </w:pPr>
          </w:p>
        </w:tc>
        <w:tc>
          <w:tcPr>
            <w:tcW w:w="6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earnings</w:t>
            </w: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interests</w:t>
            </w:r>
          </w:p>
        </w:tc>
        <w:tc>
          <w:tcPr>
            <w:tcW w:w="12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equity</w:t>
            </w:r>
          </w:p>
        </w:tc>
      </w:tr>
      <w:tr>
        <w:trPr>
          <w:trHeight w:val="115"/>
        </w:trPr>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3,446,311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2,794</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37,915,939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7"/>
              </w:rPr>
              <w:t>(172,476)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(20,502,188)</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1,245,125</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(828,065)</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77,494,475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3,950,558</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99,278,638</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518</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(2,569,917)</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22,632</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2,569,917</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2,763,611</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277,999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3,041,610</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33,541</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(33,541)</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income/(loss) attributable to the Company and noncontrolling interest</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20,340,578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(483,268)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19,857,310</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(73,361)</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(8,006,226)</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(8,006,226)</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repurchased shares</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(125,553)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(15,027,659)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125,553</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15,027,743</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(227,740)</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81,115</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(146,625)</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(6,723,859)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(6,723,859)</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1,259,851</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181,563</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1,441,414</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(2,978)</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(2,244)</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(5,222)</w:t>
            </w:r>
          </w:p>
        </w:tc>
      </w:tr>
      <w:tr>
        <w:trPr>
          <w:trHeight w:val="115"/>
        </w:trPr>
        <w:tc>
          <w:tcPr>
            <w:tcW w:w="346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6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3,321,276</w:t>
            </w:r>
          </w:p>
        </w:tc>
        <w:tc>
          <w:tcPr>
            <w:tcW w:w="1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2,710</w:t>
            </w:r>
          </w:p>
        </w:tc>
        <w:tc>
          <w:tcPr>
            <w:tcW w:w="1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22,854,234</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(97,652)</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(10,910,754)</w:t>
            </w:r>
          </w:p>
        </w:tc>
        <w:tc>
          <w:tcPr>
            <w:tcW w:w="1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1,278,666</w:t>
            </w:r>
          </w:p>
        </w:tc>
        <w:tc>
          <w:tcPr>
            <w:tcW w:w="12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431,786</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91,074,675</w:t>
            </w:r>
          </w:p>
        </w:tc>
        <w:tc>
          <w:tcPr>
            <w:tcW w:w="1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4,005,723</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108,737,040</w:t>
            </w:r>
          </w:p>
        </w:tc>
      </w:tr>
      <w:tr>
        <w:trPr>
          <w:trHeight w:val="115"/>
        </w:trPr>
        <w:tc>
          <w:tcPr>
            <w:tcW w:w="34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(3,007,404)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25,951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3,007,404</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2,913,644</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149,757</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3,063,401</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262,750</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(262,750)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income/(loss) attributable to the Company and noncontrolling interest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5"/>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29,420,141</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29,353,464</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(38,792)</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(4,791,014)</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(4,791,014)</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(155,823)</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(471,164)</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(626,987)</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Reclassification from mezzanine equity to noncontrolling interest shareholders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30,369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30,369</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(8,013,894)</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(8,013,894)</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184,994</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36,878</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221,872</w:t>
            </w:r>
          </w:p>
        </w:tc>
      </w:tr>
      <w:tr>
        <w:trPr>
          <w:trHeight w:val="121"/>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(3,589)</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(2,340)</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(5,929)</w:t>
            </w:r>
          </w:p>
        </w:tc>
      </w:tr>
      <w:tr>
        <w:trPr>
          <w:trHeight w:val="115"/>
        </w:trPr>
        <w:tc>
          <w:tcPr>
            <w:tcW w:w="34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3,321,276</w:t>
            </w: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2,710</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22,604,651</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(110,493)</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(12,694,364)</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1,541,416</w:t>
            </w: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616,780</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112,214,583</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3,682,546</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127,968,322</w:t>
            </w:r>
          </w:p>
        </w:tc>
      </w:tr>
      <w:tr>
        <w:trPr>
          <w:trHeight w:val="115"/>
        </w:trPr>
        <w:tc>
          <w:tcPr>
            <w:tcW w:w="34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6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(3,297,794)</w:t>
            </w:r>
          </w:p>
        </w:tc>
        <w:tc>
          <w:tcPr>
            <w:tcW w:w="10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26,874</w:t>
            </w:r>
          </w:p>
        </w:tc>
        <w:tc>
          <w:tcPr>
            <w:tcW w:w="10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3,297,794</w:t>
            </w:r>
          </w:p>
        </w:tc>
        <w:tc>
          <w:tcPr>
            <w:tcW w:w="12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3,554,037</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261,409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3,815,446</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413,456</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(413,456)</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income attributable to the Company and noncontrolling interest</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29,701,528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558,829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30,260,357</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(69,698)</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(8,742,223)</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(8,742,223)</w:t>
            </w:r>
          </w:p>
        </w:tc>
      </w:tr>
      <w:tr>
        <w:trPr>
          <w:trHeight w:val="122"/>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repurchased shares</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(110,000)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(13,665,651)</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110,000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13,665,730</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665,719</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(844,249)</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(178,530)</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Reclassification from mezzanine equity to noncontrolling interest shareholders</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33,951</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33,951</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(11,165,339)</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(11,165,339)</w:t>
            </w:r>
          </w:p>
        </w:tc>
      </w:tr>
      <w:tr>
        <w:trPr>
          <w:trHeight w:val="121"/>
        </w:trPr>
        <w:tc>
          <w:tcPr>
            <w:tcW w:w="3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390,027</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34,329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424,356</w:t>
            </w:r>
          </w:p>
        </w:tc>
      </w:tr>
      <w:tr>
        <w:trPr>
          <w:trHeight w:val="122"/>
        </w:trPr>
        <w:tc>
          <w:tcPr>
            <w:tcW w:w="3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(3,919)</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(2,555)</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(6,474)</w:t>
            </w:r>
          </w:p>
        </w:tc>
      </w:tr>
      <w:tr>
        <w:trPr>
          <w:trHeight w:val="115"/>
        </w:trPr>
        <w:tc>
          <w:tcPr>
            <w:tcW w:w="34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3,211,276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9,860,962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(43,317)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(4,473,063)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1,954,872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1,006,807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130,333,397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3,724,260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142,409,866</w:t>
            </w: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440"/>
          </w:cols>
          <w:pgMar w:left="840" w:top="513" w:right="6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For the year ended December 31,</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1"/>
                <w:szCs w:val="11"/>
                <w:color w:val="auto"/>
              </w:rPr>
            </w:pPr>
          </w:p>
        </w:tc>
        <w:tc>
          <w:tcPr>
            <w:tcW w:w="880" w:type="dxa"/>
            <w:vAlign w:val="bottom"/>
            <w:gridSpan w:val="2"/>
          </w:tcPr>
          <w:p>
            <w:pPr>
              <w:jc w:val="right"/>
              <w:ind w:right="19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1"/>
                <w:szCs w:val="11"/>
                <w:color w:val="auto"/>
              </w:rPr>
            </w:pPr>
          </w:p>
        </w:tc>
        <w:tc>
          <w:tcPr>
            <w:tcW w:w="76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740" w:type="dxa"/>
            <w:vAlign w:val="bottom"/>
            <w:tcBorders>
              <w:top w:val="single" w:sz="8" w:color="auto"/>
            </w:tcBorders>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top w:val="single" w:sz="8" w:color="auto"/>
            </w:tcBorders>
          </w:tcPr>
          <w:p>
            <w:pPr>
              <w:jc w:val="right"/>
              <w:ind w:right="178"/>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Pr>
          <w:p>
            <w:pPr>
              <w:spacing w:after="0"/>
              <w:rPr>
                <w:sz w:val="9"/>
                <w:szCs w:val="9"/>
                <w:color w:val="auto"/>
              </w:rPr>
            </w:pPr>
          </w:p>
        </w:tc>
        <w:tc>
          <w:tcPr>
            <w:tcW w:w="760" w:type="dxa"/>
            <w:vAlign w:val="bottom"/>
            <w:tcBorders>
              <w:top w:val="single" w:sz="8" w:color="auto"/>
            </w:tcBorders>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Pr>
          <w:p>
            <w:pPr>
              <w:spacing w:after="0"/>
              <w:rPr>
                <w:sz w:val="9"/>
                <w:szCs w:val="9"/>
                <w:color w:val="auto"/>
              </w:rPr>
            </w:pPr>
          </w:p>
        </w:tc>
        <w:tc>
          <w:tcPr>
            <w:tcW w:w="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Note 2(q)</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19,843,290</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29,357,223</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30,256,347</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4,145,103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from discontinued operations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(624,864)</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2,858,209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3,055,260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2,417,894</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331,250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Fair value changes of equity security, other investments and financial instruments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3,104,336</w:t>
            </w:r>
          </w:p>
        </w:tc>
        <w:tc>
          <w:tcPr>
            <w:tcW w:w="8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(535,316)</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(841,901)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(115,340)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Impairment losses on investments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300,249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469,159</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1,291,627</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176,952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Share-based compensation cost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3,174,160</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3,242,810</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3,882,939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531,960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Allowance for expected credit losses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61,393</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61,146</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68,934</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Losses/(gains) on disposal of property, equipment and software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3,620</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(4,758)</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Unrealized exchange (gains)/losses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(1,604,260)</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119,935</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(719,162)</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(98,525)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Gains on disposal of long-term investments, business and subsidiaries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(1,791,355)</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(63,784)</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(272,415)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(37,321)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489,670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131,437</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320,726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 of results on equity method investees and revaluation results from previously held equity interest</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(1,259,941)</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(473,947)</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155,568</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Fair value changes of short-term investments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(342,642)</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(414,207)</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(530,607)</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(72,693)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554,340</w:t>
            </w: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(1,470,374)</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716,375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(27,613)</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296,764</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123,780</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Prepayments and other assets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731,100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87,556</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(809,590)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447,666</w:t>
            </w:r>
          </w:p>
        </w:tc>
        <w:tc>
          <w:tcPr>
            <w:tcW w:w="8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(559,419)</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91,142</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Salary and welfare payables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424,513</w:t>
            </w: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(62,917)</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(210,918)</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(917,614)</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(244,261)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187,788</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Contract liabilities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385,396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1,161,861</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2,022,196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1,899,580</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1,166,673</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1,530,848</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27,709,233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35,331,275</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39,676,813</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5,435,701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property, equipment and software</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(2,100,264)</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(2,301,554)</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(1,275,400)</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(174,729)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equipment and software</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41,467</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10,302</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14,533</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intangible assets, content and licensed copyrights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(543,220)</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(1,974,323)</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(930,988)</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 of short-term investments with terms of three months or less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776,357</w:t>
            </w: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(1,777,687)</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(408,256)</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short-term investments with terms over three months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(5,950,000)</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(8,235,000)</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(1,128,190)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maturities of short-term investments with terms over three months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10,175,160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5,378,510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2,853,778</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390,966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in equity method investees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(705,907)</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(444,557)</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(513,397)</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in other equity investments and acquisition of subsidiaries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(4,423,773)</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(2,387,129)</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(589,629)</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(80,779)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disposal of long-term investments, businesses, subsidiaries and other financial instruments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2,411,070</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152,564</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2,822,585</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386,692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Placement/rollover of matured time deposits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(98,973,884)</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(124,693,598)</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(154,792,305)</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(21,206,459)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maturities of time deposits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92,247,046</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111,417,969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179,377,113</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24,574,564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Change in other long-term assets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(323,779)</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(423,928)</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(406,632)</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(55,708)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(used in)/provided by investing activities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(7,369,727)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(17,043,431)</w:t>
            </w: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17,916,402</w:t>
            </w:r>
          </w:p>
        </w:tc>
        <w:tc>
          <w:tcPr>
            <w:tcW w:w="1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2,454,537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changes from short-term loans with terms of three months or less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(1,274,043)</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(13,654,704)</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(6,656,988)</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(912,004)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of loans with terms over three months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6,392,695</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13,569,160</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13,920,080</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1,907,043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loans with terms over three months</w:t>
            </w: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(273,639)</w:t>
            </w: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(8,219,472)</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(14,739,347)</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(2,019,282)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Dividends paid to shareholders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(6,723,667)</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(8,013,903)</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(11,165,338)</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(1,529,645)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shd w:val="clear" w:color="auto" w:fill="CCEEFF"/>
          </w:tcPr>
          <w:p>
            <w:pPr>
              <w:ind w:left="200"/>
              <w:spacing w:after="0" w:line="117" w:lineRule="exact"/>
              <w:rPr>
                <w:sz w:val="20"/>
                <w:szCs w:val="20"/>
                <w:color w:val="auto"/>
              </w:rPr>
            </w:pPr>
            <w:r>
              <w:rPr>
                <w:rFonts w:ascii="Times New Roman" w:cs="Times New Roman" w:eastAsia="Times New Roman" w:hAnsi="Times New Roman"/>
                <w:sz w:val="13"/>
                <w:szCs w:val="13"/>
                <w:color w:val="auto"/>
              </w:rPr>
              <w:t>Net amounts (paid)/received related to capital contribution from or repurchase of noncontrolling interests</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shareholders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(30,921)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86,159</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136,006</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paid for repurchase of NetEase’s ADSs/purchase of subsidiaries’ ADSs and shares</w:t>
            </w: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(8,328,124)</w:t>
            </w:r>
          </w:p>
        </w:tc>
        <w:tc>
          <w:tcPr>
            <w:tcW w:w="10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(5,234,294)</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(8,830,115)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(1,209,721)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(10,237,699)</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(21,467,054)</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(27,335,702)</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(3,744,976)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cash equivalents and restricted cash held in foreign currencies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110,403</w:t>
            </w: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(202,457)</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increase/(decrease) in cash, cash equivalents and restricted cash</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10,212,210</w:t>
            </w: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(3,381,667)</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30,268,265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4,146,735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beginning of the year</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17,376,115</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27,588,325</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24,206,658</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3,316,299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27,588,325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24,206,658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54,474,923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7,463,034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paid for income taxes, net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5,092,391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4,895,752</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5,189,585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710,970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paid for interest expenses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588,381</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779,872</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489,622</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67,078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Fixed asset purchases financed by accounts payable and accrued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689,093</w:t>
            </w: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1,026,852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1,024,116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3"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The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NetEase.com, Inc. was incorporated in the Cayman Islands on July 6, 1999 and changed its name to “NetEase, Inc.” (“the Company”) with effect from March 29, 2012. The Company completed its initial public offering (“IPO”) in July 2000 in connection with its listing on the Nasdaq National Market (now the Nasdaq Global Select Market) in the United States of America. In June 2020, the Company successfully listed its ordinary shares on the main board of the Hong Kong Stock Exchange.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and other countries. The Company is also the primary beneficiary of a number of variable interest entities (“VIEs”) and consolidates the VIEs for financial reporting. The Company, its subsidiaries and the VIEs are hereinafter collectively referred to as the “Group”.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26, 2019, Youdao, Inc. (“Youdao”), one of the Company’s majority-controlled subsidiaries completed its IPO on the New York Stock Exchange. In February 2021, Youdao completed a follow-on public offering in the New York Stock Exchange. After Youdao’s offerings, the Company continues to control Youdao and consolidates Youdao as its controlling shareholder.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Cloud Village, Inc. (“NetEase Cloud Music”), one of the Company’s majority-controlled subsidiaries completed its IPO on the Hong Kong Stock Exchange. After NetEase Cloud Music’s offering, the Company continues to control NetEase Cloud Music and consolidates NetEase Cloud Music as its controlling shareholder.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 subsidiaries and the VIEs through which the Company conducts its business operations as of December 31, 2024 are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Major Subsidiaries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year of</w:t>
            </w:r>
          </w:p>
        </w:tc>
        <w:tc>
          <w:tcPr>
            <w:tcW w:w="0" w:type="dxa"/>
            <w:vAlign w:val="bottom"/>
          </w:tcPr>
          <w:p>
            <w:pPr>
              <w:spacing w:after="0"/>
              <w:rPr>
                <w:sz w:val="1"/>
                <w:szCs w:val="1"/>
                <w:color w:val="auto"/>
              </w:rPr>
            </w:pPr>
          </w:p>
        </w:tc>
      </w:tr>
      <w:tr>
        <w:trPr>
          <w:trHeight w:val="173"/>
        </w:trPr>
        <w:tc>
          <w:tcPr>
            <w:tcW w:w="8120" w:type="dxa"/>
            <w:vAlign w:val="bottom"/>
            <w:gridSpan w:val="2"/>
            <w:vMerge w:val="continue"/>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Boguan Telecommunication Technology Co., Ltd. (“Boguan”)</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Guangzhou, China 2003</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(Hangzhou) Network Co., Ltd. (“NetEase Hangzhou”)</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Hangzhou, China 2006</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NetEase Interactive Entertainment Limited</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 China 2007</w:t>
            </w:r>
          </w:p>
        </w:tc>
        <w:tc>
          <w:tcPr>
            <w:tcW w:w="0" w:type="dxa"/>
            <w:vAlign w:val="bottom"/>
          </w:tcPr>
          <w:p>
            <w:pPr>
              <w:spacing w:after="0"/>
              <w:rPr>
                <w:sz w:val="1"/>
                <w:szCs w:val="1"/>
                <w:color w:val="auto"/>
              </w:rPr>
            </w:pPr>
          </w:p>
        </w:tc>
      </w:tr>
      <w:tr>
        <w:trPr>
          <w:trHeight w:val="353"/>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Major VIEs and VIEs’ subsidiaries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year of</w:t>
            </w:r>
          </w:p>
        </w:tc>
        <w:tc>
          <w:tcPr>
            <w:tcW w:w="0" w:type="dxa"/>
            <w:vAlign w:val="bottom"/>
          </w:tcPr>
          <w:p>
            <w:pPr>
              <w:spacing w:after="0"/>
              <w:rPr>
                <w:sz w:val="1"/>
                <w:szCs w:val="1"/>
                <w:color w:val="auto"/>
              </w:rPr>
            </w:pPr>
          </w:p>
        </w:tc>
      </w:tr>
      <w:tr>
        <w:trPr>
          <w:trHeight w:val="173"/>
        </w:trPr>
        <w:tc>
          <w:tcPr>
            <w:tcW w:w="8120" w:type="dxa"/>
            <w:vAlign w:val="bottom"/>
            <w:gridSpan w:val="2"/>
            <w:vMerge w:val="continue"/>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NetEase Computer System Co., Ltd. (“Guangzhou NetEase”)</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Guangzhou, China 1997</w:t>
            </w:r>
          </w:p>
        </w:tc>
        <w:tc>
          <w:tcPr>
            <w:tcW w:w="0" w:type="dxa"/>
            <w:vAlign w:val="bottom"/>
          </w:tcPr>
          <w:p>
            <w:pPr>
              <w:spacing w:after="0"/>
              <w:rPr>
                <w:sz w:val="1"/>
                <w:szCs w:val="1"/>
                <w:color w:val="auto"/>
              </w:rPr>
            </w:pPr>
          </w:p>
        </w:tc>
      </w:tr>
      <w:tr>
        <w:trPr>
          <w:trHeight w:val="198"/>
        </w:trPr>
        <w:tc>
          <w:tcPr>
            <w:tcW w:w="8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Hangzhou NetEase Leihuo Technology Co., Ltd. (“Hangzhou Leihuo”, formerly known as Hangzhou</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NetEase Leihuo Network Co.,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Hangzhou, China 2009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Guangzhou NetEase was incorporated in June 1997 in China and owned by William Lei Ding, or Mr. Ding, the Company’s Chief Executive Officer, director and major shareholder, and another Chinese employee of the Group. It is responsible for providing online game and other value-added telecommunication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Hangzhou Leihuo was incorporated in April 2009 in China by two Chinese employees of the Group and currently operates the Company’s mobile game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combined financial information of the VIEs was included in the accompanying consolidated financial statements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00" w:type="dxa"/>
            <w:vAlign w:val="bottom"/>
            <w:gridSpan w:val="2"/>
          </w:tcPr>
          <w:p>
            <w:pPr>
              <w:jc w:val="center"/>
              <w:ind w:left="35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1,802,256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2,701,083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4,663,331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1,765,209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Group companies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9,192,463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11,716,452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3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20,655,154</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22,230,160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53,686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1,212,804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203,744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non-current assets</w:t>
            </w:r>
          </w:p>
        </w:tc>
        <w:tc>
          <w:tcPr>
            <w:tcW w:w="3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1,671,793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22,326,947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23,755,500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114,794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12,401,426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3,689,885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Group companies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2,822,751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19,475,270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21,220,285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554,648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584,926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20,060,196</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21,883,761</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F-11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82,549,444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90,054,544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Intra-Group revenues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817,962</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734,857</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83,367,406</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90,789,401</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91,810,384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and operating expenses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 of revenues and operating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(18,358,287)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(17,468,565)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(18,544,042)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Intra-Group cost of revenues and operating expenses related to technical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consulting and related service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(64,777,586)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(72,992,568)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(72,698,641)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intra-Group cost of revenues and operating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(185,608)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(23,546)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 and operating expenses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(83,321,481)</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(90,484,679)</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(91,398,303)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(81,329)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328,357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transactions with third-parties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67,459,864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72,325,460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used in transactions with intra-Group companies related to technical</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consulting and related service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(66,970,818)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(73,298,667)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(73,785,893)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by/(used in) other transactions with intra-Group companies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299,452</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639,545</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788,498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(333,662)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transactions with third-parties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(82,645)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made to intra-Group companies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(71,832)</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(82,645)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intra-Group companies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(105,448)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third-parties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(157,989)</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(37,166)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RMB626.1 million and RMB642.1 million, respectively, as of December 31, 2023 and 2024, as well as certain non-distributable statutory reserves amounting to approximately RMB96.3 million and RMB104.5 million, respectively, as of December 31, 2023 and 2024. As the respective VIEs are incorporated as limited liability companies under the PRC Company Law, creditors do not have recourse to the general credit of the Company for the liabilities of the respective VIEs.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there are certain contractual arrangements between the Company and several of VIEs which require the Company to provide additional financial support or guarantees to the VIEs, where necessary. Please see Note 1(b) for additional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entity in the Group for which the Company has a variable interest but is not the primary beneficiary as of December 31, 2023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generates revenues mainly from providing online game services, tutoring services, sales of smart devices, online music services, live streaming services, advertising services, e-commerce and other fee-based premium services.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the Group operates is subject to a number of industry-specific risk factors, including, but not limited to, rapidly changing technologies; government regulations of the Internet, online game, online education, online music, live streaming and e-commerce industry in China; numbers of new entrants; dependence on key individuals; competition of similar services from larger companies; customer preferences; and the need for the continued successful development, marketing and selling of its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VIE arrangements with major VIEs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conducts its business mainly in China. The Chinese government regulates Internet access, telecommunications services, the distribution of various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the major VIEs with respect to the operation of the NetEase websites, operation of in-house developed and licensed PC and mobile games, Internet content and wireless value-added services, as well as the provision of advertising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agreements with these VIEs, certain of the Company’s subsidiaries provided technical consulting and related services to these VIEs. The principal agreements that transfer economic benefits of Guangzhou NetEase and Hangzhou Leihuo to the Company and its subsidiaries are:</w:t>
      </w:r>
    </w:p>
    <w:p>
      <w:pPr>
        <w:spacing w:after="0" w:line="174" w:lineRule="exact"/>
        <w:rPr>
          <w:sz w:val="20"/>
          <w:szCs w:val="20"/>
          <w:color w:val="auto"/>
        </w:rPr>
      </w:pPr>
    </w:p>
    <w:p>
      <w:pPr>
        <w:jc w:val="both"/>
        <w:ind w:left="1000" w:hanging="317"/>
        <w:spacing w:after="0" w:line="267"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with Guangzhou NetEase - </w:t>
      </w:r>
      <w:r>
        <w:rPr>
          <w:rFonts w:ascii="Times New Roman" w:cs="Times New Roman" w:eastAsia="Times New Roman" w:hAnsi="Times New Roman"/>
          <w:sz w:val="18"/>
          <w:szCs w:val="18"/>
          <w:color w:val="auto"/>
        </w:rPr>
        <w:t>under these agreements, certain of the Company’s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Boguan and NetEase Hangzhou provide various technical consulting and related services to Guangzhou NetEase in exchange for substantially all of Guangzhou NetEase’s net profits.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with Hangzhou Leihuo - </w:t>
      </w:r>
      <w:r>
        <w:rPr>
          <w:rFonts w:ascii="Times New Roman" w:cs="Times New Roman" w:eastAsia="Times New Roman" w:hAnsi="Times New Roman"/>
          <w:sz w:val="18"/>
          <w:szCs w:val="18"/>
          <w:color w:val="auto"/>
        </w:rPr>
        <w:t>under these agreements, certain of the Company’s subsidiaries,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Hangzhou provide various technical consulting and related services to Hangzhou Leihuo in exchange for substantially all of Hangzhou Leihuo’s net profits.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cooperative agreement will remain in effect indefinitely unless any one of the contract parties terminates such agreement by written notice or otherwise required by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VIE, the relevant subsidiary of the Company and the relevant VIE shareholders have entered into a series of agreements that provide the Company with the power to direct the activities that most significantly impact the economic performance of the VIEs and provide the Company with economic benefits of these VIEs and as such the Company is the primary beneficiary and consolidate the VIEs for financial reporting. The principal agreements that provide the Company and its subsidiaries with such power and economic benefits over Guangzhou NetEase are:</w:t>
      </w:r>
    </w:p>
    <w:p>
      <w:pPr>
        <w:spacing w:after="0" w:line="183" w:lineRule="exact"/>
        <w:rPr>
          <w:sz w:val="20"/>
          <w:szCs w:val="20"/>
          <w:color w:val="auto"/>
        </w:rPr>
      </w:pPr>
    </w:p>
    <w:p>
      <w:pPr>
        <w:jc w:val="both"/>
        <w:ind w:left="1000" w:hanging="317"/>
        <w:spacing w:after="0" w:line="261"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Rights Trust Agreement among the VIE shareholders of Guangzhou NetEase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is 20 years from May 12, 2010.</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Agreement. Each of the VIE shareholders of Guangzhou NetEase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principal agreements that provide the Company and its subsidiaries with such power and economic benefits over Hangzhou Leihuo are:</w:t>
      </w:r>
    </w:p>
    <w:p>
      <w:pPr>
        <w:spacing w:after="0" w:line="162" w:lineRule="exact"/>
        <w:rPr>
          <w:sz w:val="20"/>
          <w:szCs w:val="20"/>
          <w:color w:val="auto"/>
        </w:rPr>
      </w:pPr>
    </w:p>
    <w:p>
      <w:pPr>
        <w:jc w:val="both"/>
        <w:ind w:left="1000" w:hanging="317"/>
        <w:spacing w:after="0" w:line="253"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Agreement among NetEase Hangzhou, Hangzhou Leihuo and the VIE shareholders of Hangzhou Leihuo. To ensure the successful performance of the various agreements between the parties, Hangzhou Leihuo and its VIE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VIE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94"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Rights Trust Agreement among NetEase Hangzhou and the VIE shareholders of Hangzhou Leihuo. Under these agreements, each of the VIE shareholders of Hangzhou Leihuo agreed to irrevocably entrust a person designated by NetEase Hangzhou to represent him to exercise all the voting rights and other shareholders’ rights to which he is entitled as a shareholder of Hangzhou Leihuo. Each agreement shall remain effective for as long as the VIE shareholder remains a shareholder of Hangzhou Leihuo unless NetEase Hangzhou unilaterally terminates the agreement by written notice.</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Purchase Option Agreements among NetEase Hangzhou, Hangzhou Leihuo and the VIE shareholders of Hangzhou Leihuo. Under the Exclusive Purchase Option Agreements, each of the VIE shareholders has granted NetEase Hangzhou an option to purchase all or a portion of his equity interest in Hangzhou Leihuo at a price equal to the original and any additional paid-in capital paid by the VIE shareholder. In addition, Hangzhou Leihuo has granted NetEase Hangzhou an option to purchase all or a portion of the assets held by Hangzhou Leihuo or its subsidiaries at a price equal to the net book value of such assets. Each of Hangzhou Leihuo and the VIE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agreements amongst the other VIEs, the relevant subsidiaries and VIE shareholders that provide the Company with the power to direct the activities that most significantly impact the economic performance of the VIEs and provide the Company with economic benefits of these VIEs contains substantially the same terms as those aforementioned agreements related to Hangzhou Leihuo, except that contract expiry date varies.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the VIEs is remote.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VIE arrangements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its contractual arrangements with the VIEs are in compliance with PRC law and are legally enforceable. Mr. Ding, who is the major shareholder of Guangzhou NetEase and certain of the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Many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cause the Company to suffer significant delay or other obstacles in the process of enforcing these contractual arrangements and may materially and adversely affect the results of operations and the financial position of the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p>
      <w:pPr>
        <w:spacing w:after="0" w:line="189" w:lineRule="exact"/>
        <w:rPr>
          <w:sz w:val="20"/>
          <w:szCs w:val="20"/>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the Group’s websites;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 in such a way as to compel the Group to establish a new enterprise, re-apply for the necessary licenses or relocate the Group’s businesses, staff and assets;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may not be able to comply;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 The Company believes the possibility that it will no longer be able to consolidate the VIEs as a result of the aforementioned risks and uncertainties is remote.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Basis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the VIEs for which the Company is the primary beneficiary with the ownership interests of minority shareholders reported as noncontrolling interests. All significant transactions and balances among the Company, its subsidiaries and the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revenues for in-game virtual items over the estimated average playing period of paying players and impairment of long-term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recognition of revenues involves certain management judgments, including estimated lives of virtual items purchased by game players, estimated breakage of game points, return allowance for goods sold, volume sales rebates. The amount and timing of the Group’s revenues could be different if management made different judgments or utilized different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revenues are mainly generated from online game services, tutoring services, sale of smart devices, online music services, live streaming services, advertising services, e-commerce and other fee-based premium services. Refer to “Note 28 - Segment Information” for disaggregation of revenue.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Online game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operates mobile games and PC games. The Group is the principal of substantially all games it operates, including both in-house developed games and licensed games. As these games are hosted on the Group’s servers, the Group has the pricing discretion, and is responsible for the sale and marketing of the games as well as customer services. Fees paid to game developers, app stores and payment platforms are recorded as cost of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games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considers the average period that players typically play the games and other game player behavior patterns, as well as various other factors to arrive at the best estimates for the estimated average playing period of the paying players for each game based on historical players’ churn rates. If a new game is launched and only a limited period of paying player data is available, then the Group considers other qualitative factors.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 games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sells prepaid points to the end users. Customers can use the points to play the Group’s PC games, pay for in-game items and use other fee-based premium services. Customers can also purchase in-game items and other fee-based premium services online and consume the in-game items and services directly. Proceeds received from the sales of prepaid online points and in-game items and other fee-based premium services to players are recorded as contract liabilities.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earns revenue through providing PC game services to players mainly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times of uses (for example, 10 times) or limited by time (for example, three months). Revenues from the sales of limited life in-game items are recognized ratably based on the extent of time passed or expired or the times used. Players are allowed to use permanent life in-game items without any use or time limits. Revenues from the sales of permanent life in-game items are recognized ratably over the estimated average playing period of the paying players.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considers the average period that players typically play the games and other game player behavior patterns, as well as various other factors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average playing period of the paying players are applied prospectively as such changes are resulted from new information indicating a change in the game player behavior patterns.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Tutoring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offers various types of integrated learning services through Youdao, which primarily cover a wide spectrum of topics and target people from broad age groups through its diverse offerings of tutoring courses and digital learning contents, foreign languages, professional and interest education services as well as IT computer skills, etc. Youdao’s tutoring courses consist of online live streaming and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tutoring courses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also offers digital learning contents to customers which are delivered together with online live streaming courses and customized planning services. The customers can either stream the digital learning contents online or download and watch them offline. The downloadable digital learning contents, streaming services, online live streaming courses and customized planning services are considered as distinct performance obligations in the contract. The transaction price is generally collected in advance and allocated to each performance obligation in the contract based on the relative standalone selling prices. The Group recognizes the revenues of downloadable digital learning contents as the performance obligation is satisfied upon the time of delivery. The revenues of streaming services and customized planning services are recognized ratably over the service period. For online live streaming courses, the revenues are recognized ratably over the estimated average learning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Smart devices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sells smart devices such as dictionary pen, smart learning pad and listening pod through Youdao to customers through retailers or distributors. The Group recognizes revenues when control of the goods is transferred to the customer, which generally occurs upon the delivery to the end customers or upon the delivery to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Online music services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offers online music services through NetEase Cloud Music, which mainly include membership subscriptions, sales of digital music album and songs and contents sublicensing on the Group’s online platforms.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offers users membership subscription packages which entitled paying subscriber access to the Group’s relevant music contents and other privileged features on its platforms. The subscription fees for these packages are primarily time-based mainly from weekly to yearly and is collected upfront. The receipt of subscription fees is initially recognised as contract liabilities. The Group satisfies its performance obligations throughout the subscription period and revenue from the membership subscriptions is recognised over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also offers users to purchase exclusive digital music albums and songs which can listen both online and offline. The Group considers that the control has been transferred to customer at time of purchase. As a result, the performance obligation is satisfied and revenue is recognised at a point in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sublicenses certain of its music contents to other music platforms for a fixed period of one to three years, which generally falls within the original license period. The Group determines sublicense of contents as a single performance obligation, and the revenue from sublicensing of contents is recognised over time throughout the sublicense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Live streaming services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operates live streaming platforms mainly through NetEase Cloud Music whereby users can enjoy live performances provided by the live streaming performers and interact with them on a real time basis free of charge. The Group sells virtual items to users at pre-determined price so that the users gift them to live streaming performers to show their support and appreciation. The virtual items sold by the Group comprise of either (i) consumable items or (ii) time-based item, such as privilege titles etc. Under the arrangements with the live streaming performers,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Advertising services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also enters into performance-based advertising arrangements with customers. For example, cost per mille (“CPM”) or cost-per-click (“CPC”) advertising arrangements with customers, the Group recognizes revenues based on the number of times that the advertisement has been displayed or the number of actions completed resulted from the advertisements, respectively.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customers may receive volume rebates, which are accounted for as variable consideration. The Group estimates annual expected rebate volume with reference to their historical results and reduce revenues recognized.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E-commerce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e-commerce revenue is primarily from its private label consumer lifestyle brand Yanxuan, which was established in April 2016. Yanxuan sells its private label products, including pet supplies, home cleaning products, bedding and other categories which mainly source directly from some excellent manufacturers.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which are treated as a reduction of revenue when the related transaction is recognized.</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respectively, on the Group’s consolidated balance sheets. Both of the balances are not material as of December 31, 2022, 2023 and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Fee-based premium services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Fee-based premium services revenues, mostly operated on either consumption-basis or a monthly subscription basis, are derived principally from providing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85" w:lineRule="exact"/>
        <w:rPr>
          <w:sz w:val="20"/>
          <w:szCs w:val="20"/>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4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applied the portfolio approach in determining the commencement date of consumption of permanent virtual items and the estimated average playing period of paying players for PC games and mobile games for the recognition of online game revenue given that the effect of applying a portfolio approach to a group game players’ behaviors would not differ materially from considering each one of them individually.</w:t>
      </w:r>
    </w:p>
    <w:p>
      <w:pPr>
        <w:spacing w:after="0" w:line="1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elects to expense certain costs to obtain a contract as incurred when the expected amortization period is one year or less.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right to consideration in exchange for goods or services that the Group has transferred to a customer is recognized as a contract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as of December 31, 2023 and 2024 were not material.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contract liability is the Group’s obligation to transfer goods or services to a customer for which the Group has received consideration (or an amount of consideration is due) from the customer. Refer to Note 16 - Contract liabilities for further information, including changes in contract liabilities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revenues consist primarily of revenue sharing cost, staff-related costs, royalty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mainly consist of staff-related costs and technology service costs incurred for the development of online games and other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Software development costs for software to be sold, leased or otherwise marketed are charged to research and development expense until technological feasibility is established. The technological feasibility is not established until substantially all product development and testing is complete, and the period after the date technical feasibility is reached and the time when the software marketed was short historically. The Group’s software development costs qualifying for capitalization has been immaterial for the years ended December 31, 2022, 2023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cash equivalents and time 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mainly represent cash on hand, demand deposits and time deposits with original maturities less than three months placed with large reputable banks in Hong Kong and/or China. As of December 31, 2023 and 2024, there were cash and cash equivalent denominated in U.S. dollars amounting to approximately US$1.6 billion and US$2.8 billion, respectively (equivalent to approximately RMB11.1 billion and RMB20.3 billion,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represent time deposits placed with banks with original maturities of three months or more. As of December 31, 2023 and 2024, there were time deposits denominated in U.S. dollars amounting to approximately US$8.6 billion and US$9.3 billion, respectively (equivalent to approximately RMB61.2 billion and RMB67.2 billion,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Group had approximately RMB48.5 billion and RMB41.1 billion cash and cash equivalents and time deposits held by its PRC subsidiaries and the VIEs, representing 39.3% and 31.7% of total cash and cash equivalents and time deposits of the Group,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Group had a restricted cash balance approximately RMB2.8 billion and RMB3.1 billion, respectively, comprising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 of NetEase Pay accounts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w:t>
            </w: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09"/>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had no other material lien arrangements during 2023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Receivables,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receivables are subject to the measurement of credit losses within the scope of ASC Topic 326.The impact of this standard was immaterial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accounts receivable, other receivables recorded in prepayments and other current assets and other long-term receivables recorded in other long-term assets are within the scope of ASC Topic 326. Accounts receivable consist primarily of receivables from mobile games services, online music services and advertising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movements of the allowance for expected credit losses for the years ended December 31, 2022, 2023 and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3020" w:type="dxa"/>
            <w:vAlign w:val="bottom"/>
            <w:tcBorders>
              <w:bottom w:val="single" w:sz="8" w:color="auto"/>
            </w:tcBorders>
            <w:gridSpan w:val="5"/>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1080" w:type="dxa"/>
            <w:vAlign w:val="bottom"/>
            <w:tcBorders>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08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369,982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448,562</w:t>
            </w: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256,039</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(28,015)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(15,944)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2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403,360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448,562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689,428</w:t>
            </w:r>
          </w:p>
        </w:tc>
        <w:tc>
          <w:tcPr>
            <w:tcW w:w="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and time deposits, restricted cash, accounts receivable, prepayments and other current assets, short-term investments, accounts payable, short-term loans and accrued liabilities and other payables, which the carrying values approximate their fair value. Please see Note 29 for additional information.</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Short-term investments include investments in financial instruments with a variable interest rate indexed to performance of underlying assets, all of which are with an original maturity of less than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7 and Note 29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investments are mainly comprised of equity investments in publicly traded companies, privately-held companies and limited-partnership.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in publicly traded companies are reported at fair value as equity investment with readily determinable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for the years ended December 31, 2022, 2023 and 2024 are recognized in “Other income/(expense)”.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regularly evaluates the impairment of the investments in privately-held companies without readily determinable fair value and equity method investments periodically, or when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Management applies significant judgments in the impairment assessment for these equity investments when: (i) determining as to whether any impairment indicators exist during the year;</w:t>
      </w:r>
    </w:p>
    <w:p>
      <w:pPr>
        <w:spacing w:after="0" w:line="3" w:lineRule="exact"/>
        <w:rPr>
          <w:sz w:val="20"/>
          <w:szCs w:val="20"/>
          <w:color w:val="auto"/>
        </w:rPr>
      </w:pPr>
    </w:p>
    <w:p>
      <w:pPr>
        <w:jc w:val="both"/>
        <w:ind w:firstLine="8"/>
        <w:spacing w:after="0" w:line="251" w:lineRule="auto"/>
        <w:tabs>
          <w:tab w:leader="none" w:pos="27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impairment amount if an impairment exists; and (iii) making the judgments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based on the severity and duration of the impairment indicator and the existence of any positive or mitigating factors.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adopted ASU 2016-02, “Leases (Topic 842)”, including certain transitional guidance and subsequent amendments within ASU 2018-01, ASU 2018-10, ASU 2018-11, ASU 2018-20 and ASU 2019-01 (collectively, including ASU 2016-02, “ASC 842”).</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2023 and 2024, the Group has no material finance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5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20-30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Decoration</w:t>
            </w:r>
          </w:p>
        </w:tc>
        <w:tc>
          <w:tcPr>
            <w:tcW w:w="5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lesser of the term of the lease and the estimated useful lives of the assets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office and other equipment</w:t>
            </w:r>
          </w:p>
        </w:tc>
        <w:tc>
          <w:tcPr>
            <w:tcW w:w="5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3-20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5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Servers and computers</w:t>
            </w:r>
          </w:p>
        </w:tc>
        <w:tc>
          <w:tcPr>
            <w:tcW w:w="5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Repairs and maintenance expenditures, which are not considered improvements and do not extend the useful life of the property and equipment,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Land use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use rights represent lease prepayments to the local government authorities. Upon the adoption of ASC 842 on January 1, 2019, land use rights, net were identified as operating lease right-of-use assets, which is separately disclosed as “Land use rights, net” in the Group’s consolidated balance sheets. Accordingly, the Group disclosed the cash used for obtaining the land use rights in operating cash flow activities for the years ended December 31, 2022, 2023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tested for impairment if impairment indicators arise. The Group amortizes its finite-lived intangible assets using the straight-line method: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right</w:t>
            </w:r>
          </w:p>
        </w:tc>
        <w:tc>
          <w:tcPr>
            <w:tcW w:w="70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over the license period</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7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7-10 years</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70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and other long-term assets are tested for recoverability whenever events or changes in circumstances indicate that its carrying amount may not be recoverable. When these events occur, the Group evaluates the impairment for intangible assets and other long-term assets by comparing the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assets over the fair value of the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Advertising and promotional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expenses advertising and promotional costs as incurred and reports these costs under selling and marketing expense. Advertising and promotional expenses totaled approximately RMB10.0 billion, RMB10.4 billion and RMB10.9 billion (US$1.5 billion) for the years ended December 31, 2022, 2023,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RMB. The Company and its subsidiaries and the VIEs, with an exception of many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Translations of amounts from RMB into United States dollars for the convenience of the reader were calculated at the noon buying rate of US$1.00 = RMB7.2993 on the last trading day of 2024 (December 31, 2024) as set forth in the H.10 statistical release of the U.S. Federal Reserve Board. No representation is made that the RMB amounts could have been, or could be, converted into United States dollars at such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its 2009 Restricted Share Unit Plan and 2019 Restricted Share Unit Plan (see Note 22(a)),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22, 2023, the Board of Directors of the Company amended and restated the 2019 Restricted Share Unit Plan to permit the grant of stock option awards thereunder as an additional award type and to make certain other ministerial and administrative changes and renamed it the NetEase, Inc. Amended and Restated 2019 Share Incentive Plan (the “Amended and Restated 2019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granted options exercisable for ordinary shares and RSUs to certain of the Group’s employees. The options expire four to seven years from the date of grant and either vest or have a vesting commencement date upon certain conditions being met (“Vesting Commencement Date”). The Group adopts the binomial option pricing model to determine the fair value of stock options and RSUs are measured at the fair market value of the shares on the grant date and accounts for share-based compensation cost using an estimated forfeiture rate.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Forfeitures were estimated based on the Group’s weighted average historical forfeiture rate of the last five years. Differences between actual and estimated forfeitures are expensed in the period that the differences occur. See Note 22 for further information regarding share-based compensation assumptions and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2007, the National People’s Congress of PRC enacted the Enterprise Income Tax (“EIT”) Law which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tax assets to the amount “more likely than not” to be realized in future tax returns.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2022, 2023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have any significant unrecognized uncertain tax positions as of December 31, 2023 and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Net earnings per share (“EPS”) and per American Depositary Share (“ADS”)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Statutory reserves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subsidiaries and the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Business combination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Noncontrolling interests and redeemable noncontrolling interests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Noncontrolling interests are recognized to reflect the portion of the equity of majority-owned subsidiaries and the VIEs which is not attributable, directly or indirectly, to the controlling shareholder.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noncontrolling interest will continue to be attributed its share of losses even if that attribution results in a deficit noncontrolling interest balance.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Redeemable noncontrolling interests represent redeemable equity interests issued by the Group’s subsidiaries to certain investors (see Note 19),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Comprehensive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internal organizational structure as well as information about geographical areas, business segments and major customers in financial statements is set out in detail under Note 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of the Company are recognized when declared.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(bb) Recently issued accounting pronouncements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(Topic 220): Reporting Comprehensive Income- Expense Disaggregation Disclosures (Subtopic 220-40). 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currently evaluating the impact of these accounting standard updates on the consolidated financial statements.</w:t>
      </w:r>
    </w:p>
    <w:p>
      <w:pPr>
        <w:spacing w:after="0" w:line="221"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2022, the Company recognized net income from discontinued operations of RMB624.9 million which was related to the disposal of the Kaola business in 2019.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in 2022</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Group completed several acquisitions to complete its existing businesses and achieve synergies. Among them, the Group acquired an additional 50.5% equity interest of a previously held equity investment with total cash consideration of RMB760.4 million. Upon the acquisition, the Group increased its equity interest in this investment from 41.5% to 92.0%, and accounted for it as a consolidated subsidiary of the Group. A gain of RMB310.4 million in relation to the revaluation of the previously held equity interests was recorded in “Investment income, net” in the consolidated statements of operations and comprehensive income for the year ended December 31, 2022. The acquired entities individually and in aggregate were insignificant. The Group’s acquisitions in 2022 are summarized in the following table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73"/>
        </w:trPr>
        <w:tc>
          <w:tcPr>
            <w:tcW w:w="2480" w:type="dxa"/>
            <w:vAlign w:val="bottom"/>
            <w:tcBorders>
              <w:bottom w:val="single" w:sz="8" w:color="CCEEFF"/>
            </w:tcBorders>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RMB</w:t>
            </w:r>
          </w:p>
        </w:tc>
      </w:tr>
      <w:tr>
        <w:trPr>
          <w:trHeight w:val="209"/>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liabilities acquired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w:t>
            </w:r>
          </w:p>
        </w:tc>
      </w:tr>
      <w:tr>
        <w:trPr>
          <w:trHeight w:val="216"/>
        </w:trPr>
        <w:tc>
          <w:tcPr>
            <w:tcW w:w="8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Amortizable intangible assets </w:t>
            </w:r>
            <w:r>
              <w:rPr>
                <w:rFonts w:ascii="Times New Roman" w:cs="Times New Roman" w:eastAsia="Times New Roman" w:hAnsi="Times New Roman"/>
                <w:sz w:val="25"/>
                <w:szCs w:val="25"/>
                <w:color w:val="auto"/>
                <w:vertAlign w:val="superscript"/>
              </w:rPr>
              <w:t>(i)</w:t>
            </w:r>
          </w:p>
        </w:tc>
        <w:tc>
          <w:tcPr>
            <w:tcW w:w="126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143,146</w:t>
            </w:r>
          </w:p>
        </w:tc>
      </w:tr>
      <w:tr>
        <w:trPr>
          <w:trHeight w:val="216"/>
        </w:trPr>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identified intangible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525,853</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(104,137)</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1,571,206</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(122,983)</w:t>
            </w:r>
          </w:p>
        </w:tc>
      </w:tr>
      <w:tr>
        <w:trPr>
          <w:trHeight w:val="2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1,978,414</w:t>
            </w:r>
          </w:p>
        </w:tc>
      </w:tr>
      <w:tr>
        <w:trPr>
          <w:trHeight w:val="20"/>
        </w:trPr>
        <w:tc>
          <w:tcPr>
            <w:tcW w:w="2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180" w:type="dxa"/>
            <w:vAlign w:val="bottom"/>
          </w:tcPr>
          <w:p>
            <w:pPr>
              <w:spacing w:after="0"/>
              <w:rPr>
                <w:sz w:val="7"/>
                <w:szCs w:val="7"/>
                <w:color w:val="auto"/>
              </w:rPr>
            </w:pPr>
          </w:p>
        </w:tc>
        <w:tc>
          <w:tcPr>
            <w:tcW w:w="1260" w:type="dxa"/>
            <w:vAlign w:val="bottom"/>
          </w:tcPr>
          <w:p>
            <w:pPr>
              <w:spacing w:after="0"/>
              <w:rPr>
                <w:sz w:val="7"/>
                <w:szCs w:val="7"/>
                <w:color w:val="auto"/>
              </w:rPr>
            </w:pPr>
          </w:p>
        </w:tc>
      </w:tr>
    </w:tbl>
    <w:p>
      <w:pPr>
        <w:spacing w:after="0" w:line="76" w:lineRule="exact"/>
        <w:rPr>
          <w:sz w:val="20"/>
          <w:szCs w:val="20"/>
          <w:color w:val="auto"/>
        </w:rPr>
      </w:pPr>
    </w:p>
    <w:p>
      <w:pPr>
        <w:ind w:left="380" w:hanging="372"/>
        <w:spacing w:after="0" w:line="282" w:lineRule="auto"/>
        <w:tabs>
          <w:tab w:leader="none" w:pos="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and other identified intangible assets acquired in the acquisitions are included in “Copyrights, licenses, domain names, trademark and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significant acquisition incurred in 2023 and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 forma results of operations for all the acquisitions have not been presented because they were not material to the consolidated statements of operations and comprehensive income for the years ended December 31, 2022, 2023 and 2024, either individually or in aggregate.</w:t>
      </w:r>
    </w:p>
    <w:p>
      <w:pPr>
        <w:spacing w:after="0" w:line="172"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and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Server and bandwidth service provider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relied on over 100 telecommunications service providers and their affiliates for server and bandwidth service to support its operations during fiscal years 2022, 2023 and 2024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31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r>
      <w:tr>
        <w:trPr>
          <w:trHeight w:val="178"/>
        </w:trPr>
        <w:tc>
          <w:tcPr>
            <w:tcW w:w="6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Number of service providers, offering 10% or more of the Group’s server and bandwidth</w:t>
            </w: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expenditure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of the Group’s server and bandwidth service expenditure provided by 10% or</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greater service providers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significant concentrations of credit risk consist primarily of cash and cash equivalents, time deposits, restricted cash, accounts receivable and short-term investments. As of December 31, 2023 and 2024, substantially all of the Group’s cash and cash equivalents, time deposits and restricted cash were held in major financial institutions located in the PRC or Hong Kong, which management considers being of high credit quality. Accounts receivable are typically unsecured and are generally derived from revenue earned from mobile games services, online music services and advertising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channel had a receivable balance exceeding 10% of the total accounts receivable balance as of December 31, 2023 and 2024, respectively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Channel 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receivable from one customer accounted for 11% of the total accounts receivable balance as of December 31,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1.41% to 6.70% per annum as of December 31, 2024.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10% or more of the Group’s total net revenues for the years ended December 31, 2022, 2023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Online games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derived 29.6%, 36.8% and 35.7% of its total net revenues from its top 5 online games for the years ended December 31, 2022, 2023 and 2024, respectively.</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prepayments and other current assets, net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8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royalties, revenue sharing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2,522,296</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2,271,944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1,934,920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of content and marketing cost and other operational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638,697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485,587</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deductible value added tax and refundable subsidy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581,228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603,670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 in connection with ongoing investments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advances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within one year related to disposal of investments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512,367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529,051</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132,268</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144,068</w:t>
            </w:r>
          </w:p>
        </w:tc>
      </w:tr>
      <w:tr>
        <w:trPr>
          <w:trHeight w:val="210"/>
        </w:trPr>
        <w:tc>
          <w:tcPr>
            <w:tcW w:w="78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6,076,595</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6,416,868</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2024, prepayments for royalties and revenue sharing cost mainly represented prepaid royalties or revenue sharing cost related to game distribution and operations of online games.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employee advances listed above included staff housing loan balances of RMB18.2 million and RMB12.1 million repayable within 12 months from December 31, 2023 and 2024 respectively (see Note 12). No advances were made directly or indirectly to the Group’s executive officers for their personal benefit for the years ended December 31, 2023 and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2024, the Group’s short-term investments mainly consisted of financial products issued by commercial banks in China with a variable interest rate indexed to the performance of underlying assets and a maturity date within one year when purchased. As of December 31, 2024, the effective yields of short-term investments ranged from 1.41% to 6.70% per annum (2023: 1.85% to 8.31% per annum).</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1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24"/>
        </w:trPr>
        <w:tc>
          <w:tcPr>
            <w:tcW w:w="10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3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4,275,329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160,728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4,436,057</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0"/>
                <w:szCs w:val="10"/>
                <w:color w:val="auto"/>
              </w:rPr>
            </w:pPr>
          </w:p>
        </w:tc>
        <w:tc>
          <w:tcPr>
            <w:tcW w:w="13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24"/>
        </w:trPr>
        <w:tc>
          <w:tcPr>
            <w:tcW w:w="10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3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10,565,640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190,503</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20" w:space="720"/>
            <w:col w:w="3680"/>
          </w:cols>
          <w:pgMar w:left="980" w:top="513" w:right="99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2023 and 2024, the Group recorded investment income related to short-term investments of RMB342.6 million, RMB414.2 million and RMB530.6 million in the consolidated statements of operations and comprehensive income, respectively.</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Equipment and Software,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property, equipment and software, net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decoration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4,063,468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311,156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office and other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508,185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Servers and computers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6,144,176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367,472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3,675,879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15,176,363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(6,923,618)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(177,701)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8,075,044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RMB1.1 billion, RMB769.7 million and RMB781.2 million for the years ended December 31, 2022, 2023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construction in progress balance mainly comprised of construction of buildings in Shanghai and Hangzhou that have not yet been placed in service for the Group’s intended use. All the related cost is capitalized in construction in progress to the extent it is incurred for the purposes of bringing the construction development to a usable state.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use rights represent acquired right to use the land on which the Group’s offices and warehouses are built. In 2023 and 2024, the Group obtained the land use rights from the local authorities, including in Beijing and Guian. Amortization of the land use right is made over the remaining term of the land use right period from the date when the land was made available for use by the Group. The land use rights, net are summarized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42"/>
        </w:trPr>
        <w:tc>
          <w:tcPr>
            <w:tcW w:w="78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4,590,902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4,801,005</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Incentive payment from local government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(486,475)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(599,256)</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20" w:type="dxa"/>
            <w:vAlign w:val="bottom"/>
          </w:tcPr>
          <w:p>
            <w:pPr>
              <w:spacing w:after="0"/>
              <w:rPr>
                <w:sz w:val="18"/>
                <w:szCs w:val="18"/>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4,172,465</w:t>
            </w:r>
          </w:p>
        </w:tc>
        <w:tc>
          <w:tcPr>
            <w:tcW w:w="2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amortization expense for each of the years ended December 31, 2022, 2023 and 2024 amounted to approximately RMB91.8 million, RMB101.9 million and RMB112.8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operating leases for corporate offices, warehouses and retail stores. In addition, upon the adoption of ASC 842, land use rights with total carrying amount of RMB4.1 billion and RMB4.2 billion (Note 9) were identified as operating lease right-of-use assets as of December 31, 2023 and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leases have remaining lease terms of 1 month to 66 years, some of which include options to terminate the leases within certain periods. The Group considers these options in determining the classification and measurement of the leases when it is reasonably certain that the Group will exercise that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Group’s operating leases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900" w:type="dxa"/>
            <w:vAlign w:val="bottom"/>
            <w:tcBorders>
              <w:bottom w:val="single" w:sz="8" w:color="auto"/>
            </w:tcBorders>
            <w:gridSpan w:val="5"/>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10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240" w:type="dxa"/>
            <w:vAlign w:val="bottom"/>
          </w:tcPr>
          <w:p>
            <w:pPr>
              <w:spacing w:after="0"/>
              <w:rPr>
                <w:sz w:val="12"/>
                <w:szCs w:val="12"/>
                <w:color w:val="auto"/>
              </w:rPr>
            </w:pPr>
          </w:p>
        </w:tc>
        <w:tc>
          <w:tcPr>
            <w:tcW w:w="11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409,196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249,169</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471,214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short-term lease cost was RMB27.4 million, RMB42.3 million and RMB44.6 million for the years ended December 31, 2022, 2023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Group’s operating lease terms and discount rates, which excludes the land use rights, as of December 31, 2023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20" w:type="dxa"/>
            <w:vAlign w:val="bottom"/>
          </w:tcPr>
          <w:p>
            <w:pPr>
              <w:spacing w:after="0"/>
              <w:rPr>
                <w:sz w:val="15"/>
                <w:szCs w:val="15"/>
                <w:color w:val="auto"/>
              </w:rPr>
            </w:pPr>
          </w:p>
        </w:tc>
        <w:tc>
          <w:tcPr>
            <w:tcW w:w="462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2.92 years</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2.87 years</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3.77 %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3.62 %</w:t>
            </w:r>
          </w:p>
        </w:tc>
      </w:tr>
      <w:tr>
        <w:trPr>
          <w:trHeight w:val="846"/>
        </w:trPr>
        <w:tc>
          <w:tcPr>
            <w:tcW w:w="3820" w:type="dxa"/>
            <w:vAlign w:val="bottom"/>
          </w:tcPr>
          <w:p>
            <w:pPr>
              <w:spacing w:after="0"/>
              <w:rPr>
                <w:sz w:val="24"/>
                <w:szCs w:val="24"/>
                <w:color w:val="auto"/>
              </w:rPr>
            </w:pPr>
          </w:p>
        </w:tc>
        <w:tc>
          <w:tcPr>
            <w:tcW w:w="486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F-32</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Investments</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long-term investments (in thousands):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2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08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6,109,240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3,107,266</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12,021,518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545,163</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21,783,187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Investments in equity method investees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recorded equity share of earnings of RMB1.3 billion and RMB473.9 million for the years ended December 31, 2022 and 2023, respectively, and recorded equity share of losses of RMB155.6 million for the year ended December 31, 2024, which was included in “Investment income, net” in the consolidated statements of operations and comprehensive income. As of December 31, 2023, the Group invested an aggregated cash consideration of RMB2.0 billion in five limited partnerships as a limited partner, and in 2024, the Group further contributed totally RMB204.7 million cash in four of them. The objectives of these limited partnerships are to engage in investment in online game business. The Group accounted such investments under the equity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Equity investments with readily determinable fair values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equity investments with readily determinable fair values mainly included RMB1.1 billion invested in shares of Alibaba Group Holding Limited, RMB568.0 million invested in shares of Huatai Securities Company Limited, RMB473.8 million invested in shares of Shenzhen Transsion Holding Limited and RMB155.6 million invested in shares of Embracer Group AB (publ). The Group recorded fair value loss of RMB3.4 billion, fair value gain of RMB535.3 million and RMB1.2 billion related to the equity investments with readily determinable fair value for the year ended December 31, 2022, 2023 and 2024,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also recorded cash dividend income of RMB26.5 million, RMB51.0 million and RMB66.5 million from these investments for the years ended December 31, 2022, 2023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investments without readily determinable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years ended December 31, 2022, 2023 and 2024, there were no upward adjustments to the carrying value of equity securities without readily determinable fair value resulted from such transactions.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recognized a gain of RMB1.8 billion, RMB22.3 million and RMB22.2 million related to the disposal of the Group’s investments in equity securities without readily determinable fair value as “Investment income, net” in the consolidated statements of operations and comprehensive income for the years ended December 31, 2022, 2023 and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recognized impairment provision of RMB85.2 million, RMB274.2 million and RMB1.0 billion related to certain of the equity investments without readily determinable fair value as “Investment income, net” in the consolidated statements of operations and comprehensive income for the years ended December 31, 2022, 2023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other long-term assets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licenses, domain names, trademark and technology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1,884,603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1,412,931</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1,855,394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1,855,293</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1,193,662</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receivables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Staff housing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446,746</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411,464</w:t>
            </w:r>
          </w:p>
        </w:tc>
      </w:tr>
      <w:tr>
        <w:trPr>
          <w:trHeight w:val="210"/>
        </w:trPr>
        <w:tc>
          <w:tcPr>
            <w:tcW w:w="75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5,939,106</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5,083,258</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2,166,486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1,855,394</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others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(311,092)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1,855,394</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1,855,293</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2024, the carrying value of goodwill was mainly recorded under the games and related value-added services segment.The Group performed impairment tests using the qualitative and quantitative method and concluded that the goodwill was not impaired as at December 31, 2023 and 2024, therefore, no provision was recorded.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2.10% to 4.75% per annum both for the years ended December 31, 2023 and 2024. The outstanding portion of the staff housing loans repayable within 12 months as of December 31, 2023 and 2024 amounted to approximately RMB18.2 million and RMB12.1 million, respectively. The amounts are reported under “Prepayments and other current assets, net” in the consolidated balance sheets (see Note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Subsidiaries in the BVI are exempted from income tax on its foreign-derived income in the BVI. There are no withholding taxes in the BVI.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Subsidiaries in Hong Kong are subject to 16.5% income tax on their taxable income generated from operations in Hong Kong. For the years ended December 31, 2022, 2023 and 2024,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EIT Law, Foreign Invested Enterprises (“FIEs”) and domestic companies would be subject to EIT at a uniform rate of 25%. Preferential tax treatments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Boguan, NetEase Hangzhou and certain other PRC subsidiaries were qualified as HNTEs and enjoyed a preferential tax rate of 15% for 2022, 2023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preferential tax rates are subject to annual review by the relevant tax authorities in China.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combined effects of EIT exemptions and tax rate reductions enjoyed by the Group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2023 and 2024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amount of EIT exemptions and tax rate reductions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2,631,764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3,228,359</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3,654,069</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effect, basic</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effect, diluted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income tax expenses of the Group for the years ended December 31, 2022, 2023 and 2024 (in thousands):</w:t>
      </w:r>
    </w:p>
    <w:p>
      <w:pPr>
        <w:spacing w:after="0" w:line="16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7620</wp:posOffset>
            </wp:positionV>
            <wp:extent cx="18599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7260"/>
        <w:spacing w:after="0"/>
        <w:tabs>
          <w:tab w:leader="none" w:pos="8280" w:val="left"/>
          <w:tab w:leader="none" w:pos="93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-3175</wp:posOffset>
            </wp:positionV>
            <wp:extent cx="18599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7240"/>
        <w:spacing w:after="0" w:line="232" w:lineRule="auto"/>
        <w:tabs>
          <w:tab w:leader="none" w:pos="8260" w:val="left"/>
          <w:tab w:leader="none" w:pos="930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4,542,168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4,568,267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5,140,682</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489,670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320,726</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5,031,838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4,699,704</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5,461,408</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the PRC statutory income tax rate of 25% where the Group primarily operates in to the effective income tax rate of the Group for the years ended December 31, 2022, 2023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98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4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6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due to different tax rates applicable to overseas entities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lower tax rate applicable to HNTEs and EIT exemptions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9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Effect of withholding income tax </w:t>
            </w:r>
            <w:r>
              <w:rPr>
                <w:rFonts w:ascii="Times New Roman" w:cs="Times New Roman" w:eastAsia="Times New Roman" w:hAnsi="Times New Roman"/>
                <w:sz w:val="25"/>
                <w:szCs w:val="25"/>
                <w:color w:val="auto"/>
                <w:vertAlign w:val="superscript"/>
              </w:rPr>
              <w:t>(d)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certain entities of the Group had net operating tax loss carry forwards of RMB22.4 billion, which is mainly from its PRC subsidiaries and VIEs with expiration period from 2025 to 2034.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Sales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provision regulation of the PRC on VAT and its implementation rules, the Company’s subsidiaries and the VIEs are generally subject to VAT at a rate of 6% from revenues earned from services provided or 16% from sales of general goods, which was reduced to 13% effective from 1 April,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Deferred tax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impact of significant temporary differences that give rise to the deferred tax assets and liabilities as of December 31, 2023 and 2024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liabilities, primarily for advanced payments from online games customers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1,043,715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1,088,998</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 and others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256,777</w:t>
            </w:r>
          </w:p>
        </w:tc>
        <w:tc>
          <w:tcPr>
            <w:tcW w:w="20" w:type="dxa"/>
            <w:vAlign w:val="bottom"/>
          </w:tcPr>
          <w:p>
            <w:pPr>
              <w:spacing w:after="0"/>
              <w:rPr>
                <w:sz w:val="18"/>
                <w:szCs w:val="18"/>
                <w:color w:val="auto"/>
              </w:rPr>
            </w:pPr>
          </w:p>
        </w:tc>
      </w:tr>
      <w:tr>
        <w:trPr>
          <w:trHeight w:val="216"/>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operating tax loss carry forward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3,424,344</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3,684,913</w:t>
            </w:r>
          </w:p>
        </w:tc>
        <w:tc>
          <w:tcPr>
            <w:tcW w:w="20" w:type="dxa"/>
            <w:vAlign w:val="bottom"/>
          </w:tcPr>
          <w:p>
            <w:pPr>
              <w:spacing w:after="0"/>
              <w:rPr>
                <w:sz w:val="18"/>
                <w:szCs w:val="18"/>
                <w:color w:val="auto"/>
              </w:rPr>
            </w:pPr>
          </w:p>
        </w:tc>
      </w:tr>
      <w:tr>
        <w:trPr>
          <w:trHeight w:val="209"/>
        </w:trPr>
        <w:tc>
          <w:tcPr>
            <w:tcW w:w="7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5,278,766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5,030,688</w:t>
            </w: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(3,718,678)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(3,917,253)</w:t>
            </w:r>
          </w:p>
        </w:tc>
        <w:tc>
          <w:tcPr>
            <w:tcW w:w="20" w:type="dxa"/>
            <w:vAlign w:val="bottom"/>
          </w:tcPr>
          <w:p>
            <w:pPr>
              <w:spacing w:after="0"/>
              <w:rPr>
                <w:sz w:val="18"/>
                <w:szCs w:val="18"/>
                <w:color w:val="auto"/>
              </w:rPr>
            </w:pPr>
          </w:p>
        </w:tc>
      </w:tr>
      <w:tr>
        <w:trPr>
          <w:trHeight w:val="209"/>
        </w:trPr>
        <w:tc>
          <w:tcPr>
            <w:tcW w:w="7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1,113,435</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75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Withholding income tax</w:t>
            </w:r>
            <w:r>
              <w:rPr>
                <w:rFonts w:ascii="Times New Roman" w:cs="Times New Roman" w:eastAsia="Times New Roman" w:hAnsi="Times New Roman"/>
                <w:sz w:val="25"/>
                <w:szCs w:val="25"/>
                <w:color w:val="auto"/>
                <w:vertAlign w:val="superscript"/>
              </w:rPr>
              <w: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2,165,573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2,053,668</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w:t>
            </w:r>
          </w:p>
        </w:tc>
        <w:tc>
          <w:tcPr>
            <w:tcW w:w="20" w:type="dxa"/>
            <w:vAlign w:val="bottom"/>
          </w:tcPr>
          <w:p>
            <w:pPr>
              <w:spacing w:after="0"/>
              <w:rPr>
                <w:sz w:val="18"/>
                <w:szCs w:val="18"/>
                <w:color w:val="auto"/>
              </w:rPr>
            </w:pPr>
          </w:p>
        </w:tc>
      </w:tr>
      <w:tr>
        <w:trPr>
          <w:trHeight w:val="21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2,299,303</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2,173,117</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5800" w:type="dxa"/>
            <w:vAlign w:val="bottom"/>
          </w:tcPr>
          <w:p>
            <w:pPr>
              <w:spacing w:after="0"/>
              <w:rPr>
                <w:sz w:val="15"/>
                <w:szCs w:val="15"/>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800" w:type="dxa"/>
            <w:vAlign w:val="bottom"/>
          </w:tcPr>
          <w:p>
            <w:pPr>
              <w:spacing w:after="0"/>
              <w:rPr>
                <w:sz w:val="12"/>
                <w:szCs w:val="12"/>
                <w:color w:val="auto"/>
              </w:rPr>
            </w:pPr>
          </w:p>
        </w:tc>
        <w:tc>
          <w:tcPr>
            <w:tcW w:w="122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4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800" w:type="dxa"/>
            <w:vAlign w:val="bottom"/>
            <w:shd w:val="clear" w:color="auto" w:fill="CCEEFF"/>
          </w:tcPr>
          <w:p>
            <w:pPr>
              <w:jc w:val="right"/>
              <w:ind w:right="5350"/>
              <w:spacing w:after="0"/>
              <w:rPr>
                <w:sz w:val="20"/>
                <w:szCs w:val="20"/>
                <w:color w:val="auto"/>
              </w:rPr>
            </w:pPr>
            <w:r>
              <w:rPr>
                <w:rFonts w:ascii="Times New Roman" w:cs="Times New Roman" w:eastAsia="Times New Roman" w:hAnsi="Times New Roman"/>
                <w:sz w:val="18"/>
                <w:szCs w:val="18"/>
                <w:color w:val="auto"/>
                <w:w w:val="94"/>
              </w:rPr>
              <w:t>2022</w:t>
            </w: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3,648,870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3,971,516</w:t>
            </w:r>
          </w:p>
        </w:tc>
      </w:tr>
      <w:tr>
        <w:trPr>
          <w:trHeight w:val="216"/>
        </w:trPr>
        <w:tc>
          <w:tcPr>
            <w:tcW w:w="5800" w:type="dxa"/>
            <w:vAlign w:val="bottom"/>
          </w:tcPr>
          <w:p>
            <w:pPr>
              <w:jc w:val="right"/>
              <w:ind w:right="5350"/>
              <w:spacing w:after="0"/>
              <w:rPr>
                <w:sz w:val="20"/>
                <w:szCs w:val="20"/>
                <w:color w:val="auto"/>
              </w:rPr>
            </w:pPr>
            <w:r>
              <w:rPr>
                <w:rFonts w:ascii="Times New Roman" w:cs="Times New Roman" w:eastAsia="Times New Roman" w:hAnsi="Times New Roman"/>
                <w:sz w:val="18"/>
                <w:szCs w:val="18"/>
                <w:color w:val="auto"/>
                <w:w w:val="94"/>
              </w:rPr>
              <w:t>2023</w:t>
            </w:r>
          </w:p>
        </w:tc>
        <w:tc>
          <w:tcPr>
            <w:tcW w:w="1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3,971,516</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(252,838)</w:t>
            </w: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3,718,678</w:t>
            </w:r>
          </w:p>
        </w:tc>
      </w:tr>
      <w:tr>
        <w:trPr>
          <w:trHeight w:val="216"/>
        </w:trPr>
        <w:tc>
          <w:tcPr>
            <w:tcW w:w="5800" w:type="dxa"/>
            <w:vAlign w:val="bottom"/>
            <w:shd w:val="clear" w:color="auto" w:fill="CCEEFF"/>
          </w:tcPr>
          <w:p>
            <w:pPr>
              <w:jc w:val="right"/>
              <w:ind w:right="5350"/>
              <w:spacing w:after="0"/>
              <w:rPr>
                <w:sz w:val="20"/>
                <w:szCs w:val="20"/>
                <w:color w:val="auto"/>
              </w:rPr>
            </w:pPr>
            <w:r>
              <w:rPr>
                <w:rFonts w:ascii="Times New Roman" w:cs="Times New Roman" w:eastAsia="Times New Roman" w:hAnsi="Times New Roman"/>
                <w:sz w:val="18"/>
                <w:szCs w:val="18"/>
                <w:color w:val="auto"/>
                <w:w w:val="94"/>
              </w:rPr>
              <w:t>2024</w:t>
            </w: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3,718,678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3,917,253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Withholding income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accrued RMB2.1 billion, RMB1.5 billion and RMB1.6 billion (US$215.9 million) withholding tax liabilities mainly associated with all of its earnings expected to be distributed from its PRC subsidiaries to overseas for general corporate purposes in 2022, 2023 and 2024, respectively. The Group have repatriated a portion of these earnings and paid related withholding income tax in 2022, 2023 and 2024. As of December 31, 2023 and 2024, deferred tax liabilities were fully provided related to undistributed earnings of the Group’s PRC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Taxes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taxes payable as of December 31, 2023 and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423,773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Withholding individual income taxes for employees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383,291</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EIT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1,790,393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1,740,126</w:t>
            </w: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211,995</w:t>
            </w:r>
          </w:p>
        </w:tc>
      </w:tr>
      <w:tr>
        <w:trPr>
          <w:trHeight w:val="209"/>
        </w:trPr>
        <w:tc>
          <w:tcPr>
            <w:tcW w:w="7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2,571,534</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2,759,185</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Short-term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2024, the short-term loans balances represent short-term loan arrangements with financial institutions which were repayable within a maturity term ranging from one week to one year and charged at a fixed interest rates ranging 0.80% and 5.85% per annum. As of December 31, 2023 and 2024, the weighted average interest rate for the outstanding short-term loans was approximately 3.79% and 3.37%, respectively. The short-term loans are mainly denominated in RMB and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entered into several uncommitted loan credit facility agreements provided by certain financial institutions. As of December 31, 2024, US$4.6 billion of such credit facilities has not been utilized.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also entered into several guarantee agreements in the aggregate amount of US$2.7 billion in respect of certain credit facilities taken by the Company and its subsidiaries. As at December 31, 2024, US$1.5 billion of such credit facilities had not been utilized.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represents sales proceeds from prepaid points sold, unamortized in-game spending, prepaid products fees before delivery and prepaid subscription fees for internet value-added services for which services are yet to be provided as of the balance sheet dates.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additions to the contract liabilities balance were primarily due to cash payments received or due in advance of satisfying the Group’s performance obligations, while the reductions to the contract liabilities balance were primarily due to the recognition of revenues upon fulfillment of the Group’s performance obligations, both of which were in the ordinary course of business. During the years ended December 31, 2023 and 2024, RMB12.0 billion and RMB13.2 billion of revenues recognized were included in the contract liabilities balance at the beginning of the year,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transaction price allocated to the unsatisfied performance obligations is RMB16.0 billion, which was recorded under contract liabilities and to be recognized as revenues in future periods. The Group expects to recognize RMB15.3 billion as revenues over the next 12 months, and the remaining unsatisfied performance obligations expected to be recognized thereafter were recognized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Accrued Liabilities and Other Payables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accrued liabilities and other payables as of December 31, 2023 and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7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on NetEase Pay accounts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3,268,237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3,884,420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 and promotion materials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3,063,280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3,161,538</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1,432,706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1,976,929</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fixed assets related payables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1,027,401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1,012,438</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revenue sharing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969,903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935,818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technical charges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925,419</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 and other staff related cost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448,926</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417,286</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 and bandwidth service fees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192,942</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 and warehousing charge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58,936</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considerations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refund for licensed games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732,625</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1,183,878</w:t>
            </w:r>
          </w:p>
        </w:tc>
      </w:tr>
      <w:tr>
        <w:trPr>
          <w:trHeight w:val="209"/>
        </w:trPr>
        <w:tc>
          <w:tcPr>
            <w:tcW w:w="76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12,670,906</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14,229,032</w:t>
            </w: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18. Long-term Loans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2021, the Group entered into a five-year term loan facility and revolving loan facility agreement with aggregate commitments of US$1.0 billion. The facility is priced at 85 basis points per annum over LIBOR and has a commitment fee of 0.20% on the undrawn portion. There were nil of borrowings outstanding under the syndicated loan facility with no pledge as of December 31, 2023 and in early 2024, the Group voluntarily canceled this loan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Noncontrolling Interests and Redeemable Noncontrolling Interests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Cloud Music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and 2019, Cloud Music issued preferred shares (“Cloud Music Preferred Shares”) to certain investors.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 Upon completion of the IPO of Cloud Music in December 2021, all Cloud Music Preferred Shares held by external preferred shareholders were automatically re-designated and converted on a one-for-one basis into ordinary shares of Cloud Music.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Youdao</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Youdao issued equity interests with preferential rights (“Youdao Preferred Shares”) to two investors for a total cash consideration of 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Capital Structure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and the VIEs incorporated in China participate in a government-mandated multi-employer defined contribution plan under which certain retirement, medical, housing and other welfare benefits are provided to employees. Chinese labor regulations require the Company’s Chinese subsidiaries and the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2022, 2023 and 2024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900" w:type="dxa"/>
            <w:vAlign w:val="bottom"/>
            <w:tcBorders>
              <w:bottom w:val="single" w:sz="8" w:color="auto"/>
            </w:tcBorders>
            <w:gridSpan w:val="5"/>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240" w:type="dxa"/>
            <w:vAlign w:val="bottom"/>
          </w:tcPr>
          <w:p>
            <w:pPr>
              <w:spacing w:after="0"/>
              <w:rPr>
                <w:sz w:val="12"/>
                <w:szCs w:val="12"/>
                <w:color w:val="auto"/>
              </w:rPr>
            </w:pPr>
          </w:p>
        </w:tc>
        <w:tc>
          <w:tcPr>
            <w:tcW w:w="106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medical and pension schemes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w:t>
            </w: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employee benefits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w:t>
            </w:r>
          </w:p>
        </w:tc>
      </w:tr>
      <w:tr>
        <w:trPr>
          <w:trHeight w:val="209"/>
        </w:trPr>
        <w:tc>
          <w:tcPr>
            <w:tcW w:w="6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3,191.6</w:t>
            </w: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2023 and 2024, total share-based compensation expenses recognized were RMB3.2 billion, RMB3.2 billion and RMB3.9 billion, respectively. The table below presents a summary of the Group’s share-based compensation cost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860" w:type="dxa"/>
            <w:vAlign w:val="bottom"/>
            <w:tcBorders>
              <w:bottom w:val="single" w:sz="8" w:color="auto"/>
            </w:tcBorders>
            <w:gridSpan w:val="5"/>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240" w:type="dxa"/>
            <w:vAlign w:val="bottom"/>
          </w:tcPr>
          <w:p>
            <w:pPr>
              <w:spacing w:after="0"/>
              <w:rPr>
                <w:sz w:val="12"/>
                <w:szCs w:val="12"/>
                <w:color w:val="auto"/>
              </w:rPr>
            </w:pPr>
          </w:p>
        </w:tc>
        <w:tc>
          <w:tcPr>
            <w:tcW w:w="106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1,185,854</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104,534</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1,214,995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1,069,850</w:t>
            </w: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1,080,581</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1,522,701</w:t>
            </w:r>
          </w:p>
        </w:tc>
      </w:tr>
      <w:tr>
        <w:trPr>
          <w:trHeight w:val="210"/>
        </w:trPr>
        <w:tc>
          <w:tcPr>
            <w:tcW w:w="6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3,174,160</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3,242,810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3,882,939</w:t>
            </w: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7460" w:firstLine="8"/>
        <w:spacing w:after="0" w:line="503" w:lineRule="auto"/>
        <w:tabs>
          <w:tab w:leader="none" w:pos="32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Plan 2009 RSU Plan</w:t>
      </w: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2009, the Company adopted 2009 Restricted Share Unit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 The 2009 RSU Plan was expired on November 16,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Share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2019, the Company adopted 2019 Restricted Share Unit Plan for the Company’s employees, directors and others, with a ten-year term and a maximum number of 322,458,300 ordinary shares available for issuance pursuant to all awards under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22, 2023, the Company amended and restated the 2019 Restricted Share Unit Plan to permit to grant stock option awards to the Company’s employees, directors and others, and renamed it as Amended and Restated 2019 Share Incentive Plan (the “2019 Share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share-based compensation cost related to RSUs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unvested awards under the 2019 Share Plan, adjusted for estimated forfeitures, was US$402.1 million (RMB2.9 billion) and is expected to be recognized through the remaining vesting period of each grant. As of December 31, 2024, the weighted average remaining vesting periods was 1.44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 Unit Award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RSUs award activities for the years ended December 31, 2022, 2023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6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4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36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RSUs outstanding as of December 31, 2024 was US$1.0 billion. The intrinsic value was calculated based on the Company’s closing stock price of US$89.21 per ADS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practice is to issue new shares or utilize treasury stock upon vesting of RSUs. The number of shares available for future grant under the Company’s 2019 RSU Plan was 211,437,320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Share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have adopted stock incentive plans, which are stock option plans or RSU plans and allow the related subsidiaries to grant options or RSUs to certain employees of the Group. The options expire in four to seven years from the date of grant and either vest or have a vesting commencement date upon certain conditions being met (“Vesting Commencement Date”). The award can become 100% vested on the Vesting Commencement Date, or vests in two, three, four or five substantially equal annual installments with the first installment vesting on the Vesting Commencement Date. But for certain share options granted with vesting conditions outside the Group’s control, no expenses will be recorded until the occurrence of the vesting conditions when the Group determine that it is probable that the vesting conditions will be satisfied.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used the binomial model to estimate the fair value of the options granted and RSUs are measured at the fair market value of the shares on the grant date. For the years ended December 31, 2022, 2023, and 2024, RMB327.9 million, RMB289.0 million and RMB266.4 million compensation expenses were recorded for the share options and RSUs granted.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RMB18.0 million unrecognized share-based compensation expenses related to share options for which the service condition had been met and are expected to be recognized when the vesting conditions are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Net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years ended December 31, 2022, 2023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08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(RMB in thousands):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continuing operations attributable to the Company’s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19,712,736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attributable to the Company’s</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624,864</w:t>
            </w:r>
          </w:p>
        </w:tc>
        <w:tc>
          <w:tcPr>
            <w:tcW w:w="24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 the Company’s shareholders for basic/dilutive net</w:t>
            </w: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per share calculation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20,337,600</w:t>
            </w:r>
          </w:p>
        </w:tc>
        <w:tc>
          <w:tcPr>
            <w:tcW w:w="2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(No. of shares in thousands):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basic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3,263,455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restricted share units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diluted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3,296,014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3,230,602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from continuing operations attributable to the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shareholders, basic (RMB)</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from discontinued operations attributable to the</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shareholders, basic (RMB)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(RMB)</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2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from continuing operations attributable to the</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shareholders, diluted (RMB)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from discontinued operations attributable to the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shareholders, diluted (RMB)</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20"/>
                <w:szCs w:val="20"/>
                <w:color w:val="auto"/>
              </w:rPr>
            </w:pP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 (RMB)</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2022, 2023 and 2024, RSUs that were anti-dilutive and excluded from the calculation of diluted net income per share totaled approximately 11.3 million shares, 6.3 million shares and 15.3 million shares,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Commitments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future minimum payment for server and bandwidth service fee commitments, capital commitments, royalties and other expenditures commitments related to licensed contents, as well as other commitments related to services purchases,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Server and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Royalties and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Bandwidth</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Expenditure for</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Service Fee</w:t>
            </w: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Licensed Content</w:t>
            </w:r>
          </w:p>
        </w:tc>
        <w:tc>
          <w:tcPr>
            <w:tcW w:w="1040" w:type="dxa"/>
            <w:vAlign w:val="bottom"/>
            <w:gridSpan w:val="2"/>
            <w:vMerge w:val="continue"/>
          </w:tcPr>
          <w:p>
            <w:pPr>
              <w:spacing w:after="0"/>
              <w:rPr>
                <w:sz w:val="12"/>
                <w:szCs w:val="12"/>
                <w:color w:val="auto"/>
              </w:rPr>
            </w:pPr>
          </w:p>
        </w:tc>
        <w:tc>
          <w:tcPr>
            <w:tcW w:w="8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1,664,723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658,105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266,833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 2028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860,827</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632,346</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1,069,955</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217,129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2,780,257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820" w:firstLine="8"/>
        <w:spacing w:after="0" w:line="503" w:lineRule="auto"/>
        <w:tabs>
          <w:tab w:leader="none" w:pos="324"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2023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PUBG Corporation and PUBG Santa Monica, Inc. (now known as Krafton, Inc. and Krafton Americas, Inc., respectively, or “the Krafton Parties”), filed a lawsuit against defendants NetEase, Inc., NetEase Information Technology Corp. and NetEase (Hong Kong) Limited in the U.S. District Court for the Northern District of California. The Krafton Parties subsequently dropped all claims against NetEase (Hong Kong) Limited, and added Hong Kong NetEase Interactive Entertainment Limited to the lawsuit. The Krafton Parties’ complaint generally alleged that two of the Group’s mobile games, Rules of Survival and Knives Out, infringed the Krafton Parties’ copyrights and trade dress in their competing game, Player Unknown’s Battlegrounds. On March 11, 2019, the Group entered into a settlement agreement with the Krafton Parties, and the lawsuit was dismissed. On October 15, 2019, the Krafton Parties filed a second lawsuit against the same NetEase defendants, also in the U.S. District Court for the Northern District of California, claiming the Group had allegedly breached the settlement agreement. On March 3, 2020, the court dismissed the Krafton Parties’ new lawsuit, without prejudice, for lack of subject matter jurisdiction. On March 4, 2020, the Group initiated a declaratory judgment action against the Krafton Parties in the Superior Court of California for the County of San Mateo, requesting a declaration that the Group had not breached the settlement agreement. On March 13, 2020, the Krafton Parties filed a cross claim, realleging that the Group breached the settlement agreement. In May 2023, the court held a bench trail and subsequently found that the Group had breached such settlement agreement and awarded the Krafton Parties US$6 million in liquidated damages but denied a request for injunctive relief by the Krafton Parties. After the court issued its final statement of decision, the parties settled the matter to avoid further litigation. There was no material impact on the Group’s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current dividend policy, 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There is no significant dividend payable as of December 31, 2023 and 2024, respectively. The cash dividend declared related to the net profits of fiscal year 2023 and fiscal year 2024 was RMB11.7 billion and RMB11.8 billion (US$1.6 billion) in total,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Share Repurchase Programs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 In August 2021, the Company announced that its board of directors had approved an amendment to such program to increase the total authorized repurchase amount to US$3.0 billion. As of January 9, 2023, this share repurchase program was completed with the Company having purchased an aggregate of approximately 33.6 million ADSs for nearly US$3.0 billion.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2022, the Company announced that its board of directors had approved a new share repurchase program of up to US$5.0 billion of the Company’s ADSs and ordinary shares in open market transactions. This new share repurchase program commenced on January 10, 2023 and will be in effect for a period not to exceed 36 months from such date. As of December 31, 2024, the Company has repurchased approximately 21.2 million ADSs for approximately US$1.9 billion under this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December 31, 2024, approximately 2.7 million ADSs had been purchased under this program for a total cost of US$22.0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had no material transactions with related parties for the years ended December 31, 2022, 2023 and 2024, and no material related parties’ balances as of December 31, 2023 and 2024.</w:t>
      </w:r>
    </w:p>
    <w:p>
      <w:pPr>
        <w:spacing w:after="0" w:line="158"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Description of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 the second quarter of 2022, the Company renamed its “online game services” segment as “games and related value-added services,” and transferred certain business lines that are related or ancillary to its games from “innovative businesses and others” to “games and related value-added services”. As a result, the Group now reports segments as games and related value-added services, Youdao, NetEase Cloud Music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recast prior years’ segment information, to conform to current year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Segment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 summary of the Group’s operating segment results under which the cost of revenues is considered as the significant segment expense for the years ended December 31, 2022, 2023 and 2024 (in thousands).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2022, 2023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74,566,471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8,992,221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7,923,935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2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96,495,809</w:t>
            </w:r>
          </w:p>
        </w:tc>
        <w:tc>
          <w:tcPr>
            <w:tcW w:w="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(27,784,419)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(25,938,865)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3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(2,430,738)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(2,621,746)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(7,699,103)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(5,764,322)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(5,815,423)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(6,079,832)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(43,729,683)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(40,404,765)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46,782,052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55,626,584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2,582,444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1,293,118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2,566,678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52,766,126</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F-45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 forth the disaggregation of net revenues by timing of revenue recognition for the years ended December 31, 2022, 2023 and 2024 (in thousands):</w:t>
      </w:r>
    </w:p>
    <w:p>
      <w:pPr>
        <w:spacing w:after="0" w:line="16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7620</wp:posOffset>
            </wp:positionV>
            <wp:extent cx="2108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6920"/>
        <w:spacing w:after="0"/>
        <w:tabs>
          <w:tab w:leader="none" w:pos="8040" w:val="left"/>
          <w:tab w:leader="none" w:pos="92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-3175</wp:posOffset>
            </wp:positionV>
            <wp:extent cx="2108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6880"/>
        <w:spacing w:after="0"/>
        <w:tabs>
          <w:tab w:leader="none" w:pos="8000" w:val="left"/>
          <w:tab w:leader="none" w:pos="922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3"/>
          <w:szCs w:val="13"/>
          <w:b w:val="1"/>
          <w:bCs w:val="1"/>
          <w:color w:val="auto"/>
        </w:rPr>
        <w:t>RMB</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point in time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23,322,675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27,140,994</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24,144,017</w:t>
            </w: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73,173,134</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76,327,165</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81,151,219</w:t>
            </w: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96,495,809</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105,295,236</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depreciation and amortization expenses of property, equipment and software recorded under cost of revenues by segment for the years ended December 31, 2022, 2023 and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660" w:type="dxa"/>
            <w:vAlign w:val="bottom"/>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660" w:type="dxa"/>
            <w:vAlign w:val="bottom"/>
          </w:tcPr>
          <w:p>
            <w:pPr>
              <w:spacing w:after="0"/>
              <w:rPr>
                <w:sz w:val="12"/>
                <w:szCs w:val="12"/>
                <w:color w:val="auto"/>
              </w:rPr>
            </w:pPr>
          </w:p>
        </w:tc>
        <w:tc>
          <w:tcPr>
            <w:tcW w:w="9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246,422</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47,084</w:t>
            </w:r>
          </w:p>
        </w:tc>
      </w:tr>
      <w:tr>
        <w:trPr>
          <w:trHeight w:val="21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expenses of property and equipment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486,647</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305,652</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12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5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3,107,266</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3,107,266</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4,436,057</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4,436,057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accounted for at fair values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490,781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8,034,104</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3,107,266</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4,436,057</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40" w:type="dxa"/>
            <w:vAlign w:val="bottom"/>
          </w:tcPr>
          <w:p>
            <w:pPr>
              <w:spacing w:after="0"/>
              <w:rPr>
                <w:sz w:val="24"/>
                <w:szCs w:val="24"/>
                <w:color w:val="auto"/>
              </w:rPr>
            </w:pP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F-46</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12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accounted for at fair values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13,373,498</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2023 and 2024, certain equity investments without determinable fair value (Note 11) were measured using significant unobservable inputs (Level 3) and written down from their respective carrying value to fair value, with impairment charges of RMB274.2 million and RMB1.0 billion incurred and recorded in earnings for the years then 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Restricted Net Assets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Relevant PRC laws and regulations permit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the VIEs are restricted in their ability to transfer a portion of their net assets to the Company either in the form of dividends, loans or advances, which restricted portion amounted to approximately RMB14.2 billion, or 10.0% of the Company’s total consolidated net assets, as of December 31, 2024.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COOPERATION AGREEMENT</w:t>
      </w:r>
    </w:p>
    <w:p>
      <w:pPr>
        <w:sectPr>
          <w:pgSz w:w="11900" w:h="16838" w:orient="portrait"/>
          <w:cols w:equalWidth="0" w:num="1">
            <w:col w:w="9920"/>
          </w:cols>
          <w:pgMar w:left="980" w:top="333" w:right="99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Cooperation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between the following parties:</w:t>
      </w:r>
    </w:p>
    <w:p>
      <w:pPr>
        <w:spacing w:after="0" w:line="207" w:lineRule="exact"/>
        <w:rPr>
          <w:sz w:val="20"/>
          <w:szCs w:val="20"/>
          <w:color w:val="auto"/>
        </w:rPr>
      </w:pPr>
    </w:p>
    <w:p>
      <w:pPr>
        <w:sectPr>
          <w:pgSz w:w="11900" w:h="16838" w:orient="portrait"/>
          <w:cols w:equalWidth="0" w:num="2">
            <w:col w:w="5280" w:space="360"/>
            <w:col w:w="4280"/>
          </w:cols>
          <w:pgMar w:left="980" w:top="333"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[VIE]</w:t>
      </w:r>
    </w:p>
    <w:p>
      <w:pPr>
        <w:sectPr>
          <w:pgSz w:w="11900" w:h="16838" w:orient="portrait"/>
          <w:cols w:equalWidth="0" w:num="1">
            <w:col w:w="9920"/>
          </w:cols>
          <w:pgMar w:left="980" w:top="333" w:right="9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560" w:space="320"/>
            <w:col w:w="8040"/>
          </w:cols>
          <w:pgMar w:left="980" w:top="333" w:right="9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[WFOE]</w:t>
      </w:r>
    </w:p>
    <w:p>
      <w:pPr>
        <w:sectPr>
          <w:pgSz w:w="11900" w:h="16838" w:orient="portrait"/>
          <w:cols w:equalWidth="0" w:num="1">
            <w:col w:w="9920"/>
          </w:cols>
          <w:pgMar w:left="980" w:top="333" w:right="9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560" w:space="320"/>
            <w:col w:w="8040"/>
          </w:cols>
          <w:pgMar w:left="980" w:top="333" w:right="9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Party A and Party B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Party A is a company incorporated in [</w:t>
            </w: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under the laws of the PRC, mainly engaging in [</w:t>
            </w: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and has obtained the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20" w:type="dxa"/>
            <w:vAlign w:val="bottom"/>
          </w:tcPr>
          <w:p>
            <w:pPr>
              <w:spacing w:after="0"/>
              <w:rPr>
                <w:sz w:val="20"/>
                <w:szCs w:val="20"/>
                <w:color w:val="auto"/>
              </w:rPr>
            </w:pPr>
          </w:p>
        </w:tc>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license according to the applicable laws (the “</w:t>
            </w:r>
            <w:r>
              <w:rPr>
                <w:rFonts w:ascii="Times New Roman" w:cs="Times New Roman" w:eastAsia="Times New Roman" w:hAnsi="Times New Roman"/>
                <w:sz w:val="18"/>
                <w:szCs w:val="18"/>
                <w:b w:val="1"/>
                <w:bCs w:val="1"/>
                <w:color w:val="auto"/>
              </w:rPr>
              <w:t>Special License</w:t>
            </w: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Party B is a company incorporated in [</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under the laws of the PRC, mainly engaging in [</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Party A and Party B shall collaborate and operate together to provide services and products such as [</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to clients.</w:t>
            </w:r>
          </w:p>
        </w:tc>
        <w:tc>
          <w:tcPr>
            <w:tcW w:w="2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upon amicable negotiation, the Parties hereby agree as follows:</w:t>
      </w:r>
    </w:p>
    <w:p>
      <w:pPr>
        <w:spacing w:after="0" w:line="225"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Cooperation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Party A and Party B, leveraging their respective technologies and marketing resources, shall capitalize on their business strengths to jointly collaborate and operate, providing services and products such as [ ] to clients. The specific details of the cooperation are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 Scope of Cooperation Provided by Party 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 A shall, within the scope of the Special Licenses issued for its business needs, lawfully provide clients with services and</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products such as [ ] or provide such services and products on behalf of Party B, as authorized by Party B, and shall obtain the resulting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type w:val="continuous"/>
        </w:sectPr>
      </w:pPr>
    </w:p>
    <w:bookmarkStart w:id="243" w:name="page244"/>
    <w:bookmarkEnd w:id="243"/>
    <w:p>
      <w:pPr>
        <w:ind w:left="332"/>
        <w:spacing w:after="0"/>
        <w:rPr>
          <w:sz w:val="20"/>
          <w:szCs w:val="20"/>
          <w:color w:val="auto"/>
        </w:rPr>
      </w:pPr>
      <w:r>
        <w:rPr>
          <w:rFonts w:ascii="Times New Roman" w:cs="Times New Roman" w:eastAsia="Times New Roman" w:hAnsi="Times New Roman"/>
          <w:sz w:val="18"/>
          <w:szCs w:val="18"/>
          <w:color w:val="auto"/>
        </w:rPr>
        <w:t>1.2 Scope of Cooperation Provided by Party B</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B shall cooperate with Party A, and provide the following services to Party A (and ultimately to clients) as determined by</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B within the business scope of Party A, according to this Agreement, including but not limited to:</w:t>
      </w:r>
    </w:p>
    <w:p>
      <w:pPr>
        <w:spacing w:after="0" w:line="207"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1.2.1.1</w:t>
            </w:r>
          </w:p>
        </w:tc>
        <w:tc>
          <w:tcPr>
            <w:tcW w:w="85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Be responsible for the research and development of various application software and systems related to services</w:t>
            </w:r>
          </w:p>
        </w:tc>
      </w:tr>
      <w:tr>
        <w:trPr>
          <w:trHeight w:val="216"/>
        </w:trPr>
        <w:tc>
          <w:tcPr>
            <w:tcW w:w="72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 products such as [</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and authorize Party A to operate the aforementioned software/systems developed by</w:t>
            </w:r>
          </w:p>
        </w:tc>
      </w:tr>
      <w:tr>
        <w:trPr>
          <w:trHeight w:val="234"/>
        </w:trPr>
        <w:tc>
          <w:tcPr>
            <w:tcW w:w="720" w:type="dxa"/>
            <w:vAlign w:val="bottom"/>
          </w:tcPr>
          <w:p>
            <w:pPr>
              <w:spacing w:after="0"/>
              <w:rPr>
                <w:sz w:val="20"/>
                <w:szCs w:val="20"/>
                <w:color w:val="auto"/>
              </w:rPr>
            </w:pPr>
          </w:p>
        </w:tc>
        <w:tc>
          <w:tcPr>
            <w:tcW w:w="7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Party B to provide services to clients;</w:t>
            </w:r>
          </w:p>
        </w:tc>
        <w:tc>
          <w:tcPr>
            <w:tcW w:w="1300" w:type="dxa"/>
            <w:vAlign w:val="bottom"/>
          </w:tcPr>
          <w:p>
            <w:pPr>
              <w:spacing w:after="0"/>
              <w:rPr>
                <w:sz w:val="20"/>
                <w:szCs w:val="20"/>
                <w:color w:val="auto"/>
              </w:rPr>
            </w:pPr>
          </w:p>
        </w:tc>
      </w:tr>
      <w:tr>
        <w:trPr>
          <w:trHeight w:val="414"/>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1.2.1.2</w:t>
            </w:r>
          </w:p>
        </w:tc>
        <w:tc>
          <w:tcPr>
            <w:tcW w:w="7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Provide technical support and maintenance services related to services and products such as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including but</w:t>
            </w:r>
          </w:p>
        </w:tc>
      </w:tr>
      <w:tr>
        <w:trPr>
          <w:trHeight w:val="234"/>
        </w:trPr>
        <w:tc>
          <w:tcPr>
            <w:tcW w:w="720" w:type="dxa"/>
            <w:vAlign w:val="bottom"/>
          </w:tcPr>
          <w:p>
            <w:pPr>
              <w:spacing w:after="0"/>
              <w:rPr>
                <w:sz w:val="20"/>
                <w:szCs w:val="20"/>
                <w:color w:val="auto"/>
              </w:rPr>
            </w:pPr>
          </w:p>
        </w:tc>
        <w:tc>
          <w:tcPr>
            <w:tcW w:w="7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not limited to server maintenance, software/system updates, and upgrades; and</w:t>
            </w:r>
          </w:p>
        </w:tc>
        <w:tc>
          <w:tcPr>
            <w:tcW w:w="1300" w:type="dxa"/>
            <w:vAlign w:val="bottom"/>
          </w:tcPr>
          <w:p>
            <w:pPr>
              <w:spacing w:after="0"/>
              <w:rPr>
                <w:sz w:val="20"/>
                <w:szCs w:val="20"/>
                <w:color w:val="auto"/>
              </w:rPr>
            </w:pPr>
          </w:p>
        </w:tc>
      </w:tr>
      <w:tr>
        <w:trPr>
          <w:trHeight w:val="414"/>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1.2.1.3</w:t>
            </w:r>
          </w:p>
        </w:tc>
        <w:tc>
          <w:tcPr>
            <w:tcW w:w="85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Provide technical research and development, as well as related technical assistance and support for services and</w:t>
            </w:r>
          </w:p>
        </w:tc>
      </w:tr>
      <w:tr>
        <w:trPr>
          <w:trHeight w:val="234"/>
        </w:trPr>
        <w:tc>
          <w:tcPr>
            <w:tcW w:w="720" w:type="dxa"/>
            <w:vAlign w:val="bottom"/>
          </w:tcPr>
          <w:p>
            <w:pPr>
              <w:spacing w:after="0"/>
              <w:rPr>
                <w:sz w:val="20"/>
                <w:szCs w:val="20"/>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 such as [</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94" w:lineRule="exact"/>
        <w:rPr>
          <w:sz w:val="20"/>
          <w:szCs w:val="20"/>
          <w:color w:val="auto"/>
        </w:rPr>
      </w:pPr>
    </w:p>
    <w:p>
      <w:pPr>
        <w:ind w:left="332" w:hanging="332"/>
        <w:spacing w:after="0"/>
        <w:tabs>
          <w:tab w:leader="none" w:pos="33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Joint Service</w:t>
      </w:r>
    </w:p>
    <w:p>
      <w:pPr>
        <w:spacing w:after="0" w:line="229" w:lineRule="exact"/>
        <w:rPr>
          <w:rFonts w:ascii="Times New Roman" w:cs="Times New Roman" w:eastAsia="Times New Roman" w:hAnsi="Times New Roman"/>
          <w:sz w:val="18"/>
          <w:szCs w:val="18"/>
          <w:b w:val="1"/>
          <w:bCs w:val="1"/>
          <w:color w:val="auto"/>
        </w:rPr>
      </w:pPr>
    </w:p>
    <w:p>
      <w:pPr>
        <w:ind w:left="652" w:hanging="3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 Besides the services stipulated in Article 1, Party B shall also utilize its own resources to promote and advertise the services provided to clients under this Agreement, and shall bear the relevant promotional and production expenses incurred thereby. Meanwhile, Party B shall pay the costs for the services rendered pursuant to this Agreement, including, without limitation, the remuneration for R&amp;D personnel, expense for equipment, and etc.</w:t>
      </w:r>
    </w:p>
    <w:p>
      <w:pPr>
        <w:spacing w:after="0" w:line="179" w:lineRule="exact"/>
        <w:rPr>
          <w:rFonts w:ascii="Times New Roman" w:cs="Times New Roman" w:eastAsia="Times New Roman" w:hAnsi="Times New Roman"/>
          <w:sz w:val="18"/>
          <w:szCs w:val="18"/>
          <w:b w:val="1"/>
          <w:bCs w:val="1"/>
          <w:color w:val="auto"/>
        </w:rPr>
      </w:pPr>
    </w:p>
    <w:p>
      <w:pPr>
        <w:ind w:left="652" w:hanging="3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 Party A and Party B agree that business activities requiring the Special Licenses held by Party A shall be directly conducted by Party A, which will receive the related revenue and then pay Party B the technical service fee as calculated according to this Agreement. For other services and products, Party B may uniformly collect the revenue from clients and then pay Party A the platform service fee as calculated according to this Agreement.</w:t>
      </w:r>
    </w:p>
    <w:p>
      <w:pPr>
        <w:spacing w:after="0" w:line="179" w:lineRule="exact"/>
        <w:rPr>
          <w:rFonts w:ascii="Times New Roman" w:cs="Times New Roman" w:eastAsia="Times New Roman" w:hAnsi="Times New Roman"/>
          <w:sz w:val="18"/>
          <w:szCs w:val="18"/>
          <w:b w:val="1"/>
          <w:bCs w:val="1"/>
          <w:color w:val="auto"/>
        </w:rPr>
      </w:pPr>
    </w:p>
    <w:p>
      <w:pPr>
        <w:ind w:left="652" w:hanging="32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 Party A and Party B shall collaborate sincerely and indispensably, while the absence of either Party will result in the failure to achieve the cooperation content and related services and products under this Agreement. Party A agrees to designates Party B as the exclusive partner for the cooperation content of this Agreement. Without Party B’s written consent, Party A shall not enter into the same or similar cooperation agreement with any third party regarding the cooperation content of this Agreement. If Party B gives written consent, Party A may cooperate with Party B’s affiliated companies to jointly provide services to clients of the related services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4" w:name="page245"/>
    <w:bookmarkEnd w:id="244"/>
    <w:p>
      <w:pPr>
        <w:jc w:val="both"/>
        <w:ind w:left="652" w:hanging="323"/>
        <w:spacing w:after="0" w:line="261" w:lineRule="auto"/>
        <w:rPr>
          <w:sz w:val="20"/>
          <w:szCs w:val="20"/>
          <w:color w:val="auto"/>
        </w:rPr>
      </w:pPr>
      <w:r>
        <w:rPr>
          <w:rFonts w:ascii="Times New Roman" w:cs="Times New Roman" w:eastAsia="Times New Roman" w:hAnsi="Times New Roman"/>
          <w:sz w:val="18"/>
          <w:szCs w:val="18"/>
          <w:color w:val="auto"/>
        </w:rPr>
        <w:t>2.4 Both Parties further confirm that Party A, Party B, and Party B’s affiliated companies may separately sign project cooperation agreements or similar documents regarding the specific operation model, revenue sharing, and other matters related to the cooperation content of this Agreement, to further clarify the rights and obligations of both Parties in specific cooperation matters, which shall serve as the basis for execution.</w:t>
      </w:r>
    </w:p>
    <w:p>
      <w:pPr>
        <w:spacing w:after="0" w:line="176" w:lineRule="exact"/>
        <w:rPr>
          <w:sz w:val="20"/>
          <w:szCs w:val="20"/>
          <w:color w:val="auto"/>
        </w:rPr>
      </w:pPr>
    </w:p>
    <w:p>
      <w:pPr>
        <w:ind w:left="332" w:hanging="332"/>
        <w:spacing w:after="0"/>
        <w:tabs>
          <w:tab w:leader="none" w:pos="33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 Settlement</w:t>
      </w:r>
    </w:p>
    <w:p>
      <w:pPr>
        <w:spacing w:after="0" w:line="229" w:lineRule="exact"/>
        <w:rPr>
          <w:sz w:val="20"/>
          <w:szCs w:val="20"/>
          <w:color w:val="auto"/>
        </w:rPr>
      </w:pPr>
    </w:p>
    <w:p>
      <w:pPr>
        <w:jc w:val="both"/>
        <w:ind w:left="372"/>
        <w:spacing w:after="0" w:line="266" w:lineRule="auto"/>
        <w:rPr>
          <w:sz w:val="20"/>
          <w:szCs w:val="20"/>
          <w:color w:val="auto"/>
        </w:rPr>
      </w:pPr>
      <w:r>
        <w:rPr>
          <w:rFonts w:ascii="Times New Roman" w:cs="Times New Roman" w:eastAsia="Times New Roman" w:hAnsi="Times New Roman"/>
          <w:sz w:val="18"/>
          <w:szCs w:val="18"/>
          <w:color w:val="auto"/>
        </w:rPr>
        <w:t>Through friendly consultation, Party A and Party B agree to calculate and settle the service fee in the form of sharing of revenue generated from the cooperation content under this Agreement based on the following principles or with other calculation method agreed by the Parties:</w:t>
      </w:r>
    </w:p>
    <w:p>
      <w:pPr>
        <w:spacing w:after="0" w:line="176" w:lineRule="exact"/>
        <w:rPr>
          <w:sz w:val="20"/>
          <w:szCs w:val="20"/>
          <w:color w:val="auto"/>
        </w:rPr>
      </w:pPr>
    </w:p>
    <w:p>
      <w:pPr>
        <w:jc w:val="both"/>
        <w:ind w:left="652" w:hanging="323"/>
        <w:spacing w:after="0" w:line="261" w:lineRule="auto"/>
        <w:rPr>
          <w:sz w:val="20"/>
          <w:szCs w:val="20"/>
          <w:color w:val="auto"/>
        </w:rPr>
      </w:pPr>
      <w:r>
        <w:rPr>
          <w:rFonts w:ascii="Times New Roman" w:cs="Times New Roman" w:eastAsia="Times New Roman" w:hAnsi="Times New Roman"/>
          <w:sz w:val="18"/>
          <w:szCs w:val="18"/>
          <w:color w:val="auto"/>
        </w:rPr>
        <w:t>3.1 The revenue-sharing base between Party A and Party B and Party B’s affiliated companies is calculated as Party A’s total income (excluding tax), minus the expenses incurred by Party A in operating the cooperation content (including taxes and surcharges, excluding the revenue-sharing fee paid to Party B and its affiliated companies, hereinafter referred to as the “</w:t>
      </w:r>
      <w:r>
        <w:rPr>
          <w:rFonts w:ascii="Times New Roman" w:cs="Times New Roman" w:eastAsia="Times New Roman" w:hAnsi="Times New Roman"/>
          <w:sz w:val="18"/>
          <w:szCs w:val="18"/>
          <w:b w:val="1"/>
          <w:bCs w:val="1"/>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and Party A’s retainable profit:</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Revenue-sharing base = Party A’s income (excluding tax) - Party A’s Actual Expenses - Party A’s retainable profit.</w:t>
      </w:r>
    </w:p>
    <w:p>
      <w:pPr>
        <w:spacing w:after="0" w:line="225" w:lineRule="exact"/>
        <w:rPr>
          <w:sz w:val="20"/>
          <w:szCs w:val="20"/>
          <w:color w:val="auto"/>
        </w:rPr>
      </w:pPr>
    </w:p>
    <w:p>
      <w:pPr>
        <w:jc w:val="both"/>
        <w:ind w:left="652" w:hanging="323"/>
        <w:spacing w:after="0" w:line="261" w:lineRule="auto"/>
        <w:rPr>
          <w:sz w:val="20"/>
          <w:szCs w:val="20"/>
          <w:color w:val="auto"/>
        </w:rPr>
      </w:pPr>
      <w:r>
        <w:rPr>
          <w:rFonts w:ascii="Times New Roman" w:cs="Times New Roman" w:eastAsia="Times New Roman" w:hAnsi="Times New Roman"/>
          <w:sz w:val="18"/>
          <w:szCs w:val="18"/>
          <w:color w:val="auto"/>
        </w:rPr>
        <w:t>3.2 When determining the specific service fees by Party B, the following factors may be considered: (a) the number and qualifications of the professional personnel involved in the services provided by Party B to Party A during such invoice cycle;</w:t>
      </w:r>
    </w:p>
    <w:p>
      <w:pPr>
        <w:jc w:val="both"/>
        <w:ind w:left="652" w:hanging="4"/>
        <w:spacing w:after="0" w:line="253" w:lineRule="auto"/>
        <w:tabs>
          <w:tab w:leader="none" w:pos="92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efforts spent by Party B’ professional personnel in providing services during such invoice cycle; (c) the specific contents and commercial value of the services provided by Party B during such invoice cycle; (d) the difficulty in technologies provided by Party B and the complexity of technological consulting and other services provided by Party B; and (e) market price of the services of the same type.</w:t>
      </w:r>
    </w:p>
    <w:p>
      <w:pPr>
        <w:spacing w:after="0" w:line="189" w:lineRule="exact"/>
        <w:rPr>
          <w:sz w:val="20"/>
          <w:szCs w:val="20"/>
          <w:color w:val="auto"/>
        </w:rPr>
      </w:pPr>
    </w:p>
    <w:p>
      <w:pPr>
        <w:jc w:val="both"/>
        <w:ind w:left="652" w:hanging="323"/>
        <w:spacing w:after="0" w:line="266" w:lineRule="auto"/>
        <w:rPr>
          <w:sz w:val="20"/>
          <w:szCs w:val="20"/>
          <w:color w:val="auto"/>
        </w:rPr>
      </w:pPr>
      <w:r>
        <w:rPr>
          <w:rFonts w:ascii="Times New Roman" w:cs="Times New Roman" w:eastAsia="Times New Roman" w:hAnsi="Times New Roman"/>
          <w:sz w:val="18"/>
          <w:szCs w:val="18"/>
          <w:color w:val="auto"/>
        </w:rPr>
        <w:t>3.3 The specific revenue-sharing ratio, service fee calculation, payment method, settlement amount, and cycle, Party A’s retainable profit, and Party B’s payable expenses (when Party A’s income is insufficient) will be confirmed through service settlement statements. Both Parties should confirm the service settlement statements in writing, such as by email.</w:t>
      </w:r>
    </w:p>
    <w:p>
      <w:pPr>
        <w:spacing w:after="0" w:line="176" w:lineRule="exact"/>
        <w:rPr>
          <w:sz w:val="20"/>
          <w:szCs w:val="20"/>
          <w:color w:val="auto"/>
        </w:rPr>
      </w:pPr>
    </w:p>
    <w:p>
      <w:pPr>
        <w:jc w:val="both"/>
        <w:ind w:left="652" w:hanging="323"/>
        <w:spacing w:after="0" w:line="282" w:lineRule="auto"/>
        <w:rPr>
          <w:sz w:val="20"/>
          <w:szCs w:val="20"/>
          <w:color w:val="auto"/>
        </w:rPr>
      </w:pPr>
      <w:r>
        <w:rPr>
          <w:rFonts w:ascii="Times New Roman" w:cs="Times New Roman" w:eastAsia="Times New Roman" w:hAnsi="Times New Roman"/>
          <w:sz w:val="18"/>
          <w:szCs w:val="18"/>
          <w:color w:val="auto"/>
        </w:rPr>
        <w:t>3.4 After each service settlement statement is confirmed by both Parties, the Party responsible for payment should promptly pay the other Party’s due income for the current period in full by bank transfer to the designated bank account. The</w:t>
      </w: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5" w:name="page246"/>
    <w:bookmarkEnd w:id="245"/>
    <w:p>
      <w:pPr>
        <w:ind w:left="652"/>
        <w:spacing w:after="0"/>
        <w:rPr>
          <w:sz w:val="20"/>
          <w:szCs w:val="20"/>
          <w:color w:val="auto"/>
        </w:rPr>
      </w:pPr>
      <w:r>
        <w:rPr>
          <w:rFonts w:ascii="Times New Roman" w:cs="Times New Roman" w:eastAsia="Times New Roman" w:hAnsi="Times New Roman"/>
          <w:sz w:val="18"/>
          <w:szCs w:val="18"/>
          <w:color w:val="auto"/>
        </w:rPr>
        <w:t>receiving Party should promptly issue a corresponding, legitimate, and valid VAT invoice to the paying Party.</w:t>
      </w:r>
    </w:p>
    <w:p>
      <w:pPr>
        <w:spacing w:after="0" w:line="221" w:lineRule="exact"/>
        <w:rPr>
          <w:sz w:val="20"/>
          <w:szCs w:val="20"/>
          <w:color w:val="auto"/>
        </w:rPr>
      </w:pPr>
    </w:p>
    <w:p>
      <w:pPr>
        <w:ind w:left="332" w:hanging="332"/>
        <w:spacing w:after="0"/>
        <w:tabs>
          <w:tab w:leader="none" w:pos="33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and Confidential Provisions</w:t>
      </w:r>
    </w:p>
    <w:p>
      <w:pPr>
        <w:spacing w:after="0" w:line="229" w:lineRule="exact"/>
        <w:rPr>
          <w:rFonts w:ascii="Times New Roman" w:cs="Times New Roman" w:eastAsia="Times New Roman" w:hAnsi="Times New Roman"/>
          <w:sz w:val="18"/>
          <w:szCs w:val="18"/>
          <w:b w:val="1"/>
          <w:bCs w:val="1"/>
          <w:color w:val="auto"/>
        </w:rPr>
      </w:pPr>
    </w:p>
    <w:p>
      <w:pPr>
        <w:ind w:left="652" w:hanging="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Party B shall have sole and exclusive rights for any rights, ownership, interest, including, without limitation, any copyright, patent, proprietary rights, trade secrets, etc., over any and all intellectual property arising from the performance of this Agreement.</w:t>
      </w:r>
    </w:p>
    <w:p>
      <w:pPr>
        <w:spacing w:after="0" w:line="175" w:lineRule="exact"/>
        <w:rPr>
          <w:rFonts w:ascii="Times New Roman" w:cs="Times New Roman" w:eastAsia="Times New Roman" w:hAnsi="Times New Roman"/>
          <w:sz w:val="18"/>
          <w:szCs w:val="18"/>
          <w:b w:val="1"/>
          <w:bCs w:val="1"/>
          <w:color w:val="auto"/>
        </w:rPr>
      </w:pPr>
    </w:p>
    <w:p>
      <w:pPr>
        <w:ind w:left="652" w:hanging="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 With the written consent of the right owner, Party A may accept the transfer of any rights, ownership, interests of all and any intellectual property arising from Party B’s performance of this Agreement, with the transfer method to be otherwise determined between both Parties.</w:t>
      </w:r>
    </w:p>
    <w:p>
      <w:pPr>
        <w:spacing w:after="0" w:line="175" w:lineRule="exact"/>
        <w:rPr>
          <w:rFonts w:ascii="Times New Roman" w:cs="Times New Roman" w:eastAsia="Times New Roman" w:hAnsi="Times New Roman"/>
          <w:sz w:val="18"/>
          <w:szCs w:val="18"/>
          <w:b w:val="1"/>
          <w:bCs w:val="1"/>
          <w:color w:val="auto"/>
        </w:rPr>
      </w:pPr>
    </w:p>
    <w:p>
      <w:pPr>
        <w:ind w:left="652" w:hanging="32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 To fulfill this Agreement, Party A and Party B agree that the Parties may execute intellectual property license agreements during the term of this Agreement, which shall permit Party A to use Party B’s relevant intellectual property rights [for free] within Party A’s business requirements, or Party B agrees to transfer part of Party B’s intellectual property rights to Party A or register such intellectual property rights in Party A’s name if necessary. However, Party A shall transfer the foregoing intellectual property rights registered under Party A to Party B at no consideration or at the lowest price permitted by law upon Party B’s request. Party A shall execute all appropriate documents, take all appropriate actions, submit all filings and/or applications, render all appropriate assistance and otherwise conduct whatever is necessary as deemed by Party B at its sole discretion for the purposes of vesting any ownership, right or interest of any such intellectual property rights in Party B, and/or perfecting the protections for any such intellectual property rights in Party B. Party B is entitled to use any intellectual property registered under Party A for free.</w:t>
      </w:r>
    </w:p>
    <w:p>
      <w:pPr>
        <w:spacing w:after="0" w:line="194" w:lineRule="exact"/>
        <w:rPr>
          <w:rFonts w:ascii="Times New Roman" w:cs="Times New Roman" w:eastAsia="Times New Roman" w:hAnsi="Times New Roman"/>
          <w:sz w:val="18"/>
          <w:szCs w:val="18"/>
          <w:b w:val="1"/>
          <w:bCs w:val="1"/>
          <w:color w:val="auto"/>
        </w:rPr>
      </w:pPr>
    </w:p>
    <w:p>
      <w:pPr>
        <w:jc w:val="right"/>
        <w:ind w:left="652" w:hanging="32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 Both Parties agree to use their best reasonable efforts to protect or keep confidential all information marked with “confidential” or all or part of the information of the other Party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Without the prior written consent of the providing Party, the receiving Party shall not disclose, provide or transfer such Confidential Information to any third party. Upon termination or expiration of this Agreement, the receiving Party shall return any document, material or software containing such Confidential Information to its respective owner as requested by the providing Party, or shall destroy the same on its own, and delete any Confidential Information stored in all of receiving Party’s electronic devices and stop using the same.</w:t>
      </w:r>
    </w:p>
    <w:p>
      <w:pPr>
        <w:spacing w:after="0" w:line="183"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6" w:name="page247"/>
    <w:bookmarkEnd w:id="246"/>
    <w:p>
      <w:pPr>
        <w:ind w:left="332"/>
        <w:spacing w:after="0"/>
        <w:rPr>
          <w:sz w:val="20"/>
          <w:szCs w:val="20"/>
          <w:color w:val="auto"/>
        </w:rPr>
      </w:pPr>
      <w:r>
        <w:rPr>
          <w:rFonts w:ascii="Times New Roman" w:cs="Times New Roman" w:eastAsia="Times New Roman" w:hAnsi="Times New Roman"/>
          <w:sz w:val="18"/>
          <w:szCs w:val="18"/>
          <w:color w:val="auto"/>
        </w:rPr>
        <w:t>5.1 Party A hereby represents and warrants that:</w:t>
      </w:r>
    </w:p>
    <w:p>
      <w:pPr>
        <w:spacing w:after="0" w:line="225" w:lineRule="exact"/>
        <w:rPr>
          <w:sz w:val="20"/>
          <w:szCs w:val="20"/>
          <w:color w:val="auto"/>
        </w:rPr>
      </w:pPr>
    </w:p>
    <w:p>
      <w:pPr>
        <w:ind w:left="652"/>
        <w:spacing w:after="0"/>
        <w:tabs>
          <w:tab w:leader="none" w:pos="1271" w:val="left"/>
          <w:tab w:leader="none" w:pos="6351" w:val="left"/>
        </w:tabs>
        <w:rPr>
          <w:sz w:val="20"/>
          <w:szCs w:val="20"/>
          <w:color w:val="auto"/>
        </w:rPr>
      </w:pPr>
      <w:r>
        <w:rPr>
          <w:rFonts w:ascii="Times New Roman" w:cs="Times New Roman" w:eastAsia="Times New Roman" w:hAnsi="Times New Roman"/>
          <w:sz w:val="18"/>
          <w:szCs w:val="18"/>
          <w:color w:val="auto"/>
        </w:rPr>
        <w:t>5.1.1</w:t>
        <w:tab/>
        <w:t>Party A is a corporation legally registered and validly existing in [</w:t>
      </w:r>
      <w:r>
        <w:rPr>
          <w:sz w:val="20"/>
          <w:szCs w:val="20"/>
          <w:color w:val="auto"/>
        </w:rPr>
        <w:tab/>
      </w:r>
      <w:r>
        <w:rPr>
          <w:rFonts w:ascii="Times New Roman" w:cs="Times New Roman" w:eastAsia="Times New Roman" w:hAnsi="Times New Roman"/>
          <w:sz w:val="17"/>
          <w:szCs w:val="17"/>
          <w:color w:val="auto"/>
        </w:rPr>
        <w:t>] under the laws of PRC.</w:t>
      </w:r>
    </w:p>
    <w:p>
      <w:pPr>
        <w:spacing w:after="0" w:line="225" w:lineRule="exact"/>
        <w:rPr>
          <w:sz w:val="20"/>
          <w:szCs w:val="20"/>
          <w:color w:val="auto"/>
        </w:rPr>
      </w:pPr>
    </w:p>
    <w:p>
      <w:pPr>
        <w:ind w:left="972" w:hanging="323"/>
        <w:spacing w:after="0" w:line="282" w:lineRule="auto"/>
        <w:rPr>
          <w:sz w:val="20"/>
          <w:szCs w:val="20"/>
          <w:color w:val="auto"/>
        </w:rPr>
      </w:pPr>
      <w:r>
        <w:rPr>
          <w:rFonts w:ascii="Times New Roman" w:cs="Times New Roman" w:eastAsia="Times New Roman" w:hAnsi="Times New Roman"/>
          <w:sz w:val="18"/>
          <w:szCs w:val="18"/>
          <w:color w:val="auto"/>
        </w:rPr>
        <w:t>5.1.2</w:t>
      </w:r>
      <w:r>
        <w:rPr>
          <w:sz w:val="20"/>
          <w:szCs w:val="20"/>
          <w:color w:val="auto"/>
        </w:rPr>
        <w:t xml:space="preserve"> </w:t>
      </w:r>
      <w:r>
        <w:rPr>
          <w:rFonts w:ascii="Times New Roman" w:cs="Times New Roman" w:eastAsia="Times New Roman" w:hAnsi="Times New Roman"/>
          <w:sz w:val="18"/>
          <w:szCs w:val="18"/>
          <w:color w:val="auto"/>
        </w:rPr>
        <w:t>Party A has all the rights, powers, authorities and capabilities, and all the consents and approvals necessary for the execution, delivery and performance of this Agreement.</w:t>
      </w:r>
    </w:p>
    <w:p>
      <w:pPr>
        <w:spacing w:after="0" w:line="162" w:lineRule="exact"/>
        <w:rPr>
          <w:sz w:val="20"/>
          <w:szCs w:val="20"/>
          <w:color w:val="auto"/>
        </w:rPr>
      </w:pPr>
    </w:p>
    <w:p>
      <w:pPr>
        <w:ind w:left="972" w:hanging="323"/>
        <w:spacing w:after="0" w:line="282" w:lineRule="auto"/>
        <w:rPr>
          <w:sz w:val="20"/>
          <w:szCs w:val="20"/>
          <w:color w:val="auto"/>
        </w:rPr>
      </w:pPr>
      <w:r>
        <w:rPr>
          <w:rFonts w:ascii="Times New Roman" w:cs="Times New Roman" w:eastAsia="Times New Roman" w:hAnsi="Times New Roman"/>
          <w:sz w:val="18"/>
          <w:szCs w:val="18"/>
          <w:color w:val="auto"/>
        </w:rPr>
        <w:t>5.1.3</w:t>
      </w:r>
      <w:r>
        <w:rPr>
          <w:sz w:val="20"/>
          <w:szCs w:val="20"/>
          <w:color w:val="auto"/>
        </w:rPr>
        <w:t xml:space="preserve"> </w:t>
      </w:r>
      <w:r>
        <w:rPr>
          <w:rFonts w:ascii="Times New Roman" w:cs="Times New Roman" w:eastAsia="Times New Roman" w:hAnsi="Times New Roman"/>
          <w:sz w:val="18"/>
          <w:szCs w:val="18"/>
          <w:color w:val="auto"/>
        </w:rPr>
        <w:t>This Agreement will be legal, effective and binding on Party A upon execution, and may be enforced against Party A according to its provisions.</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5.2 Party B hereby represents and warrants that:</w:t>
      </w:r>
    </w:p>
    <w:p>
      <w:pPr>
        <w:spacing w:after="0" w:line="225" w:lineRule="exact"/>
        <w:rPr>
          <w:sz w:val="20"/>
          <w:szCs w:val="20"/>
          <w:color w:val="auto"/>
        </w:rPr>
      </w:pPr>
    </w:p>
    <w:p>
      <w:pPr>
        <w:ind w:left="652"/>
        <w:spacing w:after="0"/>
        <w:tabs>
          <w:tab w:leader="none" w:pos="1271" w:val="left"/>
          <w:tab w:leader="none" w:pos="6351" w:val="left"/>
        </w:tabs>
        <w:rPr>
          <w:sz w:val="20"/>
          <w:szCs w:val="20"/>
          <w:color w:val="auto"/>
        </w:rPr>
      </w:pPr>
      <w:r>
        <w:rPr>
          <w:rFonts w:ascii="Times New Roman" w:cs="Times New Roman" w:eastAsia="Times New Roman" w:hAnsi="Times New Roman"/>
          <w:sz w:val="18"/>
          <w:szCs w:val="18"/>
          <w:color w:val="auto"/>
        </w:rPr>
        <w:t>5.2.1</w:t>
        <w:tab/>
        <w:t>Party B is a corporation legally registered and validly existing in [</w:t>
      </w:r>
      <w:r>
        <w:rPr>
          <w:sz w:val="20"/>
          <w:szCs w:val="20"/>
          <w:color w:val="auto"/>
        </w:rPr>
        <w:tab/>
      </w:r>
      <w:r>
        <w:rPr>
          <w:rFonts w:ascii="Times New Roman" w:cs="Times New Roman" w:eastAsia="Times New Roman" w:hAnsi="Times New Roman"/>
          <w:sz w:val="17"/>
          <w:szCs w:val="17"/>
          <w:color w:val="auto"/>
        </w:rPr>
        <w:t>] according the laws of PRC.</w:t>
      </w:r>
    </w:p>
    <w:p>
      <w:pPr>
        <w:spacing w:after="0" w:line="225" w:lineRule="exact"/>
        <w:rPr>
          <w:sz w:val="20"/>
          <w:szCs w:val="20"/>
          <w:color w:val="auto"/>
        </w:rPr>
      </w:pPr>
    </w:p>
    <w:p>
      <w:pPr>
        <w:ind w:left="972" w:hanging="323"/>
        <w:spacing w:after="0" w:line="282" w:lineRule="auto"/>
        <w:rPr>
          <w:sz w:val="20"/>
          <w:szCs w:val="20"/>
          <w:color w:val="auto"/>
        </w:rPr>
      </w:pPr>
      <w:r>
        <w:rPr>
          <w:rFonts w:ascii="Times New Roman" w:cs="Times New Roman" w:eastAsia="Times New Roman" w:hAnsi="Times New Roman"/>
          <w:sz w:val="18"/>
          <w:szCs w:val="18"/>
          <w:color w:val="auto"/>
        </w:rPr>
        <w:t>5.2.2</w:t>
      </w:r>
      <w:r>
        <w:rPr>
          <w:sz w:val="20"/>
          <w:szCs w:val="20"/>
          <w:color w:val="auto"/>
        </w:rPr>
        <w:t xml:space="preserve"> </w:t>
      </w:r>
      <w:r>
        <w:rPr>
          <w:rFonts w:ascii="Times New Roman" w:cs="Times New Roman" w:eastAsia="Times New Roman" w:hAnsi="Times New Roman"/>
          <w:sz w:val="18"/>
          <w:szCs w:val="18"/>
          <w:color w:val="auto"/>
        </w:rPr>
        <w:t>Party B has all the rights, powers, authorities and capabilities, and all the consents and approvals necessary for the execution, delivery and performance of this Agreement.</w:t>
      </w:r>
    </w:p>
    <w:p>
      <w:pPr>
        <w:spacing w:after="0" w:line="162" w:lineRule="exact"/>
        <w:rPr>
          <w:sz w:val="20"/>
          <w:szCs w:val="20"/>
          <w:color w:val="auto"/>
        </w:rPr>
      </w:pPr>
    </w:p>
    <w:p>
      <w:pPr>
        <w:ind w:left="972" w:right="20" w:hanging="323"/>
        <w:spacing w:after="0" w:line="282" w:lineRule="auto"/>
        <w:rPr>
          <w:sz w:val="20"/>
          <w:szCs w:val="20"/>
          <w:color w:val="auto"/>
        </w:rPr>
      </w:pPr>
      <w:r>
        <w:rPr>
          <w:rFonts w:ascii="Times New Roman" w:cs="Times New Roman" w:eastAsia="Times New Roman" w:hAnsi="Times New Roman"/>
          <w:sz w:val="18"/>
          <w:szCs w:val="18"/>
          <w:color w:val="auto"/>
        </w:rPr>
        <w:t>5.2.3</w:t>
      </w:r>
      <w:r>
        <w:rPr>
          <w:sz w:val="20"/>
          <w:szCs w:val="20"/>
          <w:color w:val="auto"/>
        </w:rPr>
        <w:t xml:space="preserve"> </w:t>
      </w:r>
      <w:r>
        <w:rPr>
          <w:rFonts w:ascii="Times New Roman" w:cs="Times New Roman" w:eastAsia="Times New Roman" w:hAnsi="Times New Roman"/>
          <w:sz w:val="18"/>
          <w:szCs w:val="18"/>
          <w:color w:val="auto"/>
        </w:rPr>
        <w:t>This Agreement will be legal, effective and binding on Party B upon execution, and may be enforced against Party B according to its provisions.</w:t>
      </w:r>
    </w:p>
    <w:p>
      <w:pPr>
        <w:spacing w:after="0" w:line="158" w:lineRule="exact"/>
        <w:rPr>
          <w:sz w:val="20"/>
          <w:szCs w:val="20"/>
          <w:color w:val="auto"/>
        </w:rPr>
      </w:pPr>
    </w:p>
    <w:p>
      <w:pPr>
        <w:ind w:left="332" w:hanging="332"/>
        <w:spacing w:after="0"/>
        <w:tabs>
          <w:tab w:leader="none" w:pos="33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Effectuation and Term of Cooperation</w:t>
      </w:r>
    </w:p>
    <w:p>
      <w:pPr>
        <w:spacing w:after="0" w:line="229" w:lineRule="exact"/>
        <w:rPr>
          <w:sz w:val="20"/>
          <w:szCs w:val="20"/>
          <w:color w:val="auto"/>
        </w:rPr>
      </w:pPr>
    </w:p>
    <w:p>
      <w:pPr>
        <w:ind w:left="392"/>
        <w:spacing w:after="0" w:line="282" w:lineRule="auto"/>
        <w:rPr>
          <w:sz w:val="20"/>
          <w:szCs w:val="20"/>
          <w:color w:val="auto"/>
        </w:rPr>
      </w:pPr>
      <w:r>
        <w:rPr>
          <w:rFonts w:ascii="Times New Roman" w:cs="Times New Roman" w:eastAsia="Times New Roman" w:hAnsi="Times New Roman"/>
          <w:sz w:val="18"/>
          <w:szCs w:val="18"/>
          <w:color w:val="auto"/>
        </w:rPr>
        <w:t>This Agreement will become effective upon duly sealing or signing. Except for early termination pursuant to the provisions herein, this Agreement shall remain effective.</w:t>
      </w:r>
    </w:p>
    <w:p>
      <w:pPr>
        <w:spacing w:after="0" w:line="158" w:lineRule="exact"/>
        <w:rPr>
          <w:sz w:val="20"/>
          <w:szCs w:val="20"/>
          <w:color w:val="auto"/>
        </w:rPr>
      </w:pPr>
    </w:p>
    <w:p>
      <w:pPr>
        <w:ind w:left="332" w:hanging="332"/>
        <w:spacing w:after="0"/>
        <w:tabs>
          <w:tab w:leader="none" w:pos="332"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652" w:hanging="32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During the validity period of the Agreement, Party B may terminate this Agreement by giving 30 days’ written notice to Party A. Party A shall not terminate this Agreement without Party B’s written consent.</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7.2 Article 4 shall survive the termination or expiration of this Agreement.</w:t>
      </w:r>
    </w:p>
    <w:p>
      <w:pPr>
        <w:spacing w:after="0" w:line="221" w:lineRule="exact"/>
        <w:rPr>
          <w:sz w:val="20"/>
          <w:szCs w:val="20"/>
          <w:color w:val="auto"/>
        </w:rPr>
      </w:pPr>
    </w:p>
    <w:p>
      <w:pPr>
        <w:ind w:left="332" w:hanging="332"/>
        <w:spacing w:after="0"/>
        <w:tabs>
          <w:tab w:leader="none" w:pos="332"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5" w:lineRule="exact"/>
        <w:rPr>
          <w:rFonts w:ascii="Times New Roman" w:cs="Times New Roman" w:eastAsia="Times New Roman" w:hAnsi="Times New Roman"/>
          <w:sz w:val="18"/>
          <w:szCs w:val="18"/>
          <w:b w:val="1"/>
          <w:bCs w:val="1"/>
          <w:color w:val="auto"/>
        </w:rPr>
      </w:pPr>
    </w:p>
    <w:p>
      <w:pPr>
        <w:ind w:left="652" w:hanging="324"/>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refers to any matter that is out of the reasonable control of a Party, which is unavoidable even with reasonable attention of the Party being affected, including, without limitation, acts of governments, acts of nature, fire, explosion, storm, flood, earthquake, tide, thunder or war. However, any shortage of credit, capital or finance shall not be regarded as an event of Force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7" w:name="page248"/>
    <w:bookmarkEnd w:id="247"/>
    <w:p>
      <w:pPr>
        <w:ind w:left="660"/>
        <w:spacing w:after="0" w:line="282" w:lineRule="auto"/>
        <w:rPr>
          <w:sz w:val="20"/>
          <w:szCs w:val="20"/>
          <w:color w:val="auto"/>
        </w:rPr>
      </w:pPr>
      <w:r>
        <w:rPr>
          <w:rFonts w:ascii="Times New Roman" w:cs="Times New Roman" w:eastAsia="Times New Roman" w:hAnsi="Times New Roman"/>
          <w:sz w:val="18"/>
          <w:szCs w:val="18"/>
          <w:color w:val="auto"/>
        </w:rPr>
        <w:t>Majeure. The Party affected by Force Majeure and seeking for the exemption from performing its obligations hereunder shall notify the other Party of such event as soon as possible.</w:t>
      </w:r>
    </w:p>
    <w:p>
      <w:pPr>
        <w:spacing w:after="0" w:line="162"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8.2 In the event that the affected Party is delayed in or prevented from performing its obligations hereunder by Force Majeure, only within the scope of such delay or prevention, neither Party shall be liable for any loss, increased expense, or damage caused thereby under this Agreement, while such failure or delay of performance shall not be deemed as a breach of contract. However, the Party claiming to be affected by Force Majeure shall use its best reasonable efforts to minimize or remove the effects of Force Majeure. Upon the elimination of Force Majeure event, both Parties agree to resume the performance of this Agreement with their best efforts.</w:t>
      </w:r>
    </w:p>
    <w:p>
      <w:pPr>
        <w:spacing w:after="0" w:line="183"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validity, interpretation and performance of this Agreement shall be governed by the laws of PRC.</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0" w:lineRule="exact"/>
        <w:rPr>
          <w:rFonts w:ascii="Times New Roman" w:cs="Times New Roman" w:eastAsia="Times New Roman" w:hAnsi="Times New Roman"/>
          <w:sz w:val="18"/>
          <w:szCs w:val="18"/>
          <w:b w:val="1"/>
          <w:bCs w:val="1"/>
          <w:color w:val="auto"/>
        </w:rPr>
      </w:pPr>
    </w:p>
    <w:p>
      <w:pPr>
        <w:ind w:left="720" w:hanging="389"/>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7"/>
          <w:szCs w:val="17"/>
          <w:color w:val="auto"/>
        </w:rPr>
        <w:t>Any dispute arising from the interpretation and performance of this Agreement shall first be resolved through friendly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consultations by the Parties. If the dispute fails to be resolved within thirty (30) days after one Party gives notice requesting consultations to the other Party, either Party may submit the relevant dispute to the China International Economic and Trade Arbitration Commission (“</w:t>
      </w:r>
      <w:r>
        <w:rPr>
          <w:rFonts w:ascii="Times New Roman" w:cs="Times New Roman" w:eastAsia="Times New Roman" w:hAnsi="Times New Roman"/>
          <w:sz w:val="17"/>
          <w:szCs w:val="17"/>
          <w:b w:val="1"/>
          <w:bCs w:val="1"/>
          <w:color w:val="auto"/>
        </w:rPr>
        <w:t>CIETAC</w:t>
      </w:r>
      <w:r>
        <w:rPr>
          <w:rFonts w:ascii="Times New Roman" w:cs="Times New Roman" w:eastAsia="Times New Roman" w:hAnsi="Times New Roman"/>
          <w:sz w:val="17"/>
          <w:szCs w:val="17"/>
          <w:color w:val="auto"/>
        </w:rPr>
        <w:t>”) for arbitration, in accordance with its then effective arbitration rules. The arbitration shall be conducted in [Beijing]. The arbitration tribunal shall be consisted three (3) arbitrators according to the arbitration rules and procedures, among whom one of them shall be designated by the applicant, one of them shall be designated by the respondent and one of them shall be designated upon the negotiation by aforesaid two arbitrators or by CIETAC. The arbitration shall be conduct confidentially and the language of the arbitration shall be Chinese. The arbitration award shall be final and binding on all Parties.</w:t>
      </w:r>
    </w:p>
    <w:p>
      <w:pPr>
        <w:spacing w:after="0" w:line="396" w:lineRule="exact"/>
        <w:rPr>
          <w:rFonts w:ascii="Times New Roman" w:cs="Times New Roman" w:eastAsia="Times New Roman" w:hAnsi="Times New Roman"/>
          <w:sz w:val="18"/>
          <w:szCs w:val="18"/>
          <w:b w:val="1"/>
          <w:bCs w:val="1"/>
          <w:color w:val="auto"/>
        </w:rPr>
      </w:pPr>
    </w:p>
    <w:p>
      <w:pPr>
        <w:ind w:left="720" w:hanging="38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To the extent permitted by PRC Law and where appropriate, the arbitration tribunal may grant any remedies in accordance with the provisions of this Agreement and applicable PRC Law, including preliminary and permanent injunctive relief (such as injunction against carrying out business activities, or mandating the transfer of assets), specific performance of contractual obligations, remedies concerning the equity interest or assets of the Domestic Company and awards directing the Domestic Company to conduct liquidation. To the extent permitted by PRC Law, when awaiting the formation of the arbitration tribunal or otherwise under appropriate conditions, either Party may seek preliminary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8" w:name="page249"/>
    <w:bookmarkEnd w:id="248"/>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the Domestic Company are located shall all be deemed to have competent jurisdiction.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9" w:lineRule="exact"/>
        <w:rPr>
          <w:sz w:val="20"/>
          <w:szCs w:val="20"/>
          <w:color w:val="auto"/>
        </w:rPr>
      </w:pPr>
    </w:p>
    <w:p>
      <w:pPr>
        <w:jc w:val="right"/>
        <w:ind w:left="340" w:right="20"/>
        <w:spacing w:after="0" w:line="282" w:lineRule="auto"/>
        <w:rPr>
          <w:sz w:val="20"/>
          <w:szCs w:val="20"/>
          <w:color w:val="auto"/>
        </w:rPr>
      </w:pPr>
      <w:r>
        <w:rPr>
          <w:rFonts w:ascii="Times New Roman" w:cs="Times New Roman" w:eastAsia="Times New Roman" w:hAnsi="Times New Roman"/>
          <w:sz w:val="18"/>
          <w:szCs w:val="18"/>
          <w:color w:val="auto"/>
        </w:rPr>
        <w:t>10.3 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58"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or other communication sent by any Party hereunder shall be written in Chinese and English, and shall be delivered to the following addresses of the recipient(s) by hand, registered airmail, airmail with postage prepaid, recognized courier service or email.</w:t>
      </w:r>
    </w:p>
    <w:p>
      <w:pPr>
        <w:spacing w:after="0" w:line="189" w:lineRule="exact"/>
        <w:rPr>
          <w:sz w:val="20"/>
          <w:szCs w:val="20"/>
          <w:color w:val="auto"/>
        </w:rPr>
      </w:pPr>
    </w:p>
    <w:p>
      <w:pPr>
        <w:ind w:left="340"/>
        <w:spacing w:after="0"/>
        <w:tabs>
          <w:tab w:leader="none" w:pos="1540" w:val="left"/>
        </w:tabs>
        <w:rPr>
          <w:sz w:val="20"/>
          <w:szCs w:val="20"/>
          <w:color w:val="auto"/>
        </w:rPr>
      </w:pPr>
      <w:r>
        <w:rPr>
          <w:rFonts w:ascii="Times New Roman" w:cs="Times New Roman" w:eastAsia="Times New Roman" w:hAnsi="Times New Roman"/>
          <w:sz w:val="18"/>
          <w:szCs w:val="18"/>
          <w:color w:val="auto"/>
        </w:rPr>
        <w:t>Party A:</w:t>
      </w:r>
      <w:r>
        <w:rPr>
          <w:sz w:val="20"/>
          <w:szCs w:val="20"/>
          <w:color w:val="auto"/>
        </w:rPr>
        <w:tab/>
      </w:r>
      <w:r>
        <w:rPr>
          <w:rFonts w:ascii="Times New Roman" w:cs="Times New Roman" w:eastAsia="Times New Roman" w:hAnsi="Times New Roman"/>
          <w:sz w:val="18"/>
          <w:szCs w:val="18"/>
          <w:color w:val="auto"/>
        </w:rPr>
        <w:t>[VIE]</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540" w:val="left"/>
        </w:tabs>
        <w:rPr>
          <w:sz w:val="20"/>
          <w:szCs w:val="20"/>
          <w:color w:val="auto"/>
        </w:rPr>
      </w:pPr>
      <w:r>
        <w:rPr>
          <w:rFonts w:ascii="Times New Roman" w:cs="Times New Roman" w:eastAsia="Times New Roman" w:hAnsi="Times New Roman"/>
          <w:sz w:val="18"/>
          <w:szCs w:val="18"/>
          <w:color w:val="auto"/>
        </w:rPr>
        <w:t>Party B:</w:t>
      </w:r>
      <w:r>
        <w:rPr>
          <w:sz w:val="20"/>
          <w:szCs w:val="20"/>
          <w:color w:val="auto"/>
        </w:rPr>
        <w:tab/>
      </w:r>
      <w:r>
        <w:rPr>
          <w:rFonts w:ascii="Times New Roman" w:cs="Times New Roman" w:eastAsia="Times New Roman" w:hAnsi="Times New Roman"/>
          <w:sz w:val="18"/>
          <w:szCs w:val="18"/>
          <w:color w:val="auto"/>
        </w:rPr>
        <w:t>[WFOE]</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540" w:val="left"/>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720" w:hanging="38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Party A hereby agrees that Party B may independently decide to assign its rights and obligations under this Agreement to any third party. For such assignment,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9" w:name="page250"/>
    <w:bookmarkEnd w:id="249"/>
    <w:p>
      <w:pPr>
        <w:ind w:left="712"/>
        <w:spacing w:after="0"/>
        <w:rPr>
          <w:sz w:val="20"/>
          <w:szCs w:val="20"/>
          <w:color w:val="auto"/>
        </w:rPr>
      </w:pPr>
      <w:r>
        <w:rPr>
          <w:rFonts w:ascii="Times New Roman" w:cs="Times New Roman" w:eastAsia="Times New Roman" w:hAnsi="Times New Roman"/>
          <w:sz w:val="18"/>
          <w:szCs w:val="18"/>
          <w:color w:val="auto"/>
        </w:rPr>
        <w:t>Party B only needs to provide written notice to Party A and does not need to obtain Party A’s consent.</w:t>
      </w:r>
    </w:p>
    <w:p>
      <w:pPr>
        <w:spacing w:after="0" w:line="225" w:lineRule="exact"/>
        <w:rPr>
          <w:sz w:val="20"/>
          <w:szCs w:val="20"/>
          <w:color w:val="auto"/>
        </w:rPr>
      </w:pPr>
    </w:p>
    <w:p>
      <w:pPr>
        <w:ind w:left="712" w:hanging="388"/>
        <w:spacing w:after="0" w:line="282" w:lineRule="auto"/>
        <w:rPr>
          <w:sz w:val="20"/>
          <w:szCs w:val="20"/>
          <w:color w:val="auto"/>
        </w:rPr>
      </w:pPr>
      <w:r>
        <w:rPr>
          <w:rFonts w:ascii="Times New Roman" w:cs="Times New Roman" w:eastAsia="Times New Roman" w:hAnsi="Times New Roman"/>
          <w:sz w:val="18"/>
          <w:szCs w:val="18"/>
          <w:color w:val="auto"/>
        </w:rPr>
        <w:t>12.2 Party A shall not assign any of its rights or obligations under this Agreement to any third party without prior written consent from Party B.</w:t>
      </w:r>
    </w:p>
    <w:p>
      <w:pPr>
        <w:spacing w:after="0" w:line="158" w:lineRule="exact"/>
        <w:rPr>
          <w:sz w:val="20"/>
          <w:szCs w:val="20"/>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herein becomes invalid, illegal or un-enforceable because of any laws, such provision shall only be invalid in the corresponding jurisdiction. The invalid provision shall not affect the legal effects of the remaining provisions of this Agreement in such jurisdiction, and shall not cause such provision to be invalid, illegal or unenforceable in any other jurisdictions.</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Modifications and Supplements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Both Parties may make modifications and supplements to this Agreement in writing. Upon proper execution by both Parties, the relevant modifications and supplemental agreements shall become an integral part of this Agreement with the same force and effects.</w:t>
      </w:r>
    </w:p>
    <w:p>
      <w:pPr>
        <w:spacing w:after="0" w:line="13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Provisions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made in two counterparts. Each Party shall hold one counterpart.</w:t>
      </w: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50" w:name="page251"/>
    <w:bookmarkEnd w:id="250"/>
    <w:p>
      <w:pPr>
        <w:ind w:left="3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Agreement has been duly executed by the Parties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[VIE]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[WFOE]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251" w:name="page252"/>
    <w:bookmarkEnd w:id="251"/>
    <w:p>
      <w:pPr>
        <w:jc w:val="right"/>
        <w:spacing w:after="0"/>
        <w:rPr>
          <w:sz w:val="20"/>
          <w:szCs w:val="20"/>
          <w:color w:val="auto"/>
        </w:rPr>
      </w:pPr>
      <w:r>
        <w:rPr>
          <w:rFonts w:ascii="Calibri" w:cs="Calibri" w:eastAsia="Calibri" w:hAnsi="Calibri"/>
          <w:sz w:val="18"/>
          <w:szCs w:val="18"/>
          <w:b w:val="1"/>
          <w:bCs w:val="1"/>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160655</wp:posOffset>
            </wp:positionV>
            <wp:extent cx="6292215" cy="659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629221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43"/>
          <w:szCs w:val="43"/>
          <w:b w:val="1"/>
          <w:bCs w:val="1"/>
          <w:color w:val="C00000"/>
        </w:rPr>
        <w:t>NetEase, Inc. Insider Trading Policy</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Last revised January 1, 2025</w:t>
      </w:r>
    </w:p>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Table of Contents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560" w:type="dxa"/>
            <w:vAlign w:val="bottom"/>
          </w:tcPr>
          <w:p>
            <w:pPr>
              <w:spacing w:after="0"/>
              <w:rPr>
                <w:sz w:val="20"/>
                <w:szCs w:val="20"/>
                <w:color w:val="auto"/>
              </w:rPr>
            </w:pPr>
            <w:r>
              <w:rPr>
                <w:rFonts w:ascii="Calibri" w:cs="Calibri" w:eastAsia="Calibri" w:hAnsi="Calibri"/>
                <w:sz w:val="18"/>
                <w:szCs w:val="18"/>
                <w:b w:val="1"/>
                <w:bCs w:val="1"/>
                <w:color w:val="auto"/>
              </w:rPr>
              <w:t>A. Introducton</w:t>
            </w:r>
          </w:p>
        </w:tc>
        <w:tc>
          <w:tcPr>
            <w:tcW w:w="33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B. Applicability</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C. Individual Responsibility</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D. Material Non-Public Informaton</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E. General Prohibited Conduct</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4</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F. Trading Procedures</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5</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G. Special and Prohibited Transactons</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7</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H. Exceptons from the Policy</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8</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I. Trading in Listed Subsidiaries of the Company</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9</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J. Violatons</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9</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K. Questons</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10</w:t>
            </w:r>
          </w:p>
        </w:tc>
      </w:tr>
      <w:tr>
        <w:trPr>
          <w:trHeight w:val="216"/>
        </w:trPr>
        <w:tc>
          <w:tcPr>
            <w:tcW w:w="65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L. Acknowledgement, Training &amp; Certfcaton</w:t>
            </w:r>
          </w:p>
        </w:tc>
        <w:tc>
          <w:tcPr>
            <w:tcW w:w="33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10</w:t>
            </w:r>
          </w:p>
        </w:tc>
      </w:tr>
    </w:tbl>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A. Introducton</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NetEase, Inc. (“</w:t>
      </w:r>
      <w:r>
        <w:rPr>
          <w:rFonts w:ascii="Calibri" w:cs="Calibri" w:eastAsia="Calibri" w:hAnsi="Calibri"/>
          <w:sz w:val="18"/>
          <w:szCs w:val="18"/>
          <w:b w:val="1"/>
          <w:bCs w:val="1"/>
          <w:color w:val="auto"/>
        </w:rPr>
        <w:t>NetEase</w:t>
      </w:r>
      <w:r>
        <w:rPr>
          <w:rFonts w:ascii="Calibri" w:cs="Calibri" w:eastAsia="Calibri" w:hAnsi="Calibri"/>
          <w:sz w:val="18"/>
          <w:szCs w:val="18"/>
          <w:color w:val="auto"/>
        </w:rPr>
        <w:t>” or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as a publicly traded company, is commited to complying with all applicable securites laws and regulatons.</w:t>
      </w:r>
      <w:r>
        <w:rPr>
          <w:rFonts w:ascii="Calibri" w:cs="Calibri" w:eastAsia="Calibri" w:hAnsi="Calibri"/>
          <w:sz w:val="13"/>
          <w:szCs w:val="13"/>
          <w:color w:val="auto"/>
        </w:rPr>
        <w:t>1</w:t>
      </w:r>
      <w:r>
        <w:rPr>
          <w:rFonts w:ascii="Calibri" w:cs="Calibri" w:eastAsia="Calibri" w:hAnsi="Calibri"/>
          <w:sz w:val="18"/>
          <w:szCs w:val="18"/>
          <w:color w:val="auto"/>
        </w:rPr>
        <w:t xml:space="preserve"> In view of the responsibilites and potental liabilites arising under such laws and regulatons, the Board of Directors of NetEase has adopted this Insider Trading Policy (“</w:t>
      </w:r>
      <w:r>
        <w:rPr>
          <w:rFonts w:ascii="Calibri" w:cs="Calibri" w:eastAsia="Calibri" w:hAnsi="Calibri"/>
          <w:sz w:val="18"/>
          <w:szCs w:val="18"/>
          <w:b w:val="1"/>
          <w:bCs w:val="1"/>
          <w:color w:val="auto"/>
        </w:rPr>
        <w:t>Policy</w:t>
      </w:r>
      <w:r>
        <w:rPr>
          <w:rFonts w:ascii="Calibri" w:cs="Calibri" w:eastAsia="Calibri" w:hAnsi="Calibri"/>
          <w:sz w:val="18"/>
          <w:szCs w:val="18"/>
          <w:color w:val="auto"/>
        </w:rPr>
        <w:t>”). The Policy is designed to:</w:t>
      </w:r>
    </w:p>
    <w:p>
      <w:pPr>
        <w:spacing w:after="0" w:line="173" w:lineRule="exact"/>
        <w:rPr>
          <w:sz w:val="20"/>
          <w:szCs w:val="20"/>
          <w:color w:val="auto"/>
        </w:rPr>
      </w:pPr>
    </w:p>
    <w:p>
      <w:pPr>
        <w:ind w:left="340" w:hanging="332"/>
        <w:spacing w:after="0"/>
        <w:tabs>
          <w:tab w:leader="none" w:pos="340" w:val="left"/>
        </w:tabs>
        <w:numPr>
          <w:ilvl w:val="0"/>
          <w:numId w:val="152"/>
        </w:numPr>
        <w:rPr>
          <w:rFonts w:ascii="Calibri" w:cs="Calibri" w:eastAsia="Calibri" w:hAnsi="Calibri"/>
          <w:sz w:val="18"/>
          <w:szCs w:val="18"/>
          <w:color w:val="auto"/>
        </w:rPr>
      </w:pPr>
      <w:r>
        <w:rPr>
          <w:rFonts w:ascii="Calibri" w:cs="Calibri" w:eastAsia="Calibri" w:hAnsi="Calibri"/>
          <w:sz w:val="18"/>
          <w:szCs w:val="18"/>
          <w:color w:val="auto"/>
        </w:rPr>
        <w:t>Establish procedures and guidelines regarding the use and disclosure of confdental informaton;</w:t>
      </w:r>
    </w:p>
    <w:p>
      <w:pPr>
        <w:spacing w:after="0" w:line="1"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52"/>
        </w:numPr>
        <w:rPr>
          <w:rFonts w:ascii="Calibri" w:cs="Calibri" w:eastAsia="Calibri" w:hAnsi="Calibri"/>
          <w:sz w:val="18"/>
          <w:szCs w:val="18"/>
          <w:color w:val="auto"/>
        </w:rPr>
      </w:pPr>
      <w:r>
        <w:rPr>
          <w:rFonts w:ascii="Calibri" w:cs="Calibri" w:eastAsia="Calibri" w:hAnsi="Calibri"/>
          <w:sz w:val="18"/>
          <w:szCs w:val="18"/>
          <w:color w:val="auto"/>
        </w:rPr>
        <w:t>Prohibit securites-related misconduct, including insider trading, improper disclosure of confdental informaton, and misuse of confdental informaton; and</w:t>
      </w:r>
    </w:p>
    <w:p>
      <w:pPr>
        <w:ind w:left="340" w:hanging="332"/>
        <w:spacing w:after="0" w:line="235" w:lineRule="auto"/>
        <w:tabs>
          <w:tab w:leader="none" w:pos="340" w:val="left"/>
        </w:tabs>
        <w:numPr>
          <w:ilvl w:val="0"/>
          <w:numId w:val="152"/>
        </w:numPr>
        <w:rPr>
          <w:rFonts w:ascii="Calibri" w:cs="Calibri" w:eastAsia="Calibri" w:hAnsi="Calibri"/>
          <w:sz w:val="18"/>
          <w:szCs w:val="18"/>
          <w:color w:val="auto"/>
        </w:rPr>
      </w:pPr>
      <w:r>
        <w:rPr>
          <w:rFonts w:ascii="Calibri" w:cs="Calibri" w:eastAsia="Calibri" w:hAnsi="Calibri"/>
          <w:sz w:val="18"/>
          <w:szCs w:val="18"/>
          <w:color w:val="auto"/>
        </w:rPr>
        <w:t>Inform and educate colleagues of their individual responsibilites under applicable securites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83820</wp:posOffset>
            </wp:positionV>
            <wp:extent cx="156845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98" w:lineRule="exact"/>
        <w:rPr>
          <w:sz w:val="20"/>
          <w:szCs w:val="20"/>
          <w:color w:val="auto"/>
        </w:rPr>
      </w:pPr>
    </w:p>
    <w:p>
      <w:pPr>
        <w:jc w:val="both"/>
        <w:ind w:left="340" w:right="80" w:hanging="332"/>
        <w:spacing w:after="0" w:line="235" w:lineRule="auto"/>
        <w:tabs>
          <w:tab w:leader="none" w:pos="340" w:val="left"/>
        </w:tabs>
        <w:numPr>
          <w:ilvl w:val="0"/>
          <w:numId w:val="153"/>
        </w:numPr>
        <w:rPr>
          <w:rFonts w:ascii="Calibri" w:cs="Calibri" w:eastAsia="Calibri" w:hAnsi="Calibri"/>
          <w:sz w:val="13"/>
          <w:szCs w:val="13"/>
          <w:color w:val="auto"/>
        </w:rPr>
      </w:pPr>
      <w:r>
        <w:rPr>
          <w:rFonts w:ascii="Calibri" w:cs="Calibri" w:eastAsia="Calibri" w:hAnsi="Calibri"/>
          <w:sz w:val="18"/>
          <w:szCs w:val="18"/>
          <w:color w:val="auto"/>
        </w:rPr>
        <w:t>NetEase has American Depositary Shares, each representng fve ordinary shares of the Company, traded on the Nasdaq Global Select Market in the United States and its ordinary shares admited to trading on The Stock Exchange of Hong Kong Limited (the “</w:t>
      </w:r>
      <w:r>
        <w:rPr>
          <w:rFonts w:ascii="Calibri" w:cs="Calibri" w:eastAsia="Calibri" w:hAnsi="Calibri"/>
          <w:sz w:val="18"/>
          <w:szCs w:val="18"/>
          <w:b w:val="1"/>
          <w:bCs w:val="1"/>
          <w:color w:val="auto"/>
        </w:rPr>
        <w:t>Hong Kong</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Stock Exchange</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154305</wp:posOffset>
            </wp:positionV>
            <wp:extent cx="615505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52" w:name="page253"/>
    <w:bookmarkEnd w:id="252"/>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B. Applicability</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The Policy applies to all “</w:t>
      </w:r>
      <w:r>
        <w:rPr>
          <w:rFonts w:ascii="Calibri" w:cs="Calibri" w:eastAsia="Calibri" w:hAnsi="Calibri"/>
          <w:sz w:val="18"/>
          <w:szCs w:val="18"/>
          <w:b w:val="1"/>
          <w:bCs w:val="1"/>
          <w:color w:val="auto"/>
        </w:rPr>
        <w:t>Covered Persons</w:t>
      </w:r>
      <w:r>
        <w:rPr>
          <w:rFonts w:ascii="Calibri" w:cs="Calibri" w:eastAsia="Calibri" w:hAnsi="Calibri"/>
          <w:sz w:val="18"/>
          <w:szCs w:val="18"/>
          <w:color w:val="auto"/>
        </w:rPr>
        <w:t>”, which is defned to include:</w:t>
      </w:r>
    </w:p>
    <w:p>
      <w:pPr>
        <w:spacing w:after="0" w:line="177" w:lineRule="exact"/>
        <w:rPr>
          <w:sz w:val="20"/>
          <w:szCs w:val="20"/>
          <w:color w:val="auto"/>
        </w:rPr>
      </w:pPr>
    </w:p>
    <w:p>
      <w:pPr>
        <w:ind w:left="340" w:right="100" w:hanging="332"/>
        <w:spacing w:after="0" w:line="235" w:lineRule="auto"/>
        <w:tabs>
          <w:tab w:leader="none" w:pos="340"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All directors, ofcers and employees, including employees working on a part-tme or temporary basis (collectvely, “</w:t>
      </w:r>
      <w:r>
        <w:rPr>
          <w:rFonts w:ascii="Calibri" w:cs="Calibri" w:eastAsia="Calibri" w:hAnsi="Calibri"/>
          <w:sz w:val="18"/>
          <w:szCs w:val="18"/>
          <w:b w:val="1"/>
          <w:bCs w:val="1"/>
          <w:color w:val="auto"/>
        </w:rPr>
        <w:t>colleague</w:t>
      </w:r>
      <w:r>
        <w:rPr>
          <w:rFonts w:ascii="Calibri" w:cs="Calibri" w:eastAsia="Calibri" w:hAnsi="Calibri"/>
          <w:sz w:val="18"/>
          <w:szCs w:val="18"/>
          <w:color w:val="auto"/>
        </w:rPr>
        <w:t>,” “</w:t>
      </w:r>
      <w:r>
        <w:rPr>
          <w:rFonts w:ascii="Calibri" w:cs="Calibri" w:eastAsia="Calibri" w:hAnsi="Calibri"/>
          <w:sz w:val="18"/>
          <w:szCs w:val="18"/>
          <w:b w:val="1"/>
          <w:bCs w:val="1"/>
          <w:color w:val="auto"/>
        </w:rPr>
        <w:t>you</w:t>
      </w:r>
      <w:r>
        <w:rPr>
          <w:rFonts w:ascii="Calibri" w:cs="Calibri" w:eastAsia="Calibri" w:hAnsi="Calibri"/>
          <w:sz w:val="18"/>
          <w:szCs w:val="18"/>
          <w:color w:val="auto"/>
        </w:rPr>
        <w:t>,” or “</w:t>
      </w:r>
      <w:r>
        <w:rPr>
          <w:rFonts w:ascii="Calibri" w:cs="Calibri" w:eastAsia="Calibri" w:hAnsi="Calibri"/>
          <w:sz w:val="18"/>
          <w:szCs w:val="18"/>
          <w:b w:val="1"/>
          <w:bCs w:val="1"/>
          <w:color w:val="auto"/>
        </w:rPr>
        <w:t>your</w:t>
      </w:r>
      <w:r>
        <w:rPr>
          <w:rFonts w:ascii="Calibri" w:cs="Calibri" w:eastAsia="Calibri" w:hAnsi="Calibri"/>
          <w:sz w:val="18"/>
          <w:szCs w:val="18"/>
          <w:color w:val="auto"/>
        </w:rPr>
        <w:t>”) of NetEase and its subsidiaries and controlled afliates;</w:t>
      </w:r>
    </w:p>
    <w:p>
      <w:pPr>
        <w:spacing w:after="0" w:line="1" w:lineRule="exact"/>
        <w:rPr>
          <w:rFonts w:ascii="Calibri" w:cs="Calibri" w:eastAsia="Calibri" w:hAnsi="Calibri"/>
          <w:sz w:val="18"/>
          <w:szCs w:val="18"/>
          <w:color w:val="auto"/>
        </w:rPr>
      </w:pPr>
    </w:p>
    <w:p>
      <w:pPr>
        <w:ind w:left="340" w:right="100" w:hanging="332"/>
        <w:spacing w:after="0" w:line="235" w:lineRule="auto"/>
        <w:tabs>
          <w:tab w:leader="none" w:pos="340"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 xml:space="preserve">All colleagues’ </w:t>
      </w:r>
      <w:r>
        <w:rPr>
          <w:rFonts w:ascii="Calibri" w:cs="Calibri" w:eastAsia="Calibri" w:hAnsi="Calibri"/>
          <w:sz w:val="18"/>
          <w:szCs w:val="18"/>
          <w:b w:val="1"/>
          <w:bCs w:val="1"/>
          <w:color w:val="auto"/>
        </w:rPr>
        <w:t>Family Members</w:t>
      </w:r>
      <w:r>
        <w:rPr>
          <w:rFonts w:ascii="Calibri" w:cs="Calibri" w:eastAsia="Calibri" w:hAnsi="Calibri"/>
          <w:sz w:val="18"/>
          <w:szCs w:val="18"/>
          <w:color w:val="auto"/>
        </w:rPr>
        <w:t>, which include any (i) spouse, siblings, parents, stepparents, grandparents, children, stepchildren, grandchildren and in-laws (whether by blood, marriage or common-law partnership), and (ii) any other family members who reside in the colleague’s household or whose transactons in Company’s securites are directed by the colleague or are subject to such colleague’s infuence or control;</w:t>
      </w:r>
    </w:p>
    <w:p>
      <w:pPr>
        <w:spacing w:after="0" w:line="3" w:lineRule="exact"/>
        <w:rPr>
          <w:rFonts w:ascii="Calibri" w:cs="Calibri" w:eastAsia="Calibri" w:hAnsi="Calibri"/>
          <w:sz w:val="18"/>
          <w:szCs w:val="18"/>
          <w:color w:val="auto"/>
        </w:rPr>
      </w:pPr>
    </w:p>
    <w:p>
      <w:pPr>
        <w:ind w:left="340" w:right="80" w:hanging="332"/>
        <w:spacing w:after="0" w:line="235" w:lineRule="auto"/>
        <w:tabs>
          <w:tab w:leader="none" w:pos="340"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 xml:space="preserve">All colleagues’ and their Family Members’ </w:t>
      </w:r>
      <w:r>
        <w:rPr>
          <w:rFonts w:ascii="Calibri" w:cs="Calibri" w:eastAsia="Calibri" w:hAnsi="Calibri"/>
          <w:sz w:val="18"/>
          <w:szCs w:val="18"/>
          <w:b w:val="1"/>
          <w:bCs w:val="1"/>
          <w:color w:val="auto"/>
        </w:rPr>
        <w:t>Controlled Enttes</w:t>
      </w:r>
      <w:r>
        <w:rPr>
          <w:rFonts w:ascii="Calibri" w:cs="Calibri" w:eastAsia="Calibri" w:hAnsi="Calibri"/>
          <w:sz w:val="18"/>
          <w:szCs w:val="18"/>
          <w:color w:val="auto"/>
        </w:rPr>
        <w:t>, which include any enttes over which the colleague and/or their Family Members exercise votng or investment control; and</w:t>
      </w:r>
    </w:p>
    <w:p>
      <w:pPr>
        <w:spacing w:after="0" w:line="1" w:lineRule="exact"/>
        <w:rPr>
          <w:rFonts w:ascii="Calibri" w:cs="Calibri" w:eastAsia="Calibri" w:hAnsi="Calibri"/>
          <w:sz w:val="18"/>
          <w:szCs w:val="18"/>
          <w:color w:val="auto"/>
        </w:rPr>
      </w:pPr>
    </w:p>
    <w:p>
      <w:pPr>
        <w:ind w:left="340" w:right="100" w:hanging="332"/>
        <w:spacing w:after="0" w:line="235" w:lineRule="auto"/>
        <w:tabs>
          <w:tab w:leader="none" w:pos="340"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On a case-by-case basis determined by the Company, other persons, such as contractors, consultants, or former colleagues, who have access to or possess material non-public informaton.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C. Individual Responsibility</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Every Covered Person has individual responsibility to comply with this Policy and all applicable securites laws and regulatons. This is regardless of whether the Company has taken or abstained from an acton, such as not objectng to a Covered Person’s representaton that they do not possess MNPI (defned in </w:t>
      </w:r>
      <w:r>
        <w:rPr>
          <w:rFonts w:ascii="Calibri" w:cs="Calibri" w:eastAsia="Calibri" w:hAnsi="Calibri"/>
          <w:sz w:val="18"/>
          <w:szCs w:val="18"/>
          <w:i w:val="1"/>
          <w:iCs w:val="1"/>
          <w:color w:val="auto"/>
        </w:rPr>
        <w:t>Secton D</w:t>
      </w:r>
      <w:r>
        <w:rPr>
          <w:rFonts w:ascii="Calibri" w:cs="Calibri" w:eastAsia="Calibri" w:hAnsi="Calibri"/>
          <w:sz w:val="18"/>
          <w:szCs w:val="18"/>
          <w:color w:val="auto"/>
        </w:rPr>
        <w:t xml:space="preserve"> below), opening/closing of Trading Windows (see </w:t>
      </w:r>
      <w:r>
        <w:rPr>
          <w:rFonts w:ascii="Calibri" w:cs="Calibri" w:eastAsia="Calibri" w:hAnsi="Calibri"/>
          <w:sz w:val="18"/>
          <w:szCs w:val="18"/>
          <w:i w:val="1"/>
          <w:iCs w:val="1"/>
          <w:color w:val="auto"/>
        </w:rPr>
        <w:t>Secton F.4</w:t>
      </w:r>
      <w:r>
        <w:rPr>
          <w:rFonts w:ascii="Calibri" w:cs="Calibri" w:eastAsia="Calibri" w:hAnsi="Calibri"/>
          <w:sz w:val="18"/>
          <w:szCs w:val="18"/>
          <w:color w:val="auto"/>
        </w:rPr>
        <w:t xml:space="preserve"> below), or pre-clearing transactons (see </w:t>
      </w:r>
      <w:r>
        <w:rPr>
          <w:rFonts w:ascii="Calibri" w:cs="Calibri" w:eastAsia="Calibri" w:hAnsi="Calibri"/>
          <w:sz w:val="18"/>
          <w:szCs w:val="18"/>
          <w:i w:val="1"/>
          <w:iCs w:val="1"/>
          <w:color w:val="auto"/>
        </w:rPr>
        <w:t>Secton F.5</w:t>
      </w:r>
      <w:r>
        <w:rPr>
          <w:rFonts w:ascii="Calibri" w:cs="Calibri" w:eastAsia="Calibri" w:hAnsi="Calibri"/>
          <w:sz w:val="18"/>
          <w:szCs w:val="18"/>
          <w:color w:val="auto"/>
        </w:rPr>
        <w:t xml:space="preserve"> below). Appropriate individual judgment should be exercised in connecton with any trade in the Company’s securites or another company’s securites.</w:t>
      </w:r>
    </w:p>
    <w:p>
      <w:pPr>
        <w:spacing w:after="0" w:line="19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Where the Covered Person is a Family Member or Controlled Entty of a colleague or a person subject to this Policy (e.g., a consultant), it is that colleague’s / person’s individual responsibility for ensuring that their Family Members and Controlled Enttes comply with this Policy.</w:t>
      </w:r>
    </w:p>
    <w:p>
      <w:pPr>
        <w:spacing w:after="0" w:line="14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D. Material Non-Public Informaton</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general, any informaton which the Company has not made available to the general public is considered “confdental informaton” or “non-public” informaton.</w:t>
      </w:r>
      <w:r>
        <w:rPr>
          <w:rFonts w:ascii="Calibri" w:cs="Calibri" w:eastAsia="Calibri" w:hAnsi="Calibri"/>
          <w:sz w:val="13"/>
          <w:szCs w:val="13"/>
          <w:color w:val="auto"/>
        </w:rPr>
        <w:t>2</w:t>
      </w:r>
      <w:r>
        <w:rPr>
          <w:rFonts w:ascii="Calibri" w:cs="Calibri" w:eastAsia="Calibri" w:hAnsi="Calibri"/>
          <w:sz w:val="18"/>
          <w:szCs w:val="18"/>
          <w:color w:val="auto"/>
        </w:rPr>
        <w:t xml:space="preserve"> For informaton to be considered “public,” it must be widely disseminated in a manner that makes it generally available to investors, such as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15684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74" w:lineRule="exact"/>
        <w:rPr>
          <w:sz w:val="20"/>
          <w:szCs w:val="20"/>
          <w:color w:val="auto"/>
        </w:rPr>
      </w:pPr>
    </w:p>
    <w:p>
      <w:pPr>
        <w:ind w:left="340" w:right="380" w:hanging="332"/>
        <w:spacing w:after="0" w:line="235" w:lineRule="auto"/>
        <w:tabs>
          <w:tab w:leader="none" w:pos="340" w:val="left"/>
        </w:tabs>
        <w:numPr>
          <w:ilvl w:val="0"/>
          <w:numId w:val="155"/>
        </w:numPr>
        <w:rPr>
          <w:rFonts w:ascii="Calibri" w:cs="Calibri" w:eastAsia="Calibri" w:hAnsi="Calibri"/>
          <w:sz w:val="13"/>
          <w:szCs w:val="13"/>
          <w:color w:val="auto"/>
        </w:rPr>
      </w:pPr>
      <w:r>
        <w:rPr>
          <w:rFonts w:ascii="Calibri" w:cs="Calibri" w:eastAsia="Calibri" w:hAnsi="Calibri"/>
          <w:sz w:val="18"/>
          <w:szCs w:val="18"/>
          <w:color w:val="auto"/>
        </w:rPr>
        <w:t>For additonal guidance on the classifcaton of “confdental informaton” and your responsibilites to safeguard such informaton, please refer to NetEase’s informaton handling and management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2</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3" w:name="page254"/>
    <w:bookmarkEnd w:id="253"/>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0"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Company’s reports to shareholders;</w:t>
      </w:r>
    </w:p>
    <w:p>
      <w:pPr>
        <w:spacing w:after="0" w:line="23" w:lineRule="exact"/>
        <w:rPr>
          <w:rFonts w:ascii="Times New Roman" w:cs="Times New Roman" w:eastAsia="Times New Roman" w:hAnsi="Times New Roman"/>
          <w:sz w:val="18"/>
          <w:szCs w:val="18"/>
          <w:color w:val="auto"/>
        </w:rPr>
      </w:pPr>
    </w:p>
    <w:p>
      <w:pPr>
        <w:ind w:left="660" w:hanging="328"/>
        <w:spacing w:after="0" w:line="223" w:lineRule="auto"/>
        <w:tabs>
          <w:tab w:leader="none" w:pos="660" w:val="left"/>
        </w:tabs>
        <w:numPr>
          <w:ilvl w:val="0"/>
          <w:numId w:val="1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 or other reports, documents or other flings submited to the U.S. Securites and Exchange Commission (the “</w:t>
      </w:r>
      <w:r>
        <w:rPr>
          <w:rFonts w:ascii="Calibri" w:cs="Calibri" w:eastAsia="Calibri" w:hAnsi="Calibri"/>
          <w:sz w:val="18"/>
          <w:szCs w:val="18"/>
          <w:b w:val="1"/>
          <w:bCs w:val="1"/>
          <w:color w:val="auto"/>
        </w:rPr>
        <w:t>SEC</w:t>
      </w:r>
      <w:r>
        <w:rPr>
          <w:rFonts w:ascii="Calibri" w:cs="Calibri" w:eastAsia="Calibri" w:hAnsi="Calibri"/>
          <w:sz w:val="18"/>
          <w:szCs w:val="18"/>
          <w:color w:val="auto"/>
        </w:rPr>
        <w:t>”) and the Hong Kong Stock Exchange;</w:t>
      </w:r>
    </w:p>
    <w:p>
      <w:pPr>
        <w:ind w:left="660" w:hanging="328"/>
        <w:spacing w:after="0" w:line="235" w:lineRule="auto"/>
        <w:tabs>
          <w:tab w:leader="none" w:pos="660" w:val="left"/>
        </w:tabs>
        <w:numPr>
          <w:ilvl w:val="0"/>
          <w:numId w:val="1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Proxy statements; and</w:t>
      </w:r>
    </w:p>
    <w:p>
      <w:pPr>
        <w:spacing w:after="0" w:line="24"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Previously issued press releases.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“Material Non-Public Informaton” (“</w:t>
      </w:r>
      <w:r>
        <w:rPr>
          <w:rFonts w:ascii="Calibri" w:cs="Calibri" w:eastAsia="Calibri" w:hAnsi="Calibri"/>
          <w:sz w:val="18"/>
          <w:szCs w:val="18"/>
          <w:b w:val="1"/>
          <w:bCs w:val="1"/>
          <w:color w:val="auto"/>
        </w:rPr>
        <w:t>MNPI</w:t>
      </w:r>
      <w:r>
        <w:rPr>
          <w:rFonts w:ascii="Calibri" w:cs="Calibri" w:eastAsia="Calibri" w:hAnsi="Calibri"/>
          <w:sz w:val="18"/>
          <w:szCs w:val="18"/>
          <w:color w:val="auto"/>
        </w:rPr>
        <w:t>”) encompasses any non-public informaton (i) that, if publicly known, could reasonably be expected to impact the market price of listed securites, and/or (ii) if there is a substantal likelihood that a reasonable investor would consider such informaton important in making a decision to buy, sell or hold securites in a company.</w:t>
      </w:r>
      <w:r>
        <w:rPr>
          <w:rFonts w:ascii="Calibri" w:cs="Calibri" w:eastAsia="Calibri" w:hAnsi="Calibri"/>
          <w:sz w:val="13"/>
          <w:szCs w:val="13"/>
          <w:color w:val="auto"/>
        </w:rPr>
        <w:t>3</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is no bright line test for determining whether partcular informaton is material. Such a determinaton depends on the facts and circumstances unique to each situaton and cannot be made solely based on the potental fnancial impact of the informaton. The following non-exhaustve list sets forth examples of informaton which could be regarded as material:</w:t>
      </w:r>
    </w:p>
    <w:p>
      <w:pPr>
        <w:spacing w:after="0" w:line="187"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Financial results or projectons;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fnancial conditon or asset value;</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Negotatons for the acquisiton or dispositon of signifcant subsidiaries or assets;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new contracts or the loss of a contract;</w:t>
      </w:r>
    </w:p>
    <w:p>
      <w:pPr>
        <w:spacing w:after="0" w:line="23" w:lineRule="exact"/>
        <w:rPr>
          <w:rFonts w:ascii="Times New Roman" w:cs="Times New Roman" w:eastAsia="Times New Roman" w:hAnsi="Times New Roman"/>
          <w:sz w:val="18"/>
          <w:szCs w:val="18"/>
          <w:color w:val="auto"/>
        </w:rPr>
      </w:pPr>
    </w:p>
    <w:p>
      <w:pPr>
        <w:ind w:left="660" w:hanging="328"/>
        <w:spacing w:after="0" w:line="223"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increases or decreases in the number of users, revenue per user or other relevant operatng metrics of the Company’s products and services;</w:t>
      </w:r>
    </w:p>
    <w:p>
      <w:pPr>
        <w:ind w:left="660" w:hanging="328"/>
        <w:spacing w:after="0" w:line="235"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pricing changes;</w:t>
      </w:r>
    </w:p>
    <w:p>
      <w:pPr>
        <w:spacing w:after="0" w:line="24"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new products or services;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product or service defects or modifcatons;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marketng plans and changes in such plans;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capital investment plans and changes in such plans;</w:t>
      </w:r>
    </w:p>
    <w:p>
      <w:pPr>
        <w:spacing w:after="0" w:line="23" w:lineRule="exact"/>
        <w:rPr>
          <w:rFonts w:ascii="Times New Roman" w:cs="Times New Roman" w:eastAsia="Times New Roman" w:hAnsi="Times New Roman"/>
          <w:sz w:val="18"/>
          <w:szCs w:val="18"/>
          <w:color w:val="auto"/>
        </w:rPr>
      </w:pPr>
    </w:p>
    <w:p>
      <w:pPr>
        <w:ind w:left="660" w:hanging="328"/>
        <w:spacing w:after="0" w:line="223"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Pending or threatened material litgaton, administratve actons or governmental investgatons or inquiries concerning the Company or any of its afliated companies, ofcers or directors, or the resoluton of any of the foregoing;</w:t>
      </w:r>
    </w:p>
    <w:p>
      <w:pPr>
        <w:ind w:left="660" w:hanging="328"/>
        <w:spacing w:after="0" w:line="235"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Major fnancing or borrowings;</w:t>
      </w:r>
    </w:p>
    <w:p>
      <w:pPr>
        <w:spacing w:after="0" w:line="24"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New equity or debt oferings;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dividend policy, the declaraton of a share split or other changes in the Company’s capital structure;</w:t>
      </w:r>
    </w:p>
    <w:p>
      <w:pPr>
        <w:spacing w:after="0" w:line="23" w:lineRule="exact"/>
        <w:rPr>
          <w:rFonts w:ascii="Times New Roman" w:cs="Times New Roman" w:eastAsia="Times New Roman" w:hAnsi="Times New Roman"/>
          <w:sz w:val="18"/>
          <w:szCs w:val="18"/>
          <w:color w:val="auto"/>
        </w:rPr>
      </w:pPr>
    </w:p>
    <w:p>
      <w:pPr>
        <w:ind w:left="660" w:right="20" w:hanging="328"/>
        <w:spacing w:after="0" w:line="223" w:lineRule="auto"/>
        <w:tabs>
          <w:tab w:leader="none" w:pos="660" w:val="left"/>
        </w:tabs>
        <w:numPr>
          <w:ilvl w:val="0"/>
          <w:numId w:val="1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or cessaton of any repurchase programs for the Company’s securites, including any securites of any direct or indirect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220980</wp:posOffset>
            </wp:positionV>
            <wp:extent cx="15684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40" w:right="60" w:hanging="332"/>
        <w:spacing w:after="0" w:line="235" w:lineRule="auto"/>
        <w:tabs>
          <w:tab w:leader="none" w:pos="340" w:val="left"/>
        </w:tabs>
        <w:numPr>
          <w:ilvl w:val="0"/>
          <w:numId w:val="158"/>
        </w:numPr>
        <w:rPr>
          <w:rFonts w:ascii="Calibri" w:cs="Calibri" w:eastAsia="Calibri" w:hAnsi="Calibri"/>
          <w:sz w:val="13"/>
          <w:szCs w:val="13"/>
          <w:color w:val="auto"/>
        </w:rPr>
      </w:pPr>
      <w:r>
        <w:rPr>
          <w:rFonts w:ascii="Calibri" w:cs="Calibri" w:eastAsia="Calibri" w:hAnsi="Calibri"/>
          <w:sz w:val="18"/>
          <w:szCs w:val="18"/>
          <w:color w:val="auto"/>
        </w:rPr>
        <w:t>In Hong Kong SAR, there is concept similar to MNPI called “inside informaton” in relaton to companies listed on the Hong Kong Stock Exchange. Specifcally, “inside informaton” is defned as any specifc informaton about such company, a shareholder or ofcer of such company or the listed securites of such company which is not generally known to persons who are accustomed or would be likely to deal in the listed securites of the company but would, if generally known to them, be likely to materially afect the price of its listed securites.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3</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154305</wp:posOffset>
            </wp:positionV>
            <wp:extent cx="615505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4" w:name="page255"/>
    <w:bookmarkEnd w:id="254"/>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0"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personnel changes;</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accountng methods and write-ofs; and</w:t>
      </w:r>
    </w:p>
    <w:p>
      <w:pPr>
        <w:spacing w:after="0" w:line="23" w:lineRule="exact"/>
        <w:rPr>
          <w:rFonts w:ascii="Times New Roman" w:cs="Times New Roman" w:eastAsia="Times New Roman" w:hAnsi="Times New Roman"/>
          <w:sz w:val="18"/>
          <w:szCs w:val="18"/>
          <w:color w:val="auto"/>
        </w:rPr>
      </w:pPr>
    </w:p>
    <w:p>
      <w:pPr>
        <w:ind w:left="660" w:hanging="328"/>
        <w:spacing w:after="0" w:line="223" w:lineRule="auto"/>
        <w:tabs>
          <w:tab w:leader="none" w:pos="660" w:val="left"/>
        </w:tabs>
        <w:numPr>
          <w:ilvl w:val="0"/>
          <w:numId w:val="1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substantal change in industry circumstances or compettve conditons which could signifcantly afect the Company’s earnings or prospects for expansion.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important to remember that whether informaton is material will be viewed by enforcement authorites with the beneft of hindsight. In other words, if the price of the Company’s securites changed as a result of the informaton having been made public, it will likely be considered material by enforcement authorites.</w:t>
      </w:r>
    </w:p>
    <w:p>
      <w:pPr>
        <w:spacing w:after="0" w:line="15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E. General Prohibited Conduct</w:t>
      </w:r>
    </w:p>
    <w:p>
      <w:pPr>
        <w:spacing w:after="0" w:line="19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prohibitons below apply to actons a Covered Person may take directly or indirectly through Family Members, Controlled Enttes or other persons or enttes:</w:t>
      </w:r>
    </w:p>
    <w:p>
      <w:pPr>
        <w:spacing w:after="0" w:line="191" w:lineRule="exact"/>
        <w:rPr>
          <w:sz w:val="20"/>
          <w:szCs w:val="20"/>
          <w:color w:val="auto"/>
        </w:rPr>
      </w:pPr>
    </w:p>
    <w:p>
      <w:pPr>
        <w:jc w:val="both"/>
        <w:ind w:left="660" w:hanging="328"/>
        <w:spacing w:after="0" w:line="235" w:lineRule="auto"/>
        <w:tabs>
          <w:tab w:leader="none" w:pos="66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i w:val="1"/>
          <w:iCs w:val="1"/>
          <w:u w:val="single" w:color="auto"/>
          <w:color w:val="auto"/>
        </w:rPr>
        <w:t>Non-disclosure of MNPI</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MNPI must not be disclosed to anyone, except persons within the Company or third-party agents of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Company (such as auditors or outside legal counsel) whose positons require them to know it, untl such informaton has been publicly released by the Company.</w:t>
      </w:r>
    </w:p>
    <w:p>
      <w:pPr>
        <w:spacing w:after="0" w:line="2" w:lineRule="exact"/>
        <w:rPr>
          <w:rFonts w:ascii="Calibri" w:cs="Calibri" w:eastAsia="Calibri" w:hAnsi="Calibri"/>
          <w:sz w:val="18"/>
          <w:szCs w:val="18"/>
          <w:color w:val="auto"/>
        </w:rPr>
      </w:pPr>
    </w:p>
    <w:p>
      <w:pPr>
        <w:jc w:val="both"/>
        <w:ind w:left="660" w:hanging="328"/>
        <w:spacing w:after="0" w:line="235" w:lineRule="auto"/>
        <w:tabs>
          <w:tab w:leader="none" w:pos="66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i w:val="1"/>
          <w:iCs w:val="1"/>
          <w:u w:val="single" w:color="auto"/>
          <w:color w:val="auto"/>
        </w:rPr>
        <w:t>Trading in the Company’s Securites</w:t>
      </w:r>
      <w:r>
        <w:rPr>
          <w:rFonts w:ascii="Calibri" w:cs="Calibri" w:eastAsia="Calibri" w:hAnsi="Calibri"/>
          <w:sz w:val="18"/>
          <w:szCs w:val="18"/>
          <w:color w:val="auto"/>
        </w:rPr>
        <w:t>. No Covered Person may buy, sell, donate or otherwise transact in the Company’s securites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while aware of MNPI concerning the Company. Additonally, no Covered Person may buy, sell, donate or otherwise transact in the Company’s securites except in compliance with the Trading Procedures set forth in </w:t>
      </w:r>
      <w:r>
        <w:rPr>
          <w:rFonts w:ascii="Calibri" w:cs="Calibri" w:eastAsia="Calibri" w:hAnsi="Calibri"/>
          <w:sz w:val="18"/>
          <w:szCs w:val="18"/>
          <w:i w:val="1"/>
          <w:iCs w:val="1"/>
          <w:color w:val="auto"/>
        </w:rPr>
        <w:t>Secton F</w:t>
      </w:r>
      <w:r>
        <w:rPr>
          <w:rFonts w:ascii="Calibri" w:cs="Calibri" w:eastAsia="Calibri" w:hAnsi="Calibri"/>
          <w:sz w:val="18"/>
          <w:szCs w:val="18"/>
          <w:color w:val="auto"/>
        </w:rPr>
        <w:t xml:space="preserve"> below.</w:t>
      </w:r>
    </w:p>
    <w:p>
      <w:pPr>
        <w:spacing w:after="0" w:line="2" w:lineRule="exact"/>
        <w:rPr>
          <w:rFonts w:ascii="Calibri" w:cs="Calibri" w:eastAsia="Calibri" w:hAnsi="Calibri"/>
          <w:sz w:val="18"/>
          <w:szCs w:val="18"/>
          <w:color w:val="auto"/>
        </w:rPr>
      </w:pPr>
    </w:p>
    <w:p>
      <w:pPr>
        <w:jc w:val="both"/>
        <w:ind w:left="660" w:hanging="328"/>
        <w:spacing w:after="0" w:line="235" w:lineRule="auto"/>
        <w:tabs>
          <w:tab w:leader="none" w:pos="66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i w:val="1"/>
          <w:iCs w:val="1"/>
          <w:u w:val="single" w:color="auto"/>
          <w:color w:val="auto"/>
        </w:rPr>
        <w:t>Tipping</w:t>
      </w:r>
      <w:r>
        <w:rPr>
          <w:rFonts w:ascii="Calibri" w:cs="Calibri" w:eastAsia="Calibri" w:hAnsi="Calibri"/>
          <w:sz w:val="18"/>
          <w:szCs w:val="18"/>
          <w:u w:val="single" w:color="auto"/>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Providing MNPI to another person who may trade or advise others to trade on the basis of that informaton is known as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“tpping” and is illegal. Therefore, no Covered Person may “tp” or provide MNPI concerning the Company to any person other than a director, ofcer, or employee of the Company, unless required as part of that Covered Person’s regular dutes for the Company and authorized by the relevant legal team.</w:t>
      </w:r>
    </w:p>
    <w:p>
      <w:pPr>
        <w:spacing w:after="0" w:line="3" w:lineRule="exact"/>
        <w:rPr>
          <w:rFonts w:ascii="Calibri" w:cs="Calibri" w:eastAsia="Calibri" w:hAnsi="Calibri"/>
          <w:sz w:val="18"/>
          <w:szCs w:val="18"/>
          <w:color w:val="auto"/>
        </w:rPr>
      </w:pPr>
    </w:p>
    <w:p>
      <w:pPr>
        <w:jc w:val="both"/>
        <w:ind w:left="660" w:hanging="328"/>
        <w:spacing w:after="0" w:line="235" w:lineRule="auto"/>
        <w:tabs>
          <w:tab w:leader="none" w:pos="66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i w:val="1"/>
          <w:iCs w:val="1"/>
          <w:u w:val="single" w:color="auto"/>
          <w:color w:val="auto"/>
        </w:rPr>
        <w:t>Giving Trading Advice</w:t>
      </w:r>
      <w:r>
        <w:rPr>
          <w:rFonts w:ascii="Calibri" w:cs="Calibri" w:eastAsia="Calibri" w:hAnsi="Calibri"/>
          <w:sz w:val="18"/>
          <w:szCs w:val="18"/>
          <w:color w:val="auto"/>
        </w:rPr>
        <w:t>. No Covered Person may give trading advice of any kind about the Company to anyone, whether or not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such Covered Person is aware of MNPI about the Company, except that Covered Persons should advise other Covered Persons not to trade if such trading might violate the law or this Policy.</w:t>
      </w:r>
    </w:p>
    <w:p>
      <w:pPr>
        <w:spacing w:after="0" w:line="2" w:lineRule="exact"/>
        <w:rPr>
          <w:rFonts w:ascii="Calibri" w:cs="Calibri" w:eastAsia="Calibri" w:hAnsi="Calibri"/>
          <w:sz w:val="18"/>
          <w:szCs w:val="18"/>
          <w:color w:val="auto"/>
        </w:rPr>
      </w:pPr>
    </w:p>
    <w:p>
      <w:pPr>
        <w:jc w:val="both"/>
        <w:ind w:left="660" w:hanging="328"/>
        <w:spacing w:after="0" w:line="235" w:lineRule="auto"/>
        <w:tabs>
          <w:tab w:leader="none" w:pos="660" w:val="left"/>
        </w:tabs>
        <w:numPr>
          <w:ilvl w:val="0"/>
          <w:numId w:val="160"/>
        </w:numPr>
        <w:rPr>
          <w:rFonts w:ascii="Calibri" w:cs="Calibri" w:eastAsia="Calibri" w:hAnsi="Calibri"/>
          <w:sz w:val="18"/>
          <w:szCs w:val="18"/>
          <w:color w:val="auto"/>
        </w:rPr>
      </w:pPr>
      <w:r>
        <w:rPr>
          <w:rFonts w:ascii="Calibri" w:cs="Calibri" w:eastAsia="Calibri" w:hAnsi="Calibri"/>
          <w:sz w:val="18"/>
          <w:szCs w:val="18"/>
          <w:b w:val="1"/>
          <w:bCs w:val="1"/>
          <w:i w:val="1"/>
          <w:iCs w:val="1"/>
          <w:u w:val="single" w:color="auto"/>
          <w:color w:val="auto"/>
        </w:rPr>
        <w:t>Trading in Other Companies’ Securites</w:t>
      </w:r>
      <w:r>
        <w:rPr>
          <w:rFonts w:ascii="Calibri" w:cs="Calibri" w:eastAsia="Calibri" w:hAnsi="Calibri"/>
          <w:sz w:val="18"/>
          <w:szCs w:val="18"/>
          <w:color w:val="auto"/>
        </w:rPr>
        <w:t>. Covered Persons are prohibited from trading or recommending that another person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trade in the securites of another company about which the Covered Person has MNPI acquired through his or her positon with the Company, including other companies with which the Company has a business relatonship or economic link such as the Company's suppliers, customers, partners, or compettors. Note that informaton not material to the Company may be material to another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4</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5" w:name="page256"/>
    <w:bookmarkEnd w:id="255"/>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F. Trading Procedures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below trading procedures (hereinafer “</w:t>
      </w:r>
      <w:r>
        <w:rPr>
          <w:rFonts w:ascii="Calibri" w:cs="Calibri" w:eastAsia="Calibri" w:hAnsi="Calibri"/>
          <w:sz w:val="18"/>
          <w:szCs w:val="18"/>
          <w:b w:val="1"/>
          <w:bCs w:val="1"/>
          <w:color w:val="auto"/>
        </w:rPr>
        <w:t>Trading Procedures</w:t>
      </w:r>
      <w:r>
        <w:rPr>
          <w:rFonts w:ascii="Calibri" w:cs="Calibri" w:eastAsia="Calibri" w:hAnsi="Calibri"/>
          <w:sz w:val="18"/>
          <w:szCs w:val="18"/>
          <w:color w:val="auto"/>
        </w:rPr>
        <w:t>”) apply to all transactons in the Company’s securites (including American Depositary Shares, ordinary shares or any other equity or debt securites of the Company) by all Covered Persons, unless otherwise specifed in this Policy.</w:t>
      </w:r>
    </w:p>
    <w:p>
      <w:pPr>
        <w:spacing w:after="0" w:line="173" w:lineRule="exact"/>
        <w:rPr>
          <w:sz w:val="20"/>
          <w:szCs w:val="20"/>
          <w:color w:val="auto"/>
        </w:rPr>
      </w:pPr>
    </w:p>
    <w:p>
      <w:pPr>
        <w:ind w:left="340" w:hanging="332"/>
        <w:spacing w:after="0"/>
        <w:tabs>
          <w:tab w:leader="none" w:pos="340" w:val="left"/>
        </w:tabs>
        <w:numPr>
          <w:ilvl w:val="0"/>
          <w:numId w:val="16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Determinaton of no MNPI</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Before any trade of the Company’s securites or another company’s securites, Covered Persons must determine that they do not have knowledge of, or are in possession of, MNPI concerning the Company or the other company. If you have any doubt as to whether or not you have MNPI, or if you may buy or sell the Company’s securites or another company’s securites, you must consult with the NetEase Group General Counsel or the Group Internatonal Legal Department (“</w:t>
      </w:r>
      <w:r>
        <w:rPr>
          <w:rFonts w:ascii="Calibri" w:cs="Calibri" w:eastAsia="Calibri" w:hAnsi="Calibri"/>
          <w:sz w:val="18"/>
          <w:szCs w:val="18"/>
          <w:b w:val="1"/>
          <w:bCs w:val="1"/>
          <w:color w:val="auto"/>
        </w:rPr>
        <w:t>Legal</w:t>
      </w:r>
      <w:r>
        <w:rPr>
          <w:rFonts w:ascii="Calibri" w:cs="Calibri" w:eastAsia="Calibri" w:hAnsi="Calibri"/>
          <w:sz w:val="18"/>
          <w:szCs w:val="18"/>
          <w:color w:val="auto"/>
        </w:rPr>
        <w:t>”).</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Please remember that – regardless of any consultaton with Legal – it is ultmately your responsibility to ensure that you do not know of or possess MNPI at the tme of the trade.</w:t>
      </w:r>
    </w:p>
    <w:p>
      <w:pPr>
        <w:spacing w:after="0" w:line="172" w:lineRule="exact"/>
        <w:rPr>
          <w:sz w:val="20"/>
          <w:szCs w:val="20"/>
          <w:color w:val="auto"/>
        </w:rPr>
      </w:pPr>
    </w:p>
    <w:p>
      <w:pPr>
        <w:ind w:left="340" w:hanging="332"/>
        <w:spacing w:after="0"/>
        <w:tabs>
          <w:tab w:leader="none" w:pos="340" w:val="left"/>
        </w:tabs>
        <w:numPr>
          <w:ilvl w:val="0"/>
          <w:numId w:val="16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Waitng Period afer Public Disseminaton of MNPI</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general, Covered Persons should allow at least </w:t>
      </w:r>
      <w:r>
        <w:rPr>
          <w:rFonts w:ascii="Calibri" w:cs="Calibri" w:eastAsia="Calibri" w:hAnsi="Calibri"/>
          <w:sz w:val="18"/>
          <w:szCs w:val="18"/>
          <w:b w:val="1"/>
          <w:bCs w:val="1"/>
          <w:i w:val="1"/>
          <w:iCs w:val="1"/>
          <w:color w:val="auto"/>
        </w:rPr>
        <w:t>one full Trading Day</w:t>
      </w:r>
      <w:r>
        <w:rPr>
          <w:rFonts w:ascii="Calibri" w:cs="Calibri" w:eastAsia="Calibri" w:hAnsi="Calibri"/>
          <w:sz w:val="18"/>
          <w:szCs w:val="18"/>
          <w:color w:val="auto"/>
        </w:rPr>
        <w:t xml:space="preserve"> afer public disclosure of MNPI by the Company for it to become widely disseminated to the public. “</w:t>
      </w:r>
      <w:r>
        <w:rPr>
          <w:rFonts w:ascii="Calibri" w:cs="Calibri" w:eastAsia="Calibri" w:hAnsi="Calibri"/>
          <w:sz w:val="18"/>
          <w:szCs w:val="18"/>
          <w:b w:val="1"/>
          <w:bCs w:val="1"/>
          <w:color w:val="auto"/>
        </w:rPr>
        <w:t>Trading Day</w:t>
      </w:r>
      <w:r>
        <w:rPr>
          <w:rFonts w:ascii="Calibri" w:cs="Calibri" w:eastAsia="Calibri" w:hAnsi="Calibri"/>
          <w:sz w:val="18"/>
          <w:szCs w:val="18"/>
          <w:color w:val="auto"/>
        </w:rPr>
        <w:t>” means a day on which the Nasdaq Global Select Market is open for trading. Nasdaq’s regular trading hours are from 9:30 a.m. to 4:00 p.m. Eastern Standard Time (“</w:t>
      </w:r>
      <w:r>
        <w:rPr>
          <w:rFonts w:ascii="Calibri" w:cs="Calibri" w:eastAsia="Calibri" w:hAnsi="Calibri"/>
          <w:sz w:val="18"/>
          <w:szCs w:val="18"/>
          <w:b w:val="1"/>
          <w:bCs w:val="1"/>
          <w:color w:val="auto"/>
        </w:rPr>
        <w:t>EST</w:t>
      </w:r>
      <w:r>
        <w:rPr>
          <w:rFonts w:ascii="Calibri" w:cs="Calibri" w:eastAsia="Calibri" w:hAnsi="Calibri"/>
          <w:sz w:val="18"/>
          <w:szCs w:val="18"/>
          <w:color w:val="auto"/>
        </w:rPr>
        <w:t>”), Monday through Friday.</w:t>
      </w:r>
    </w:p>
    <w:p>
      <w:pPr>
        <w:spacing w:after="0" w:line="173" w:lineRule="exact"/>
        <w:rPr>
          <w:sz w:val="20"/>
          <w:szCs w:val="20"/>
          <w:color w:val="auto"/>
        </w:rPr>
      </w:pPr>
    </w:p>
    <w:p>
      <w:pPr>
        <w:ind w:left="340" w:hanging="332"/>
        <w:spacing w:after="0"/>
        <w:tabs>
          <w:tab w:leader="none" w:pos="340" w:val="left"/>
        </w:tabs>
        <w:numPr>
          <w:ilvl w:val="0"/>
          <w:numId w:val="16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Blackout Period</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Legal may declare “</w:t>
      </w:r>
      <w:r>
        <w:rPr>
          <w:rFonts w:ascii="Calibri" w:cs="Calibri" w:eastAsia="Calibri" w:hAnsi="Calibri"/>
          <w:sz w:val="18"/>
          <w:szCs w:val="18"/>
          <w:b w:val="1"/>
          <w:bCs w:val="1"/>
          <w:color w:val="auto"/>
        </w:rPr>
        <w:t>Blackout Periods</w:t>
      </w:r>
      <w:r>
        <w:rPr>
          <w:rFonts w:ascii="Calibri" w:cs="Calibri" w:eastAsia="Calibri" w:hAnsi="Calibri"/>
          <w:sz w:val="18"/>
          <w:szCs w:val="18"/>
          <w:color w:val="auto"/>
        </w:rPr>
        <w:t>” at the tmes that they deem appropriate and need not provide any reason for making a declaraton. During such Blackout Periods, no Covered Persons designated by Legal can trade in Company securites (or any other company’s securites as designated by Legal) without pre-clearance by Legal, regardless of whether such Covered Persons possess any MNPI. Persons made aware of a Blackout Period should not disclose it to anyone else.</w:t>
      </w:r>
    </w:p>
    <w:p>
      <w:pPr>
        <w:spacing w:after="0" w:line="188" w:lineRule="exact"/>
        <w:rPr>
          <w:sz w:val="20"/>
          <w:szCs w:val="20"/>
          <w:color w:val="auto"/>
        </w:rPr>
      </w:pPr>
    </w:p>
    <w:p>
      <w:pPr>
        <w:ind w:left="340" w:hanging="332"/>
        <w:spacing w:after="0"/>
        <w:tabs>
          <w:tab w:leader="none" w:pos="340" w:val="left"/>
        </w:tabs>
        <w:numPr>
          <w:ilvl w:val="0"/>
          <w:numId w:val="16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Trading Window</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Covered Persons shall only conduct transactons involving the purchase or sale of Company securites during designated “Trading Windows”.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purposes of this Policy, the “</w:t>
      </w:r>
      <w:r>
        <w:rPr>
          <w:rFonts w:ascii="Calibri" w:cs="Calibri" w:eastAsia="Calibri" w:hAnsi="Calibri"/>
          <w:sz w:val="18"/>
          <w:szCs w:val="18"/>
          <w:b w:val="1"/>
          <w:bCs w:val="1"/>
          <w:color w:val="auto"/>
        </w:rPr>
        <w:t>Trading Window</w:t>
      </w:r>
      <w:r>
        <w:rPr>
          <w:rFonts w:ascii="Calibri" w:cs="Calibri" w:eastAsia="Calibri" w:hAnsi="Calibri"/>
          <w:sz w:val="18"/>
          <w:szCs w:val="18"/>
          <w:color w:val="auto"/>
        </w:rPr>
        <w:t>” for any fscal quarter generally begins at 6:00 p.m. EST, on the second Trading Day following the date of public disclosure of the fnancial results for the prior quarter or year, and ends at 6:00 p.m. EST, on the last day of each quarter (March 31, June 30,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5</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6" w:name="page257"/>
    <w:bookmarkEnd w:id="256"/>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September 30 and December 31). If public disclosure occurs on a Trading Day prior to 12:00 noon EST, then such date of disclosure shall be considered the frst Trading Day following such public disclosure. See </w:t>
      </w:r>
      <w:r>
        <w:rPr>
          <w:rFonts w:ascii="Calibri" w:cs="Calibri" w:eastAsia="Calibri" w:hAnsi="Calibri"/>
          <w:sz w:val="18"/>
          <w:szCs w:val="18"/>
          <w:b w:val="1"/>
          <w:bCs w:val="1"/>
          <w:i w:val="1"/>
          <w:iCs w:val="1"/>
          <w:color w:val="auto"/>
        </w:rPr>
        <w:t>Atachment A</w:t>
      </w:r>
      <w:r>
        <w:rPr>
          <w:rFonts w:ascii="Calibri" w:cs="Calibri" w:eastAsia="Calibri" w:hAnsi="Calibri"/>
          <w:sz w:val="18"/>
          <w:szCs w:val="18"/>
          <w:color w:val="auto"/>
        </w:rPr>
        <w:t xml:space="preserve"> for sample dates and tmes for the opening and closing of a Trading Window.</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Trading in the Company’s securites during the Trading Window should not be considered a “safe harbor.</w:t>
      </w:r>
      <w:r>
        <w:rPr>
          <w:rFonts w:ascii="Calibri" w:cs="Calibri" w:eastAsia="Calibri" w:hAnsi="Calibri"/>
          <w:sz w:val="18"/>
          <w:szCs w:val="18"/>
          <w:color w:val="auto"/>
        </w:rPr>
        <w:t>” All Covered Persons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expected to use good judgment when trading in securites. Even during a Trading Window, any person with knowledge or possession of MNPI concerning the Company should not engage in any transactons in the Company’s securites untl such informaton has been widely disseminated to the public (see </w:t>
      </w:r>
      <w:r>
        <w:rPr>
          <w:rFonts w:ascii="Calibri" w:cs="Calibri" w:eastAsia="Calibri" w:hAnsi="Calibri"/>
          <w:sz w:val="18"/>
          <w:szCs w:val="18"/>
          <w:i w:val="1"/>
          <w:iCs w:val="1"/>
          <w:color w:val="auto"/>
        </w:rPr>
        <w:t>Secton F.2</w:t>
      </w:r>
      <w:r>
        <w:rPr>
          <w:rFonts w:ascii="Calibri" w:cs="Calibri" w:eastAsia="Calibri" w:hAnsi="Calibri"/>
          <w:sz w:val="18"/>
          <w:szCs w:val="18"/>
          <w:color w:val="auto"/>
        </w:rPr>
        <w:t xml:space="preserve"> above).</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From tme to tme, the Company may impose a Blackout Period which may suspend any open Trading Windows for designated Covered Persons. During such Blackout Periods, the rules specifed in </w:t>
      </w:r>
      <w:r>
        <w:rPr>
          <w:rFonts w:ascii="Calibri" w:cs="Calibri" w:eastAsia="Calibri" w:hAnsi="Calibri"/>
          <w:sz w:val="18"/>
          <w:szCs w:val="18"/>
          <w:i w:val="1"/>
          <w:iCs w:val="1"/>
          <w:color w:val="auto"/>
        </w:rPr>
        <w:t>Secton F.3</w:t>
      </w:r>
      <w:r>
        <w:rPr>
          <w:rFonts w:ascii="Calibri" w:cs="Calibri" w:eastAsia="Calibri" w:hAnsi="Calibri"/>
          <w:sz w:val="18"/>
          <w:szCs w:val="18"/>
          <w:color w:val="auto"/>
        </w:rPr>
        <w:t xml:space="preserve"> above shall apply.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of Directors of NetEase, in its sole discreton, may approve additonal open Trading Windows from tme to tme.</w:t>
      </w:r>
    </w:p>
    <w:p>
      <w:pPr>
        <w:spacing w:after="0" w:line="172" w:lineRule="exact"/>
        <w:rPr>
          <w:sz w:val="20"/>
          <w:szCs w:val="20"/>
          <w:color w:val="auto"/>
        </w:rPr>
      </w:pPr>
    </w:p>
    <w:p>
      <w:pPr>
        <w:ind w:left="340" w:hanging="332"/>
        <w:spacing w:after="0"/>
        <w:tabs>
          <w:tab w:leader="none" w:pos="340" w:val="left"/>
        </w:tabs>
        <w:numPr>
          <w:ilvl w:val="0"/>
          <w:numId w:val="16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Pre-Clearance of Insider Trades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All purchases and sales of the Company’s securites by Insiders and their Family Members and Controlled Enttes must be pre-cleared by Legal, even during Trading Windows. </w:t>
      </w:r>
      <w:r>
        <w:rPr>
          <w:rFonts w:ascii="Calibri" w:cs="Calibri" w:eastAsia="Calibri" w:hAnsi="Calibri"/>
          <w:sz w:val="18"/>
          <w:szCs w:val="18"/>
          <w:color w:val="auto"/>
        </w:rPr>
        <w:t>The only excepton to this rule is transactons made under a Rule 10b5-1 trading plan approved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pursuant to the terms and requirements set forth in </w:t>
      </w:r>
      <w:r>
        <w:rPr>
          <w:rFonts w:ascii="Calibri" w:cs="Calibri" w:eastAsia="Calibri" w:hAnsi="Calibri"/>
          <w:sz w:val="18"/>
          <w:szCs w:val="18"/>
          <w:b w:val="1"/>
          <w:bCs w:val="1"/>
          <w:i w:val="1"/>
          <w:iCs w:val="1"/>
          <w:color w:val="auto"/>
        </w:rPr>
        <w:t>Atachment B</w:t>
      </w:r>
      <w:r>
        <w:rPr>
          <w:rFonts w:ascii="Calibri" w:cs="Calibri" w:eastAsia="Calibri" w:hAnsi="Calibri"/>
          <w:sz w:val="18"/>
          <w:szCs w:val="18"/>
          <w:color w:val="auto"/>
        </w:rPr>
        <w:t xml:space="preserve"> of this Policy.</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purposes of this Policy, “</w:t>
      </w:r>
      <w:r>
        <w:rPr>
          <w:rFonts w:ascii="Calibri" w:cs="Calibri" w:eastAsia="Calibri" w:hAnsi="Calibri"/>
          <w:sz w:val="18"/>
          <w:szCs w:val="18"/>
          <w:b w:val="1"/>
          <w:bCs w:val="1"/>
          <w:color w:val="auto"/>
        </w:rPr>
        <w:t>Insider</w:t>
      </w:r>
      <w:r>
        <w:rPr>
          <w:rFonts w:ascii="Calibri" w:cs="Calibri" w:eastAsia="Calibri" w:hAnsi="Calibri"/>
          <w:sz w:val="18"/>
          <w:szCs w:val="18"/>
          <w:color w:val="auto"/>
        </w:rPr>
        <w:t xml:space="preserve">” is defned to include: (i) board directors and executve ofcers of NetEase, Inc., as indicated in the Company’s most recent annual report (subject to any updates occurring subsequent to the publicaton of such report) and (ii) any individuals designated by Legal and who have been notfed of such designaton in writng. Legal shall maintain a list of the individuals covered by (ii), which shall be reviewed and updated periodically. See </w:t>
      </w:r>
      <w:r>
        <w:rPr>
          <w:rFonts w:ascii="Calibri" w:cs="Calibri" w:eastAsia="Calibri" w:hAnsi="Calibri"/>
          <w:sz w:val="18"/>
          <w:szCs w:val="18"/>
          <w:b w:val="1"/>
          <w:bCs w:val="1"/>
          <w:i w:val="1"/>
          <w:iCs w:val="1"/>
          <w:color w:val="auto"/>
        </w:rPr>
        <w:t>Atachment C</w:t>
      </w:r>
      <w:r>
        <w:rPr>
          <w:rFonts w:ascii="Calibri" w:cs="Calibri" w:eastAsia="Calibri" w:hAnsi="Calibri"/>
          <w:sz w:val="18"/>
          <w:szCs w:val="18"/>
          <w:color w:val="auto"/>
        </w:rPr>
        <w:t xml:space="preserve"> for additonal informaton on the categories of individuals who may be designated as “Insiders”.</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Insiders must submit pre-clearance requests by email to Legal at least </w:t>
      </w:r>
      <w:r>
        <w:rPr>
          <w:rFonts w:ascii="Calibri" w:cs="Calibri" w:eastAsia="Calibri" w:hAnsi="Calibri"/>
          <w:sz w:val="18"/>
          <w:szCs w:val="18"/>
          <w:b w:val="1"/>
          <w:bCs w:val="1"/>
          <w:i w:val="1"/>
          <w:iCs w:val="1"/>
          <w:color w:val="auto"/>
        </w:rPr>
        <w:t>two business days</w:t>
      </w:r>
      <w:r>
        <w:rPr>
          <w:rFonts w:ascii="Calibri" w:cs="Calibri" w:eastAsia="Calibri" w:hAnsi="Calibri"/>
          <w:sz w:val="18"/>
          <w:szCs w:val="18"/>
          <w:color w:val="auto"/>
        </w:rPr>
        <w:t xml:space="preserve"> in advance of each proposed transacton. Pre-clearance requests should use the email template in </w:t>
      </w:r>
      <w:r>
        <w:rPr>
          <w:rFonts w:ascii="Calibri" w:cs="Calibri" w:eastAsia="Calibri" w:hAnsi="Calibri"/>
          <w:sz w:val="18"/>
          <w:szCs w:val="18"/>
          <w:b w:val="1"/>
          <w:bCs w:val="1"/>
          <w:i w:val="1"/>
          <w:iCs w:val="1"/>
          <w:color w:val="auto"/>
        </w:rPr>
        <w:t>Atachment C</w:t>
      </w:r>
      <w:r>
        <w:rPr>
          <w:rFonts w:ascii="Calibri" w:cs="Calibri" w:eastAsia="Calibri" w:hAnsi="Calibri"/>
          <w:sz w:val="18"/>
          <w:szCs w:val="18"/>
          <w:color w:val="auto"/>
        </w:rPr>
        <w:t xml:space="preserve"> of this Policy.</w:t>
      </w:r>
    </w:p>
    <w:p>
      <w:pPr>
        <w:spacing w:after="0" w:line="177"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Once the proposed transacton is pre-cleared, the Insider may proceed with it on the approved terms, provided that the Insider complies with all other provisions of this Policy and all securites law requirements such as, in the case of directors, ofcers and other afliates of the Company, Rule 144 of the U.S. Securites Act of 1933, as amended (“</w:t>
      </w:r>
      <w:r>
        <w:rPr>
          <w:rFonts w:ascii="Calibri" w:cs="Calibri" w:eastAsia="Calibri" w:hAnsi="Calibri"/>
          <w:sz w:val="17"/>
          <w:szCs w:val="17"/>
          <w:b w:val="1"/>
          <w:bCs w:val="1"/>
          <w:color w:val="auto"/>
        </w:rPr>
        <w:t>Rule 144</w:t>
      </w:r>
      <w:r>
        <w:rPr>
          <w:rFonts w:ascii="Calibri" w:cs="Calibri" w:eastAsia="Calibri" w:hAnsi="Calibri"/>
          <w:sz w:val="17"/>
          <w:szCs w:val="17"/>
          <w:color w:val="auto"/>
        </w:rPr>
        <w:t>”).</w:t>
      </w:r>
      <w:r>
        <w:rPr>
          <w:rFonts w:ascii="Calibri" w:cs="Calibri" w:eastAsia="Calibri" w:hAnsi="Calibri"/>
          <w:sz w:val="12"/>
          <w:szCs w:val="12"/>
          <w:color w:val="auto"/>
        </w:rPr>
        <w:t>4</w:t>
      </w:r>
      <w:r>
        <w:rPr>
          <w:rFonts w:ascii="Calibri" w:cs="Calibri" w:eastAsia="Calibri" w:hAnsi="Calibri"/>
          <w:sz w:val="17"/>
          <w:szCs w:val="17"/>
          <w:color w:val="auto"/>
        </w:rPr>
        <w:t xml:space="preserve"> Notwithstanding receipt of pre-clearance,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15684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6" w:lineRule="exact"/>
        <w:rPr>
          <w:sz w:val="20"/>
          <w:szCs w:val="20"/>
          <w:color w:val="auto"/>
        </w:rPr>
      </w:pPr>
    </w:p>
    <w:p>
      <w:pPr>
        <w:ind w:left="340" w:hanging="332"/>
        <w:spacing w:after="0"/>
        <w:tabs>
          <w:tab w:leader="none" w:pos="340" w:val="left"/>
        </w:tabs>
        <w:numPr>
          <w:ilvl w:val="0"/>
          <w:numId w:val="166"/>
        </w:numPr>
        <w:rPr>
          <w:rFonts w:ascii="Calibri" w:cs="Calibri" w:eastAsia="Calibri" w:hAnsi="Calibri"/>
          <w:sz w:val="13"/>
          <w:szCs w:val="13"/>
          <w:color w:val="auto"/>
        </w:rPr>
      </w:pPr>
      <w:r>
        <w:rPr>
          <w:rFonts w:ascii="Calibri" w:cs="Calibri" w:eastAsia="Calibri" w:hAnsi="Calibri"/>
          <w:sz w:val="18"/>
          <w:szCs w:val="18"/>
          <w:color w:val="auto"/>
        </w:rPr>
        <w:t>If you have any questons regarding Rule 144, please contact Legal for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6</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7" w:name="page258"/>
    <w:bookmarkEnd w:id="257"/>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Insider becomes aware of MNPI, or becomes subject to a blackout period before the transacton is efected, the transacton may not be completed.</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Any transactons by the NetEase Group General Counsel shall be subject to pre-clearance by the Chief Executve Ofcer, using the same procedures described above.</w:t>
      </w:r>
    </w:p>
    <w:p>
      <w:pPr>
        <w:spacing w:after="0" w:line="186" w:lineRule="exact"/>
        <w:rPr>
          <w:sz w:val="20"/>
          <w:szCs w:val="20"/>
          <w:color w:val="auto"/>
        </w:rPr>
      </w:pPr>
    </w:p>
    <w:p>
      <w:pPr>
        <w:ind w:left="340" w:hanging="332"/>
        <w:spacing w:after="0"/>
        <w:tabs>
          <w:tab w:leader="none" w:pos="340" w:val="left"/>
        </w:tabs>
        <w:numPr>
          <w:ilvl w:val="0"/>
          <w:numId w:val="16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Foregoing Certain Transactons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comply with this Policy, a Covered Person may, from tme to tme, have to forego a proposed transacton in the Company’s securites. This may be required even if, for example, he or she planned to make the transacton before learning of MNPI, or where the Covered Person may sufer an economic loss or forego antcipated proft by doing so.</w:t>
      </w:r>
    </w:p>
    <w:p>
      <w:pPr>
        <w:spacing w:after="0" w:line="173" w:lineRule="exact"/>
        <w:rPr>
          <w:sz w:val="20"/>
          <w:szCs w:val="20"/>
          <w:color w:val="auto"/>
        </w:rPr>
      </w:pPr>
    </w:p>
    <w:p>
      <w:pPr>
        <w:ind w:left="340" w:hanging="332"/>
        <w:spacing w:after="0"/>
        <w:tabs>
          <w:tab w:leader="none" w:pos="340" w:val="left"/>
        </w:tabs>
        <w:numPr>
          <w:ilvl w:val="0"/>
          <w:numId w:val="16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Post-Terminaton Transactons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This Policy contnues to apply to transactons in the Company’s securites afer terminaton of service to the Company. If an individual is in possession of MNPI when his or her service terminates, or if the Company’s trading window is closed at the tme of terminaton, that individual may not trade in the Company’s securites untl any such MNPI has become public or is no longer material and/or the Company’s trading window has opened. The pre-clearance procedures specifed in </w:t>
      </w:r>
      <w:r>
        <w:rPr>
          <w:rFonts w:ascii="Calibri" w:cs="Calibri" w:eastAsia="Calibri" w:hAnsi="Calibri"/>
          <w:sz w:val="18"/>
          <w:szCs w:val="18"/>
          <w:i w:val="1"/>
          <w:iCs w:val="1"/>
          <w:color w:val="auto"/>
        </w:rPr>
        <w:t>Secton F.5</w:t>
      </w:r>
      <w:r>
        <w:rPr>
          <w:rFonts w:ascii="Calibri" w:cs="Calibri" w:eastAsia="Calibri" w:hAnsi="Calibri"/>
          <w:sz w:val="18"/>
          <w:szCs w:val="18"/>
          <w:color w:val="auto"/>
        </w:rPr>
        <w:t xml:space="preserve"> above, however, will cease to apply to transactons in the Company’s securites upon the opening of the Company’s trading window and/or expiraton of any special trading blackout period, at which point the provisions set forth in </w:t>
      </w:r>
      <w:r>
        <w:rPr>
          <w:rFonts w:ascii="Calibri" w:cs="Calibri" w:eastAsia="Calibri" w:hAnsi="Calibri"/>
          <w:sz w:val="18"/>
          <w:szCs w:val="18"/>
          <w:i w:val="1"/>
          <w:iCs w:val="1"/>
          <w:color w:val="auto"/>
        </w:rPr>
        <w:t>Secton F.4</w:t>
      </w:r>
      <w:r>
        <w:rPr>
          <w:rFonts w:ascii="Calibri" w:cs="Calibri" w:eastAsia="Calibri" w:hAnsi="Calibri"/>
          <w:sz w:val="18"/>
          <w:szCs w:val="18"/>
          <w:color w:val="auto"/>
        </w:rPr>
        <w:t xml:space="preserve"> above shall no longer apply. Notwithstanding the foregoing, the Company may require certain employees who occupied positons of seniority or high importance (e.g., certain business unit or department heads) to contnue to comply with the Trading Procedures for a reasonable period of tme post-terminaton and will notfy such employees of those requirements in writng.</w:t>
      </w:r>
    </w:p>
    <w:p>
      <w:pPr>
        <w:spacing w:after="0" w:line="16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G. Special and Prohibited Transactons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has determined that there is a heightened legal risk and/or the appearance of improper or inappropriate conduct associated with certain types of transactons by certain persons subject to this Policy. </w:t>
      </w:r>
      <w:r>
        <w:rPr>
          <w:rFonts w:ascii="Calibri" w:cs="Calibri" w:eastAsia="Calibri" w:hAnsi="Calibri"/>
          <w:sz w:val="18"/>
          <w:szCs w:val="18"/>
          <w:b w:val="1"/>
          <w:bCs w:val="1"/>
          <w:i w:val="1"/>
          <w:iCs w:val="1"/>
          <w:color w:val="auto"/>
        </w:rPr>
        <w:t>Atachment D</w:t>
      </w:r>
      <w:r>
        <w:rPr>
          <w:rFonts w:ascii="Calibri" w:cs="Calibri" w:eastAsia="Calibri" w:hAnsi="Calibri"/>
          <w:sz w:val="18"/>
          <w:szCs w:val="18"/>
          <w:color w:val="auto"/>
        </w:rPr>
        <w:t xml:space="preserve"> of this Policy specifes which transactons are prohibited by the Company and which persons are subject to these prohibitons. If a person subject to such prohibitons determines that they must engage in an otherwise prohibited transacton, they must frst contact Legal for pre-clearance prior to engaging in the transacton.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7</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8" w:name="page259"/>
    <w:bookmarkEnd w:id="258"/>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H. Exceptons from the Policy</w:t>
      </w:r>
    </w:p>
    <w:p>
      <w:pPr>
        <w:spacing w:after="0" w:line="19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Trading Procedures do not apply to the types of transactons below, unless otherwise specifcally noted in this Policy or noted in writng by Legal on a case-by-case basis.</w:t>
      </w:r>
    </w:p>
    <w:p>
      <w:pPr>
        <w:spacing w:after="0" w:line="172" w:lineRule="exact"/>
        <w:rPr>
          <w:sz w:val="20"/>
          <w:szCs w:val="20"/>
          <w:color w:val="auto"/>
        </w:rPr>
      </w:pPr>
    </w:p>
    <w:p>
      <w:pPr>
        <w:ind w:left="340" w:hanging="332"/>
        <w:spacing w:after="0"/>
        <w:tabs>
          <w:tab w:leader="none" w:pos="340" w:val="left"/>
        </w:tabs>
        <w:numPr>
          <w:ilvl w:val="0"/>
          <w:numId w:val="16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Restricted Share Units and Other Equity Awards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Trading Procedures do not apply to the vestng and setlement of restricted share units or similar awards or the exercise of share optons.</w:t>
      </w:r>
    </w:p>
    <w:p>
      <w:pPr>
        <w:spacing w:after="0" w:line="19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However, Trading Procedures do apply to any market sale of shares or other Company securites received upon the setlement of any restricted share unit or similar award or the exercise of any opton. The Trading Procedures also apply to any sale of Company securites as part of a broker-assisted cashless exercise of an opton, and any other market sale for the purpose of generatng the cash needed to pay the exercise price of an opton or the taxes withheld by the Company with respect to optons, restricted share units or similar awards.</w:t>
      </w:r>
    </w:p>
    <w:p>
      <w:pPr>
        <w:spacing w:after="0" w:line="163" w:lineRule="exact"/>
        <w:rPr>
          <w:sz w:val="20"/>
          <w:szCs w:val="20"/>
          <w:color w:val="auto"/>
        </w:rPr>
      </w:pPr>
    </w:p>
    <w:p>
      <w:pPr>
        <w:ind w:left="340" w:hanging="332"/>
        <w:spacing w:after="0"/>
        <w:tabs>
          <w:tab w:leader="none" w:pos="340" w:val="left"/>
        </w:tabs>
        <w:numPr>
          <w:ilvl w:val="0"/>
          <w:numId w:val="17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Transactons with the Company</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Trading Procedures do not apply to any purchase of the Company’s securites from the Company or sales of the Company’s securites to the Company.</w:t>
      </w:r>
    </w:p>
    <w:p>
      <w:pPr>
        <w:spacing w:after="0" w:line="172" w:lineRule="exact"/>
        <w:rPr>
          <w:sz w:val="20"/>
          <w:szCs w:val="20"/>
          <w:color w:val="auto"/>
        </w:rPr>
      </w:pPr>
    </w:p>
    <w:p>
      <w:pPr>
        <w:ind w:left="340" w:hanging="332"/>
        <w:spacing w:after="0"/>
        <w:tabs>
          <w:tab w:leader="none" w:pos="340" w:val="left"/>
        </w:tabs>
        <w:numPr>
          <w:ilvl w:val="0"/>
          <w:numId w:val="17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Transactons not Involving a Purchase or Sale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In general, the Trading Procedures do not apply to:</w:t>
      </w:r>
    </w:p>
    <w:p>
      <w:pPr>
        <w:spacing w:after="0" w:line="190" w:lineRule="exact"/>
        <w:rPr>
          <w:sz w:val="20"/>
          <w:szCs w:val="20"/>
          <w:color w:val="auto"/>
        </w:rPr>
      </w:pPr>
    </w:p>
    <w:p>
      <w:pPr>
        <w:jc w:val="both"/>
        <w:ind w:left="660" w:hanging="328"/>
        <w:spacing w:after="0" w:line="235" w:lineRule="auto"/>
        <w:tabs>
          <w:tab w:leader="none" w:pos="660" w:val="left"/>
        </w:tabs>
        <w:numPr>
          <w:ilvl w:val="1"/>
          <w:numId w:val="17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Bona fde </w:t>
      </w:r>
      <w:r>
        <w:rPr>
          <w:rFonts w:ascii="Calibri" w:cs="Calibri" w:eastAsia="Calibri" w:hAnsi="Calibri"/>
          <w:sz w:val="18"/>
          <w:szCs w:val="18"/>
          <w:color w:val="auto"/>
        </w:rPr>
        <w:t>gifs of shares to another person, unless: (i) the Covered Person making the gif has reason to believe that the recipient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intends to sell the Company securites while this Covered Person is aware of MNPI, or (ii) the Covered Person making the gif is subject to partcular trading restrictons as to Company securites and the sales by the recipient of the Company securites occur outside a Trading Window.</w:t>
      </w:r>
    </w:p>
    <w:p>
      <w:pPr>
        <w:spacing w:after="0" w:line="3" w:lineRule="exact"/>
        <w:rPr>
          <w:rFonts w:ascii="Times New Roman" w:cs="Times New Roman" w:eastAsia="Times New Roman" w:hAnsi="Times New Roman"/>
          <w:sz w:val="18"/>
          <w:szCs w:val="18"/>
          <w:color w:val="auto"/>
        </w:rPr>
      </w:pPr>
    </w:p>
    <w:p>
      <w:pPr>
        <w:ind w:left="660" w:right="20" w:hanging="328"/>
        <w:spacing w:after="0" w:line="249" w:lineRule="auto"/>
        <w:tabs>
          <w:tab w:leader="none" w:pos="660" w:val="left"/>
        </w:tabs>
        <w:numPr>
          <w:ilvl w:val="1"/>
          <w:numId w:val="172"/>
        </w:numPr>
        <w:rPr>
          <w:rFonts w:ascii="Times New Roman" w:cs="Times New Roman" w:eastAsia="Times New Roman" w:hAnsi="Times New Roman"/>
          <w:sz w:val="17"/>
          <w:szCs w:val="17"/>
          <w:color w:val="auto"/>
        </w:rPr>
      </w:pPr>
      <w:r>
        <w:rPr>
          <w:rFonts w:ascii="Calibri" w:cs="Calibri" w:eastAsia="Calibri" w:hAnsi="Calibri"/>
          <w:sz w:val="17"/>
          <w:szCs w:val="17"/>
          <w:color w:val="auto"/>
        </w:rPr>
        <w:t>Other transactons not involving a purchase or a sale, such as inheritance of the Company’s securites or receipt of the Company’s securites in a legal setlement, provided that this Policy would apply to any subsequent market sale of such securites.</w:t>
      </w:r>
    </w:p>
    <w:p>
      <w:pPr>
        <w:spacing w:after="0" w:line="1" w:lineRule="exact"/>
        <w:rPr>
          <w:rFonts w:ascii="Times New Roman" w:cs="Times New Roman" w:eastAsia="Times New Roman" w:hAnsi="Times New Roman"/>
          <w:sz w:val="17"/>
          <w:szCs w:val="17"/>
          <w:color w:val="auto"/>
        </w:rPr>
      </w:pPr>
    </w:p>
    <w:p>
      <w:pPr>
        <w:ind w:left="660" w:hanging="328"/>
        <w:spacing w:after="0" w:line="235" w:lineRule="auto"/>
        <w:tabs>
          <w:tab w:leader="none" w:pos="660" w:val="left"/>
        </w:tabs>
        <w:numPr>
          <w:ilvl w:val="1"/>
          <w:numId w:val="17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Transactons in mutual funds that are invested in Company securites or in broad-based exchange traded funds that provide indirect and immaterial exposure to the Company’s securites.</w:t>
      </w:r>
    </w:p>
    <w:p>
      <w:pPr>
        <w:spacing w:after="0" w:line="17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Rule 10b5-1 Trading Plans</w:t>
      </w:r>
    </w:p>
    <w:p>
      <w:pPr>
        <w:spacing w:after="0" w:line="177" w:lineRule="exact"/>
        <w:rPr>
          <w:sz w:val="20"/>
          <w:szCs w:val="20"/>
          <w:color w:val="auto"/>
        </w:rPr>
      </w:pPr>
    </w:p>
    <w:p>
      <w:pPr>
        <w:spacing w:after="0"/>
        <w:rPr>
          <w:sz w:val="20"/>
          <w:szCs w:val="20"/>
          <w:color w:val="auto"/>
        </w:rPr>
      </w:pPr>
      <w:r>
        <w:rPr>
          <w:rFonts w:ascii="Calibri" w:cs="Calibri" w:eastAsia="Calibri" w:hAnsi="Calibri"/>
          <w:sz w:val="17"/>
          <w:szCs w:val="17"/>
          <w:color w:val="auto"/>
        </w:rPr>
        <w:t>The Trading Procedures do not apply to purchases or sales of the Company’s securites made pursuant to a Rule 10b5-1 trading plan that:</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(i) was entered into during a Trading Window, (ii) meets all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8</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59" w:name="page260"/>
    <w:bookmarkEnd w:id="259"/>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requirements of the afrmatve defense provided by Rule 10b5-1 promulgated under the U.S. Securites Exchange Act of 1934, as amended (the “</w:t>
      </w:r>
      <w:r>
        <w:rPr>
          <w:rFonts w:ascii="Calibri" w:cs="Calibri" w:eastAsia="Calibri" w:hAnsi="Calibri"/>
          <w:sz w:val="17"/>
          <w:szCs w:val="17"/>
          <w:b w:val="1"/>
          <w:bCs w:val="1"/>
          <w:color w:val="auto"/>
        </w:rPr>
        <w:t>Exchange Act</w:t>
      </w:r>
      <w:r>
        <w:rPr>
          <w:rFonts w:ascii="Calibri" w:cs="Calibri" w:eastAsia="Calibri" w:hAnsi="Calibri"/>
          <w:sz w:val="17"/>
          <w:szCs w:val="17"/>
          <w:color w:val="auto"/>
        </w:rPr>
        <w:t xml:space="preserve">”), (iii) was pre-cleared in advance pursuant to the terms and requirements set forth in </w:t>
      </w:r>
      <w:r>
        <w:rPr>
          <w:rFonts w:ascii="Calibri" w:cs="Calibri" w:eastAsia="Calibri" w:hAnsi="Calibri"/>
          <w:sz w:val="17"/>
          <w:szCs w:val="17"/>
          <w:b w:val="1"/>
          <w:bCs w:val="1"/>
          <w:color w:val="auto"/>
        </w:rPr>
        <w:t>Atachment B</w:t>
      </w:r>
      <w:r>
        <w:rPr>
          <w:rFonts w:ascii="Calibri" w:cs="Calibri" w:eastAsia="Calibri" w:hAnsi="Calibri"/>
          <w:sz w:val="17"/>
          <w:szCs w:val="17"/>
          <w:color w:val="auto"/>
        </w:rPr>
        <w:t xml:space="preserve"> of this Policy, and (iv) has not been amended or modifed in any respect afer such inital pre-clearance. Please refer to </w:t>
      </w:r>
      <w:r>
        <w:rPr>
          <w:rFonts w:ascii="Calibri" w:cs="Calibri" w:eastAsia="Calibri" w:hAnsi="Calibri"/>
          <w:sz w:val="17"/>
          <w:szCs w:val="17"/>
          <w:b w:val="1"/>
          <w:bCs w:val="1"/>
          <w:color w:val="auto"/>
        </w:rPr>
        <w:t>Atachment B</w:t>
      </w:r>
      <w:r>
        <w:rPr>
          <w:rFonts w:ascii="Calibri" w:cs="Calibri" w:eastAsia="Calibri" w:hAnsi="Calibri"/>
          <w:sz w:val="17"/>
          <w:szCs w:val="17"/>
          <w:color w:val="auto"/>
        </w:rPr>
        <w:t xml:space="preserve"> for more informaton.</w:t>
      </w:r>
    </w:p>
    <w:p>
      <w:pPr>
        <w:spacing w:after="0" w:line="1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I. Trading in Listed Subsidiaries of the Company</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NetEase, Inc. has publicly listed subsidiaries, including Youdao, Inc, and NetEase Cloud Music Inc. (hereinafer, along with any other subsidiaries listed on Hong Kong Stock Exchange, Nasdaq, the New York Stock Exchange or any other exchange, a “</w:t>
      </w:r>
      <w:r>
        <w:rPr>
          <w:rFonts w:ascii="Calibri" w:cs="Calibri" w:eastAsia="Calibri" w:hAnsi="Calibri"/>
          <w:sz w:val="18"/>
          <w:szCs w:val="18"/>
          <w:b w:val="1"/>
          <w:bCs w:val="1"/>
          <w:color w:val="auto"/>
        </w:rPr>
        <w:t>Listed Subsidiary</w:t>
      </w:r>
      <w:r>
        <w:rPr>
          <w:rFonts w:ascii="Calibri" w:cs="Calibri" w:eastAsia="Calibri" w:hAnsi="Calibri"/>
          <w:sz w:val="18"/>
          <w:szCs w:val="18"/>
          <w:color w:val="auto"/>
        </w:rPr>
        <w:t>”).</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Covered Persons who wishes to trade in the securites of any </w:t>
      </w:r>
      <w:r>
        <w:rPr>
          <w:rFonts w:ascii="Calibri" w:cs="Calibri" w:eastAsia="Calibri" w:hAnsi="Calibri"/>
          <w:sz w:val="18"/>
          <w:szCs w:val="18"/>
          <w:b w:val="1"/>
          <w:bCs w:val="1"/>
          <w:color w:val="auto"/>
        </w:rPr>
        <w:t>Listed Subsidiary</w:t>
      </w:r>
      <w:r>
        <w:rPr>
          <w:rFonts w:ascii="Calibri" w:cs="Calibri" w:eastAsia="Calibri" w:hAnsi="Calibri"/>
          <w:sz w:val="18"/>
          <w:szCs w:val="18"/>
          <w:color w:val="auto"/>
        </w:rPr>
        <w:t xml:space="preserve"> must: (i) only trade within the trading windows of such Listed Subsidiary, (ii) follow the instructons and notces with respect to the tme of any applicable trading window or blackout period established by the Company or any Listed Subsidiary, and (iii) comply with the rules and prohibitons regarding MNPI in this Policy and all applicable insider trading policies and procedures of the relevant Listed Subsidiary.</w:t>
      </w:r>
      <w:r>
        <w:rPr>
          <w:rFonts w:ascii="Calibri" w:cs="Calibri" w:eastAsia="Calibri" w:hAnsi="Calibri"/>
          <w:sz w:val="13"/>
          <w:szCs w:val="13"/>
          <w:color w:val="auto"/>
        </w:rPr>
        <w:t>5</w:t>
      </w:r>
    </w:p>
    <w:p>
      <w:pPr>
        <w:spacing w:after="0" w:line="160"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J. Violatons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violaton of this Policy will be considered a material breach of your dutes to the Company and will result in appropriate disciplinary measures in accordance with our Code of Business Conduct and your Employee Handbook. Violatons of this Policy may also result in ineligibility for future partcipaton in the Company’s share incentve plans.</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violatons of this policy may also be a violaton of applicable insider trading laws and other securites laws and regulatons, including U.S. federal and state laws and regulatons, Hong Kong SAR laws and regulatons, and/or the securites laws and regulatons of another country in which you work or reside. Legal liabilites for violatng such laws include criminal penaltes (including the possibility of imprisonment), civil penaltes, and certain injunctons and prohibitons. Such violatons – or even allegatons of violatons – are expensive to defend and tend to signifcantly impact the reputaton of the Company and the individuals involved.</w:t>
      </w: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reserves the right to determine, in its own discreton and on the basis of informaton available to it, whether this Policy has been violated. It is not necessary for the Company to await the fling or conclusion of a civil or criminal acton against the alleged violator before taking disciplinary acton. As a mater of principle, the Company will cooperate with all relevant law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15684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74" w:lineRule="exact"/>
        <w:rPr>
          <w:sz w:val="20"/>
          <w:szCs w:val="20"/>
          <w:color w:val="auto"/>
        </w:rPr>
      </w:pPr>
    </w:p>
    <w:p>
      <w:pPr>
        <w:ind w:left="340" w:right="80" w:hanging="332"/>
        <w:spacing w:after="0" w:line="235" w:lineRule="auto"/>
        <w:tabs>
          <w:tab w:leader="none" w:pos="340" w:val="left"/>
        </w:tabs>
        <w:numPr>
          <w:ilvl w:val="0"/>
          <w:numId w:val="173"/>
        </w:numPr>
        <w:rPr>
          <w:rFonts w:ascii="Calibri" w:cs="Calibri" w:eastAsia="Calibri" w:hAnsi="Calibri"/>
          <w:sz w:val="13"/>
          <w:szCs w:val="13"/>
          <w:color w:val="auto"/>
        </w:rPr>
      </w:pPr>
      <w:r>
        <w:rPr>
          <w:rFonts w:ascii="Calibri" w:cs="Calibri" w:eastAsia="Calibri" w:hAnsi="Calibri"/>
          <w:sz w:val="18"/>
          <w:szCs w:val="18"/>
          <w:color w:val="auto"/>
        </w:rPr>
        <w:t>If a Listed Subsidiary does not have its own insider trading policy, then Covered Persons will need to comply with all relevant rules and requirements of this Policy when trading in the securites of that Listed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9</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0" w:name="page261"/>
    <w:bookmarkEnd w:id="260"/>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0" w:lineRule="exact"/>
        <w:rPr>
          <w:sz w:val="20"/>
          <w:szCs w:val="20"/>
          <w:color w:val="auto"/>
        </w:rPr>
      </w:pPr>
    </w:p>
    <w:p>
      <w:pPr>
        <w:spacing w:after="0"/>
        <w:rPr>
          <w:sz w:val="20"/>
          <w:szCs w:val="20"/>
          <w:color w:val="auto"/>
        </w:rPr>
      </w:pPr>
      <w:r>
        <w:rPr>
          <w:rFonts w:ascii="Calibri" w:cs="Calibri" w:eastAsia="Calibri" w:hAnsi="Calibri"/>
          <w:sz w:val="18"/>
          <w:szCs w:val="18"/>
          <w:color w:val="auto"/>
        </w:rPr>
        <w:t>authorites in connecton with the investgaton or prosecuton of any actual or possible violaton of this Policy or applicable law.</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Please note that the fact that you are a citzen and/or a resident of one country will not necessarily insulate you from liability for any violatons of the laws of another country. For example, in many instances, a PRC citzen may be sued, prosecuted and imprisoned on account of a violaton of U.S. or Hong Kong law.</w:t>
      </w:r>
    </w:p>
    <w:p>
      <w:pPr>
        <w:spacing w:after="0" w:line="17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K. Questons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Please promptly consult a member of the Group Internatonal Legal Department at internatonal.legal@service.netease.com if you have any questons regarding the Policy or related to securites trading. You should also frst contact Group Internatonal Legal if you are uncertain regarding the applicability, interpretaton and/or operaton of any secton of this Policy.</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would like to report an actual or suspected violaton of this Policy, or would like to raise a concern related to this Policy, you can (in additon to contactng Group Internatonal Legal) use any of the appropriate channels listed in our Code of Business Conduct.</w:t>
      </w:r>
    </w:p>
    <w:p>
      <w:pPr>
        <w:spacing w:after="0" w:line="15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L. Acknowledgement, Training and Certfcaton</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Policy is to be delivered to all colleagues at the start of their relatonships with the Company and will be redelivered to them upon any material amendment to the Policy. This Policy is also available to all colleagues on NetEase’s intranet.</w:t>
      </w:r>
    </w:p>
    <w:p>
      <w:pPr>
        <w:spacing w:after="0" w:line="19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You are also expected to periodically refresh your understanding of this Policy and certfy your ongoing compliance with its requirements by partcipatng in mandatory training and certfcaton actvites.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10</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1" w:name="page262"/>
    <w:bookmarkEnd w:id="261"/>
    <w:p>
      <w:pPr>
        <w:ind w:left="7600"/>
        <w:spacing w:after="0"/>
        <w:rPr>
          <w:sz w:val="20"/>
          <w:szCs w:val="20"/>
          <w:color w:val="auto"/>
        </w:rPr>
      </w:pPr>
      <w:r>
        <w:rPr>
          <w:rFonts w:ascii="Calibri" w:cs="Calibri" w:eastAsia="Calibri" w:hAnsi="Calibri"/>
          <w:sz w:val="18"/>
          <w:szCs w:val="18"/>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3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Atachment A – Trading Window Sample Dates</w:t>
      </w:r>
    </w:p>
    <w:p>
      <w:pPr>
        <w:spacing w:after="0" w:line="19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following table shows sample dates and tmes for the opening and closing of a Trading Window. Please note that the actual dates and tmes for earnings announcements vary from quarter to quarter and from year to year, and therefore the actual opening of a Trading Window may be earlier or later than the ones illustrated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40" w:type="dxa"/>
            <w:vAlign w:val="bottom"/>
            <w:tcBorders>
              <w:top w:val="single" w:sz="8" w:color="auto"/>
              <w:lef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496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gridSpan w:val="2"/>
          </w:tcPr>
          <w:p>
            <w:pPr>
              <w:jc w:val="center"/>
              <w:spacing w:after="0" w:line="207" w:lineRule="exact"/>
              <w:rPr>
                <w:sz w:val="20"/>
                <w:szCs w:val="20"/>
                <w:color w:val="auto"/>
              </w:rPr>
            </w:pPr>
            <w:r>
              <w:rPr>
                <w:rFonts w:ascii="Calibri" w:cs="Calibri" w:eastAsia="Calibri" w:hAnsi="Calibri"/>
                <w:sz w:val="18"/>
                <w:szCs w:val="18"/>
                <w:b w:val="1"/>
                <w:bCs w:val="1"/>
                <w:color w:val="auto"/>
                <w:w w:val="95"/>
              </w:rPr>
              <w:t>Closing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Borders>
              <w:left w:val="single" w:sz="8" w:color="auto"/>
              <w:right w:val="single" w:sz="8" w:color="auto"/>
            </w:tcBorders>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7"/>
              </w:rPr>
              <w:t>Closing of Q2 Trading Window</w:t>
            </w:r>
          </w:p>
        </w:tc>
        <w:tc>
          <w:tcPr>
            <w:tcW w:w="49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7"/>
              </w:rPr>
              <w:t>Q3 Trading Window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Calibri" w:cs="Calibri" w:eastAsia="Calibri" w:hAnsi="Calibri"/>
                <w:sz w:val="18"/>
                <w:szCs w:val="18"/>
                <w:color w:val="auto"/>
                <w:w w:val="97"/>
              </w:rPr>
              <w:t>(end of each quarter)</w:t>
            </w:r>
          </w:p>
        </w:tc>
        <w:tc>
          <w:tcPr>
            <w:tcW w:w="49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gridSpan w:val="2"/>
          </w:tcPr>
          <w:p>
            <w:pPr>
              <w:jc w:val="center"/>
              <w:spacing w:after="0" w:line="216" w:lineRule="exact"/>
              <w:rPr>
                <w:sz w:val="20"/>
                <w:szCs w:val="20"/>
                <w:color w:val="auto"/>
              </w:rPr>
            </w:pPr>
            <w:r>
              <w:rPr>
                <w:rFonts w:ascii="Calibri" w:cs="Calibri" w:eastAsia="Calibri" w:hAnsi="Calibri"/>
                <w:sz w:val="18"/>
                <w:szCs w:val="18"/>
                <w:color w:val="auto"/>
                <w:w w:val="96"/>
              </w:rPr>
              <w:t>(end of each quarter)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960" w:type="dxa"/>
            <w:vAlign w:val="bottom"/>
            <w:tcBorders>
              <w:right w:val="single" w:sz="8" w:color="auto"/>
            </w:tcBorders>
            <w:vMerge w:val="restart"/>
          </w:tcPr>
          <w:p>
            <w:pPr>
              <w:ind w:left="1320"/>
              <w:spacing w:after="0"/>
              <w:rPr>
                <w:sz w:val="20"/>
                <w:szCs w:val="20"/>
                <w:color w:val="auto"/>
              </w:rPr>
            </w:pPr>
            <w:r>
              <w:rPr>
                <w:rFonts w:ascii="Calibri" w:cs="Calibri" w:eastAsia="Calibri" w:hAnsi="Calibri"/>
                <w:sz w:val="18"/>
                <w:szCs w:val="18"/>
                <w:b w:val="1"/>
                <w:bCs w:val="1"/>
                <w:color w:val="auto"/>
              </w:rPr>
              <w:t>Opening of Q3 Trading Window</w:t>
            </w: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Borders>
              <w:left w:val="single" w:sz="8" w:color="auto"/>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6"/>
              </w:rPr>
              <w:t>Eastern Standard</w:t>
            </w:r>
          </w:p>
        </w:tc>
        <w:tc>
          <w:tcPr>
            <w:tcW w:w="1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6"/>
              </w:rPr>
              <w:t>Hong Kong</w:t>
            </w:r>
          </w:p>
        </w:tc>
        <w:tc>
          <w:tcPr>
            <w:tcW w:w="496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6"/>
              </w:rPr>
              <w:t>Eastern Standard</w:t>
            </w:r>
          </w:p>
        </w:tc>
        <w:tc>
          <w:tcPr>
            <w:tcW w:w="112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6"/>
              </w:rPr>
              <w:t>Hong Kong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Time (EST)</w:t>
            </w:r>
          </w:p>
        </w:tc>
        <w:tc>
          <w:tcPr>
            <w:tcW w:w="12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Time</w:t>
            </w:r>
            <w:r>
              <w:rPr>
                <w:rFonts w:ascii="Calibri" w:cs="Calibri" w:eastAsia="Calibri" w:hAnsi="Calibri"/>
                <w:sz w:val="13"/>
                <w:szCs w:val="13"/>
                <w:b w:val="1"/>
                <w:bCs w:val="1"/>
                <w:color w:val="auto"/>
                <w:w w:val="96"/>
              </w:rPr>
              <w:t>1</w:t>
            </w:r>
          </w:p>
        </w:tc>
        <w:tc>
          <w:tcPr>
            <w:tcW w:w="4960" w:type="dxa"/>
            <w:vAlign w:val="bottom"/>
            <w:tcBorders>
              <w:right w:val="single" w:sz="8" w:color="auto"/>
            </w:tcBorders>
          </w:tcPr>
          <w:p>
            <w:pPr>
              <w:ind w:left="1020"/>
              <w:spacing w:after="0" w:line="215" w:lineRule="exact"/>
              <w:rPr>
                <w:sz w:val="20"/>
                <w:szCs w:val="20"/>
                <w:color w:val="auto"/>
              </w:rPr>
            </w:pPr>
            <w:r>
              <w:rPr>
                <w:rFonts w:ascii="Calibri" w:cs="Calibri" w:eastAsia="Calibri" w:hAnsi="Calibri"/>
                <w:sz w:val="18"/>
                <w:szCs w:val="18"/>
                <w:color w:val="auto"/>
              </w:rPr>
              <w:t>(two Trading Days afer earnings release)</w:t>
            </w:r>
          </w:p>
        </w:tc>
        <w:tc>
          <w:tcPr>
            <w:tcW w:w="136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Time (EST)</w:t>
            </w:r>
          </w:p>
        </w:tc>
        <w:tc>
          <w:tcPr>
            <w:tcW w:w="11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Time</w:t>
            </w:r>
            <w:r>
              <w:rPr>
                <w:rFonts w:ascii="Calibri" w:cs="Calibri" w:eastAsia="Calibri" w:hAnsi="Calibri"/>
                <w:sz w:val="13"/>
                <w:szCs w:val="13"/>
                <w:b w:val="1"/>
                <w:bCs w:val="1"/>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Borders>
              <w:left w:val="single" w:sz="8" w:color="auto"/>
              <w:right w:val="single" w:sz="8" w:color="auto"/>
            </w:tcBorders>
          </w:tcPr>
          <w:p>
            <w:pPr>
              <w:spacing w:after="0" w:line="187" w:lineRule="exact"/>
              <w:rPr>
                <w:sz w:val="20"/>
                <w:szCs w:val="20"/>
                <w:color w:val="auto"/>
              </w:rPr>
            </w:pPr>
            <w:r>
              <w:rPr>
                <w:rFonts w:ascii="Calibri" w:cs="Calibri" w:eastAsia="Calibri" w:hAnsi="Calibri"/>
                <w:sz w:val="18"/>
                <w:szCs w:val="18"/>
                <w:color w:val="auto"/>
              </w:rPr>
              <w:t>June 30 at 6:00</w:t>
            </w:r>
          </w:p>
        </w:tc>
        <w:tc>
          <w:tcPr>
            <w:tcW w:w="120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July 1 at 6:00</w:t>
            </w:r>
          </w:p>
        </w:tc>
        <w:tc>
          <w:tcPr>
            <w:tcW w:w="496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Assume earnings announcement released at:</w:t>
            </w:r>
          </w:p>
        </w:tc>
        <w:tc>
          <w:tcPr>
            <w:tcW w:w="136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September 30 at</w:t>
            </w:r>
          </w:p>
        </w:tc>
        <w:tc>
          <w:tcPr>
            <w:tcW w:w="112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October 1 at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line="215" w:lineRule="exact"/>
              <w:rPr>
                <w:sz w:val="20"/>
                <w:szCs w:val="20"/>
                <w:color w:val="auto"/>
              </w:rPr>
            </w:pPr>
            <w:r>
              <w:rPr>
                <w:rFonts w:ascii="Calibri" w:cs="Calibri" w:eastAsia="Calibri" w:hAnsi="Calibri"/>
                <w:sz w:val="18"/>
                <w:szCs w:val="18"/>
                <w:color w:val="auto"/>
              </w:rPr>
              <w:t>p.m.</w:t>
            </w:r>
          </w:p>
        </w:tc>
        <w:tc>
          <w:tcPr>
            <w:tcW w:w="12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a.m.</w:t>
            </w:r>
          </w:p>
        </w:tc>
        <w:tc>
          <w:tcPr>
            <w:tcW w:w="49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6:00 p.m.</w:t>
            </w:r>
          </w:p>
        </w:tc>
        <w:tc>
          <w:tcPr>
            <w:tcW w:w="112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6:00 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10:00 a.m. on Thursday, Aug. 22, 2024 (HK tme) / 10:00 p.m. on</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Wednesday, Aug. 21, 2024 (EST)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rPr>
              <w:t>The applicable Trading Window would begin at:</w:t>
            </w:r>
          </w:p>
        </w:tc>
        <w:tc>
          <w:tcPr>
            <w:tcW w:w="13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w w:val="98"/>
              </w:rPr>
              <w:t>6:00 a.m. on Saturday, Aug. 24, 2024 (HK tme) / 6:00 p.m. on Friday,</w:t>
            </w:r>
          </w:p>
        </w:tc>
        <w:tc>
          <w:tcPr>
            <w:tcW w:w="13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Aug. 23, 2024 (EST)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40" w:type="dxa"/>
            <w:vAlign w:val="bottom"/>
            <w:tcBorders>
              <w:left w:val="single" w:sz="8" w:color="auto"/>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Assume earnings announcement released at: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rPr>
              <w:t>7:30 p.m. on Thursday, Aug. 22, 2024 (HK tme)</w:t>
            </w:r>
          </w:p>
        </w:tc>
        <w:tc>
          <w:tcPr>
            <w:tcW w:w="13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 7:30 a.m. on Thursday, Aug. 22, 2024 (EST),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rPr>
              <w:t>The applicable Trading Window would begin at:</w:t>
            </w:r>
          </w:p>
        </w:tc>
        <w:tc>
          <w:tcPr>
            <w:tcW w:w="13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w w:val="98"/>
              </w:rPr>
              <w:t>6:00 a.m. on Saturday, Aug. 24, 2024 (HK tme) / 6:00 p.m. on Friday,</w:t>
            </w:r>
          </w:p>
        </w:tc>
        <w:tc>
          <w:tcPr>
            <w:tcW w:w="13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Aug. 23, 2024 (EST)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gridSpan w:val="2"/>
          </w:tcPr>
          <w:p>
            <w:pPr>
              <w:spacing w:after="0" w:line="208" w:lineRule="exact"/>
              <w:rPr>
                <w:sz w:val="20"/>
                <w:szCs w:val="20"/>
                <w:color w:val="auto"/>
              </w:rPr>
            </w:pPr>
            <w:r>
              <w:rPr>
                <w:rFonts w:ascii="Calibri" w:cs="Calibri" w:eastAsia="Calibri" w:hAnsi="Calibri"/>
                <w:sz w:val="18"/>
                <w:szCs w:val="18"/>
                <w:b w:val="1"/>
                <w:bCs w:val="1"/>
                <w:color w:val="auto"/>
              </w:rPr>
              <w:t>_________________________</w:t>
            </w:r>
          </w:p>
        </w:tc>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140" w:hanging="332"/>
        <w:spacing w:after="0" w:line="223" w:lineRule="auto"/>
        <w:tabs>
          <w:tab w:leader="none" w:pos="340" w:val="left"/>
        </w:tabs>
        <w:numPr>
          <w:ilvl w:val="0"/>
          <w:numId w:val="174"/>
        </w:numPr>
        <w:rPr>
          <w:rFonts w:ascii="Calibri" w:cs="Calibri" w:eastAsia="Calibri" w:hAnsi="Calibri"/>
          <w:sz w:val="13"/>
          <w:szCs w:val="13"/>
          <w:color w:val="auto"/>
        </w:rPr>
      </w:pPr>
      <w:r>
        <w:rPr>
          <w:rFonts w:ascii="Calibri" w:cs="Calibri" w:eastAsia="Calibri" w:hAnsi="Calibri"/>
          <w:sz w:val="18"/>
          <w:szCs w:val="18"/>
          <w:color w:val="auto"/>
        </w:rPr>
        <w:t>Please note that the tme diference between EST and Hong Kong may vary depending on if/when the U.S. switches between standard tme and daylight savings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C00000"/>
        </w:rPr>
        <w:t>11</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10000"/>
          </w:cols>
          <w:pgMar w:left="980" w:top="706" w:right="919" w:bottom="1440" w:gutter="0" w:footer="0" w:header="0"/>
        </w:sectPr>
      </w:pPr>
    </w:p>
    <w:bookmarkStart w:id="262" w:name="page263"/>
    <w:bookmarkEnd w:id="262"/>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Atachment B – NetEase, Inc. Requirements for Rule 10b5-1 Trading Plans</w:t>
      </w:r>
    </w:p>
    <w:p>
      <w:pPr>
        <w:spacing w:after="0" w:line="18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A.</w:t>
      </w:r>
      <w:r>
        <w:rPr>
          <w:sz w:val="20"/>
          <w:szCs w:val="20"/>
          <w:color w:val="auto"/>
        </w:rPr>
        <w:tab/>
      </w:r>
      <w:r>
        <w:rPr>
          <w:rFonts w:ascii="Calibri" w:cs="Calibri" w:eastAsia="Calibri" w:hAnsi="Calibri"/>
          <w:sz w:val="17"/>
          <w:szCs w:val="17"/>
          <w:b w:val="1"/>
          <w:bCs w:val="1"/>
          <w:color w:val="auto"/>
        </w:rPr>
        <w:t>General Informaton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Rule 10b5-1 issued under the Exchange Act can protect directors, ofcers and employees from insider trading liability for transactons made under a previously established contract, plan or instructon to trade in the Company’s securites entered into in good faith and in accordance with the terms of Rule 10b5-1 (a “</w:t>
      </w:r>
      <w:r>
        <w:rPr>
          <w:rFonts w:ascii="Calibri" w:cs="Calibri" w:eastAsia="Calibri" w:hAnsi="Calibri"/>
          <w:sz w:val="18"/>
          <w:szCs w:val="18"/>
          <w:b w:val="1"/>
          <w:bCs w:val="1"/>
          <w:color w:val="auto"/>
        </w:rPr>
        <w:t>Rule 10b5-1 Plan</w:t>
      </w:r>
      <w:r>
        <w:rPr>
          <w:rFonts w:ascii="Calibri" w:cs="Calibri" w:eastAsia="Calibri" w:hAnsi="Calibri"/>
          <w:sz w:val="18"/>
          <w:szCs w:val="18"/>
          <w:color w:val="auto"/>
        </w:rPr>
        <w:t>”). Rule 10b5-1 presents an opportunity for Covered Persons to establish arrangements to sell (or purchase) the Company’s securites in the United States without the restrictons of Trading Windows and Blackout Periods, even when there is material non-public informaton. However, Rule 10b5-1 Plans also require commitments regarding the trades in advance and thus limit fexibility and discreton, and may not be suitable for all Covered Persons. If you have any questons regarding Rule 10b5-1 Plans, please contact Legal for guidance.</w:t>
      </w:r>
    </w:p>
    <w:p>
      <w:pPr>
        <w:spacing w:after="0" w:line="190" w:lineRule="exact"/>
        <w:rPr>
          <w:sz w:val="20"/>
          <w:szCs w:val="20"/>
          <w:color w:val="auto"/>
        </w:rPr>
      </w:pPr>
    </w:p>
    <w:p>
      <w:pPr>
        <w:ind w:left="340" w:hanging="332"/>
        <w:spacing w:after="0"/>
        <w:tabs>
          <w:tab w:leader="none" w:pos="340" w:val="left"/>
        </w:tabs>
        <w:numPr>
          <w:ilvl w:val="0"/>
          <w:numId w:val="17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Specifc Requirements</w:t>
      </w:r>
    </w:p>
    <w:p>
      <w:pPr>
        <w:spacing w:after="0" w:line="176" w:lineRule="exact"/>
        <w:rPr>
          <w:rFonts w:ascii="Calibri" w:cs="Calibri" w:eastAsia="Calibri" w:hAnsi="Calibri"/>
          <w:sz w:val="18"/>
          <w:szCs w:val="18"/>
          <w:b w:val="1"/>
          <w:bCs w:val="1"/>
          <w:color w:val="auto"/>
        </w:rPr>
      </w:pPr>
    </w:p>
    <w:p>
      <w:pPr>
        <w:ind w:left="660" w:hanging="328"/>
        <w:spacing w:after="0" w:line="235" w:lineRule="auto"/>
        <w:tabs>
          <w:tab w:leader="none" w:pos="66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Pre-Approval. A number of legal requirements must be satsfed to establish or modify a Rule 10b5-1 Plan. Therefore, all Rule 10b5-1 Plans and modifcatons thereto must be approved by Legal prior to adopton.</w:t>
      </w:r>
    </w:p>
    <w:p>
      <w:pPr>
        <w:spacing w:after="0" w:line="177" w:lineRule="exact"/>
        <w:rPr>
          <w:rFonts w:ascii="Calibri" w:cs="Calibri" w:eastAsia="Calibri" w:hAnsi="Calibri"/>
          <w:sz w:val="18"/>
          <w:szCs w:val="18"/>
          <w:color w:val="auto"/>
        </w:rPr>
      </w:pPr>
    </w:p>
    <w:p>
      <w:pPr>
        <w:ind w:left="660" w:right="20" w:hanging="328"/>
        <w:spacing w:after="0" w:line="235" w:lineRule="auto"/>
        <w:tabs>
          <w:tab w:leader="none" w:pos="66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Material Nonpublic Informaton and Blackout Period. A Covered Person may only enter into a Rule 10b5-1 Plan at a tme when they are not aware of any material nonpublic informaton about the Company or otherwise subject to any Blackout Period.</w:t>
      </w:r>
    </w:p>
    <w:p>
      <w:pPr>
        <w:spacing w:after="0" w:line="172" w:lineRule="exact"/>
        <w:rPr>
          <w:rFonts w:ascii="Calibri" w:cs="Calibri" w:eastAsia="Calibri" w:hAnsi="Calibri"/>
          <w:sz w:val="18"/>
          <w:szCs w:val="18"/>
          <w:color w:val="auto"/>
        </w:rPr>
      </w:pPr>
    </w:p>
    <w:p>
      <w:pPr>
        <w:ind w:left="660" w:hanging="328"/>
        <w:spacing w:after="0"/>
        <w:tabs>
          <w:tab w:leader="none" w:pos="66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Trading Window. Each Rule 10b5-1 plan may only be established at a tme when the Company’s trading window is open.</w:t>
      </w:r>
    </w:p>
    <w:p>
      <w:pPr>
        <w:spacing w:after="0" w:line="176" w:lineRule="exact"/>
        <w:rPr>
          <w:rFonts w:ascii="Calibri" w:cs="Calibri" w:eastAsia="Calibri" w:hAnsi="Calibri"/>
          <w:sz w:val="18"/>
          <w:szCs w:val="18"/>
          <w:color w:val="auto"/>
        </w:rPr>
      </w:pPr>
    </w:p>
    <w:p>
      <w:pPr>
        <w:jc w:val="both"/>
        <w:ind w:left="660" w:hanging="328"/>
        <w:spacing w:after="0" w:line="235" w:lineRule="auto"/>
        <w:tabs>
          <w:tab w:leader="none" w:pos="66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Limitatons on Number of Rule 10b5-1 Plans. A Covered Person may not establish overlapping Rule 10b5-1 Plans which trade under the same tme period, or enter into more than one Rule 10b5-1 Plan during any 12-month period, except under the limited circumstances permited by Rule 10b5-1 and subject to pre-approval by Legal.</w:t>
      </w:r>
    </w:p>
    <w:p>
      <w:pPr>
        <w:spacing w:after="0" w:line="178" w:lineRule="exact"/>
        <w:rPr>
          <w:rFonts w:ascii="Calibri" w:cs="Calibri" w:eastAsia="Calibri" w:hAnsi="Calibri"/>
          <w:sz w:val="18"/>
          <w:szCs w:val="18"/>
          <w:color w:val="auto"/>
        </w:rPr>
      </w:pPr>
    </w:p>
    <w:p>
      <w:pPr>
        <w:ind w:left="660" w:hanging="328"/>
        <w:spacing w:after="0" w:line="235" w:lineRule="auto"/>
        <w:tabs>
          <w:tab w:leader="none" w:pos="660" w:val="left"/>
        </w:tabs>
        <w:numPr>
          <w:ilvl w:val="1"/>
          <w:numId w:val="175"/>
        </w:numPr>
        <w:rPr>
          <w:rFonts w:ascii="Calibri" w:cs="Calibri" w:eastAsia="Calibri" w:hAnsi="Calibri"/>
          <w:sz w:val="18"/>
          <w:szCs w:val="18"/>
          <w:color w:val="auto"/>
        </w:rPr>
      </w:pPr>
      <w:r>
        <w:rPr>
          <w:rFonts w:ascii="Calibri" w:cs="Calibri" w:eastAsia="Calibri" w:hAnsi="Calibri"/>
          <w:sz w:val="18"/>
          <w:szCs w:val="18"/>
          <w:color w:val="auto"/>
        </w:rPr>
        <w:t>Cooling-Of Periods. The frst trade made under the Rule 10b5-1 Plan cannot occur untl the applicable date described below (the tme between adopton of the Rule 10b5-1 Plan and such frst trade is referred to as the “</w:t>
      </w:r>
      <w:r>
        <w:rPr>
          <w:rFonts w:ascii="Calibri" w:cs="Calibri" w:eastAsia="Calibri" w:hAnsi="Calibri"/>
          <w:sz w:val="18"/>
          <w:szCs w:val="18"/>
          <w:b w:val="1"/>
          <w:bCs w:val="1"/>
          <w:color w:val="auto"/>
        </w:rPr>
        <w:t>Cooling-Of Period</w:t>
      </w:r>
      <w:r>
        <w:rPr>
          <w:rFonts w:ascii="Calibri" w:cs="Calibri" w:eastAsia="Calibri" w:hAnsi="Calibri"/>
          <w:sz w:val="18"/>
          <w:szCs w:val="18"/>
          <w:color w:val="auto"/>
        </w:rPr>
        <w:t>”).</w:t>
      </w:r>
    </w:p>
    <w:p>
      <w:pPr>
        <w:spacing w:after="0" w:line="177" w:lineRule="exact"/>
        <w:rPr>
          <w:rFonts w:ascii="Calibri" w:cs="Calibri" w:eastAsia="Calibri" w:hAnsi="Calibri"/>
          <w:sz w:val="18"/>
          <w:szCs w:val="18"/>
          <w:color w:val="auto"/>
        </w:rPr>
      </w:pPr>
    </w:p>
    <w:p>
      <w:pPr>
        <w:jc w:val="both"/>
        <w:ind w:left="980" w:hanging="324"/>
        <w:spacing w:after="0" w:line="235" w:lineRule="auto"/>
        <w:tabs>
          <w:tab w:leader="none" w:pos="980" w:val="left"/>
        </w:tabs>
        <w:numPr>
          <w:ilvl w:val="2"/>
          <w:numId w:val="175"/>
        </w:numPr>
        <w:rPr>
          <w:rFonts w:ascii="Calibri" w:cs="Calibri" w:eastAsia="Calibri" w:hAnsi="Calibri"/>
          <w:sz w:val="18"/>
          <w:szCs w:val="18"/>
          <w:color w:val="auto"/>
        </w:rPr>
      </w:pPr>
      <w:r>
        <w:rPr>
          <w:rFonts w:ascii="Calibri" w:cs="Calibri" w:eastAsia="Calibri" w:hAnsi="Calibri"/>
          <w:sz w:val="18"/>
          <w:szCs w:val="18"/>
          <w:color w:val="auto"/>
        </w:rPr>
        <w:t>For a director or ofcer (as defned in Secton 16 of the Exchange Act) of NetEase: the later of 90 days afer adopton or modifcaton of a Trading Plan or two business days afer fling the Form 20-F or Form 6-K disclosing fnancial results covering the fscal quarter in which the Trading Plan was adopted, up to a maximum of 120 days;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12</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3" w:name="page264"/>
    <w:bookmarkEnd w:id="263"/>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6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b.  For persons who are not directors or ofcers of NetEase: 30 days afer adopton of the Rule 10b5-1 Plan.</w:t>
      </w:r>
    </w:p>
    <w:p>
      <w:pPr>
        <w:spacing w:after="0" w:line="176" w:lineRule="exact"/>
        <w:rPr>
          <w:sz w:val="20"/>
          <w:szCs w:val="20"/>
          <w:color w:val="auto"/>
        </w:rPr>
      </w:pPr>
    </w:p>
    <w:p>
      <w:pPr>
        <w:jc w:val="both"/>
        <w:ind w:left="660" w:hanging="328"/>
        <w:spacing w:after="0" w:line="235" w:lineRule="auto"/>
        <w:tabs>
          <w:tab w:leader="none" w:pos="660" w:val="left"/>
        </w:tabs>
        <w:numPr>
          <w:ilvl w:val="0"/>
          <w:numId w:val="176"/>
        </w:numPr>
        <w:rPr>
          <w:rFonts w:ascii="Calibri" w:cs="Calibri" w:eastAsia="Calibri" w:hAnsi="Calibri"/>
          <w:sz w:val="18"/>
          <w:szCs w:val="18"/>
          <w:color w:val="auto"/>
        </w:rPr>
      </w:pPr>
      <w:r>
        <w:rPr>
          <w:rFonts w:ascii="Calibri" w:cs="Calibri" w:eastAsia="Calibri" w:hAnsi="Calibri"/>
          <w:sz w:val="18"/>
          <w:szCs w:val="18"/>
          <w:color w:val="auto"/>
        </w:rPr>
        <w:t>Certfcaton. The Rule 10b-5 Plan must include the following certfcatons: the Covered Person is: (i) not aware of any material non-public informaton about the Company or the Company’s securites; and (ii) adoptng the plan in good faith and not as part of a plan or scheme to evade the prohibitons of Rule 10b-5.</w:t>
      </w:r>
    </w:p>
    <w:p>
      <w:pPr>
        <w:spacing w:after="0" w:line="178" w:lineRule="exact"/>
        <w:rPr>
          <w:rFonts w:ascii="Calibri" w:cs="Calibri" w:eastAsia="Calibri" w:hAnsi="Calibri"/>
          <w:sz w:val="18"/>
          <w:szCs w:val="18"/>
          <w:color w:val="auto"/>
        </w:rPr>
      </w:pPr>
    </w:p>
    <w:p>
      <w:pPr>
        <w:ind w:left="660" w:right="20" w:hanging="328"/>
        <w:spacing w:after="0" w:line="258" w:lineRule="auto"/>
        <w:tabs>
          <w:tab w:leader="none" w:pos="660" w:val="left"/>
        </w:tabs>
        <w:numPr>
          <w:ilvl w:val="0"/>
          <w:numId w:val="176"/>
        </w:numPr>
        <w:rPr>
          <w:rFonts w:ascii="Calibri" w:cs="Calibri" w:eastAsia="Calibri" w:hAnsi="Calibri"/>
          <w:sz w:val="17"/>
          <w:szCs w:val="17"/>
          <w:color w:val="auto"/>
        </w:rPr>
      </w:pPr>
      <w:r>
        <w:rPr>
          <w:rFonts w:ascii="Calibri" w:cs="Calibri" w:eastAsia="Calibri" w:hAnsi="Calibri"/>
          <w:sz w:val="17"/>
          <w:szCs w:val="17"/>
          <w:color w:val="auto"/>
        </w:rPr>
        <w:t>Company Rights. The Company reserves the right to publicly disclose, announce, or respond to inquiries from the media regarding the adopton, modifcaton, or terminaton of a Rule 10b-5 Plan, or the executon of transactons made under a Rule 10b-5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13</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4" w:name="page265"/>
    <w:bookmarkEnd w:id="264"/>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Atachment C – Pre-Clearance Procedures</w:t>
      </w:r>
    </w:p>
    <w:p>
      <w:pPr>
        <w:spacing w:after="0" w:line="18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A.</w:t>
        <w:tab/>
        <w:t>Current Defniton of Insiders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As of this Policy’s last-revised date, the following categories of colleagues are considered Insiders:</w:t>
      </w:r>
    </w:p>
    <w:p>
      <w:pPr>
        <w:spacing w:after="0" w:line="190" w:lineRule="exact"/>
        <w:rPr>
          <w:sz w:val="20"/>
          <w:szCs w:val="20"/>
          <w:color w:val="auto"/>
        </w:rPr>
      </w:pPr>
    </w:p>
    <w:p>
      <w:pPr>
        <w:ind w:left="660" w:right="20" w:hanging="328"/>
        <w:spacing w:after="0" w:line="235" w:lineRule="auto"/>
        <w:tabs>
          <w:tab w:leader="none" w:pos="660" w:val="left"/>
        </w:tabs>
        <w:numPr>
          <w:ilvl w:val="0"/>
          <w:numId w:val="17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board directors and executve ofcers of NetEase, Inc., as indicated in the Company’s most recent annual report (subject to any updates occurring subsequent to the publicaton of such report)</w:t>
      </w:r>
    </w:p>
    <w:p>
      <w:pPr>
        <w:ind w:left="660" w:hanging="328"/>
        <w:spacing w:after="0" w:line="235" w:lineRule="auto"/>
        <w:tabs>
          <w:tab w:leader="none" w:pos="660" w:val="left"/>
        </w:tabs>
        <w:numPr>
          <w:ilvl w:val="0"/>
          <w:numId w:val="177"/>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Any of the following colleagues who have been </w:t>
      </w:r>
      <w:r>
        <w:rPr>
          <w:rFonts w:ascii="Calibri" w:cs="Calibri" w:eastAsia="Calibri" w:hAnsi="Calibri"/>
          <w:sz w:val="18"/>
          <w:szCs w:val="18"/>
          <w:b w:val="1"/>
          <w:bCs w:val="1"/>
          <w:i w:val="1"/>
          <w:iCs w:val="1"/>
          <w:color w:val="auto"/>
        </w:rPr>
        <w:t>notfed of their status as an “Insider” by Legal in writng</w:t>
      </w:r>
      <w:r>
        <w:rPr>
          <w:rFonts w:ascii="Calibri" w:cs="Calibri" w:eastAsia="Calibri" w:hAnsi="Calibri"/>
          <w:sz w:val="18"/>
          <w:szCs w:val="18"/>
          <w:color w:val="auto"/>
        </w:rPr>
        <w:t>:</w:t>
      </w:r>
    </w:p>
    <w:p>
      <w:pPr>
        <w:spacing w:after="0" w:line="24" w:lineRule="exact"/>
        <w:rPr>
          <w:rFonts w:ascii="Times New Roman" w:cs="Times New Roman" w:eastAsia="Times New Roman" w:hAnsi="Times New Roman"/>
          <w:sz w:val="18"/>
          <w:szCs w:val="18"/>
          <w:color w:val="auto"/>
        </w:rPr>
      </w:pPr>
    </w:p>
    <w:p>
      <w:pPr>
        <w:ind w:left="980" w:hanging="324"/>
        <w:spacing w:after="0" w:line="227"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o Colleagues in the Finance Department, Internal Audit Department, Internal Controls Department, Tax Department, Investor Relatons Department and Group Internatonal Legal Department who are closely involved in preparing and reportng the Company’s fnancial results</w:t>
      </w:r>
    </w:p>
    <w:p>
      <w:pPr>
        <w:spacing w:after="0" w:line="2" w:lineRule="exact"/>
        <w:rPr>
          <w:rFonts w:ascii="Times New Roman" w:cs="Times New Roman" w:eastAsia="Times New Roman" w:hAnsi="Times New Roman"/>
          <w:sz w:val="18"/>
          <w:szCs w:val="18"/>
          <w:color w:val="auto"/>
        </w:rPr>
      </w:pPr>
    </w:p>
    <w:p>
      <w:pPr>
        <w:ind w:left="980" w:hanging="324"/>
        <w:spacing w:after="0" w:line="235"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o 1st-level Department Heads or Business Group (Unit) heads with access to fnancial informaton that represents 25% or more of the Company’s total revenues</w:t>
      </w:r>
    </w:p>
    <w:p>
      <w:pPr>
        <w:ind w:left="660"/>
        <w:spacing w:after="0" w:line="235"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o   Other colleagues that Legal, at its sole discreton, deems appropriate to be considered as an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14</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5" w:name="page266"/>
    <w:bookmarkEnd w:id="265"/>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B.</w:t>
      </w:r>
      <w:r>
        <w:rPr>
          <w:sz w:val="20"/>
          <w:szCs w:val="20"/>
          <w:color w:val="auto"/>
        </w:rPr>
        <w:tab/>
      </w:r>
      <w:r>
        <w:rPr>
          <w:rFonts w:ascii="Calibri" w:cs="Calibri" w:eastAsia="Calibri" w:hAnsi="Calibri"/>
          <w:sz w:val="17"/>
          <w:szCs w:val="17"/>
          <w:b w:val="1"/>
          <w:bCs w:val="1"/>
          <w:color w:val="auto"/>
        </w:rPr>
        <w:t>Pre-Clearance Email Template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Subject: </w:t>
      </w:r>
      <w:r>
        <w:rPr>
          <w:rFonts w:ascii="Calibri" w:cs="Calibri" w:eastAsia="Calibri" w:hAnsi="Calibri"/>
          <w:sz w:val="18"/>
          <w:szCs w:val="18"/>
          <w:color w:val="auto"/>
        </w:rPr>
        <w:t>Securites Trading Pre-Clearance Request</w:t>
      </w:r>
    </w:p>
    <w:p>
      <w:pPr>
        <w:spacing w:after="0" w:line="177"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I, [</w:t>
      </w:r>
      <w:r>
        <w:rPr>
          <w:rFonts w:ascii="Calibri" w:cs="Calibri" w:eastAsia="Calibri" w:hAnsi="Calibri"/>
          <w:sz w:val="18"/>
          <w:szCs w:val="18"/>
          <w:i w:val="1"/>
          <w:iCs w:val="1"/>
          <w:color w:val="FF0000"/>
        </w:rPr>
        <w:t>name</w:t>
      </w:r>
      <w:r>
        <w:rPr>
          <w:rFonts w:ascii="Calibri" w:cs="Calibri" w:eastAsia="Calibri" w:hAnsi="Calibri"/>
          <w:sz w:val="18"/>
          <w:szCs w:val="18"/>
          <w:color w:val="auto"/>
        </w:rPr>
        <w:t>], [</w:t>
      </w:r>
      <w:r>
        <w:rPr>
          <w:rFonts w:ascii="Calibri" w:cs="Calibri" w:eastAsia="Calibri" w:hAnsi="Calibri"/>
          <w:sz w:val="18"/>
          <w:szCs w:val="18"/>
          <w:i w:val="1"/>
          <w:iCs w:val="1"/>
          <w:color w:val="FF0000"/>
        </w:rPr>
        <w:t>job ttle</w:t>
      </w:r>
      <w:r>
        <w:rPr>
          <w:rFonts w:ascii="Calibri" w:cs="Calibri" w:eastAsia="Calibri" w:hAnsi="Calibri"/>
          <w:sz w:val="18"/>
          <w:szCs w:val="18"/>
          <w:color w:val="auto"/>
        </w:rPr>
        <w:t>], am writng to request the NetEase Group General Counsel or his or her designee (“</w:t>
      </w:r>
      <w:r>
        <w:rPr>
          <w:rFonts w:ascii="Calibri" w:cs="Calibri" w:eastAsia="Calibri" w:hAnsi="Calibri"/>
          <w:sz w:val="18"/>
          <w:szCs w:val="18"/>
          <w:b w:val="1"/>
          <w:bCs w:val="1"/>
          <w:color w:val="auto"/>
        </w:rPr>
        <w:t>Legal</w:t>
      </w:r>
      <w:r>
        <w:rPr>
          <w:rFonts w:ascii="Calibri" w:cs="Calibri" w:eastAsia="Calibri" w:hAnsi="Calibri"/>
          <w:sz w:val="18"/>
          <w:szCs w:val="18"/>
          <w:color w:val="auto"/>
        </w:rPr>
        <w:t>”) to pre-clear the below proposed securites transacton:</w:t>
      </w:r>
    </w:p>
    <w:p>
      <w:pPr>
        <w:spacing w:after="0" w:line="186" w:lineRule="exact"/>
        <w:rPr>
          <w:sz w:val="20"/>
          <w:szCs w:val="20"/>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Transacton type: </w:t>
      </w:r>
      <w:r>
        <w:rPr>
          <w:rFonts w:ascii="Calibri" w:cs="Calibri" w:eastAsia="Calibri" w:hAnsi="Calibri"/>
          <w:sz w:val="18"/>
          <w:szCs w:val="18"/>
          <w:color w:val="auto"/>
        </w:rPr>
        <w:t>[</w:t>
      </w:r>
      <w:r>
        <w:rPr>
          <w:rFonts w:ascii="Calibri" w:cs="Calibri" w:eastAsia="Calibri" w:hAnsi="Calibri"/>
          <w:sz w:val="18"/>
          <w:szCs w:val="18"/>
          <w:i w:val="1"/>
          <w:iCs w:val="1"/>
          <w:color w:val="FF0000"/>
        </w:rPr>
        <w:t>purchase</w:t>
      </w:r>
      <w:r>
        <w:rPr>
          <w:rFonts w:ascii="Calibri" w:cs="Calibri" w:eastAsia="Calibri" w:hAnsi="Calibri"/>
          <w:sz w:val="18"/>
          <w:szCs w:val="18"/>
          <w:color w:val="auto"/>
        </w:rPr>
        <w:t>] [</w:t>
      </w:r>
      <w:r>
        <w:rPr>
          <w:rFonts w:ascii="Calibri" w:cs="Calibri" w:eastAsia="Calibri" w:hAnsi="Calibri"/>
          <w:sz w:val="18"/>
          <w:szCs w:val="18"/>
          <w:i w:val="1"/>
          <w:iCs w:val="1"/>
          <w:color w:val="FF0000"/>
        </w:rPr>
        <w:t>sale</w:t>
      </w:r>
      <w:r>
        <w:rPr>
          <w:rFonts w:ascii="Calibri" w:cs="Calibri" w:eastAsia="Calibri" w:hAnsi="Calibri"/>
          <w:sz w:val="18"/>
          <w:szCs w:val="18"/>
          <w:color w:val="auto"/>
        </w:rPr>
        <w:t>] [</w:t>
      </w:r>
      <w:r>
        <w:rPr>
          <w:rFonts w:ascii="Calibri" w:cs="Calibri" w:eastAsia="Calibri" w:hAnsi="Calibri"/>
          <w:sz w:val="18"/>
          <w:szCs w:val="18"/>
          <w:i w:val="1"/>
          <w:iCs w:val="1"/>
          <w:color w:val="FF0000"/>
        </w:rPr>
        <w:t>exercise of opton</w:t>
      </w:r>
      <w:r>
        <w:rPr>
          <w:rFonts w:ascii="Calibri" w:cs="Calibri" w:eastAsia="Calibri" w:hAnsi="Calibri"/>
          <w:sz w:val="18"/>
          <w:szCs w:val="18"/>
          <w:color w:val="auto"/>
        </w:rPr>
        <w:t>] [</w:t>
      </w:r>
      <w:r>
        <w:rPr>
          <w:rFonts w:ascii="Calibri" w:cs="Calibri" w:eastAsia="Calibri" w:hAnsi="Calibri"/>
          <w:sz w:val="18"/>
          <w:szCs w:val="18"/>
          <w:i w:val="1"/>
          <w:iCs w:val="1"/>
          <w:color w:val="FF0000"/>
        </w:rPr>
        <w:t>other</w:t>
      </w:r>
      <w:r>
        <w:rPr>
          <w:rFonts w:ascii="Calibri" w:cs="Calibri" w:eastAsia="Calibri" w:hAnsi="Calibri"/>
          <w:sz w:val="18"/>
          <w:szCs w:val="18"/>
          <w:color w:val="auto"/>
        </w:rPr>
        <w:t>]</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Number of shares involved:</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Proposed transacton price:</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Expected transacton date: </w:t>
      </w:r>
      <w:r>
        <w:rPr>
          <w:rFonts w:ascii="Calibri" w:cs="Calibri" w:eastAsia="Calibri" w:hAnsi="Calibri"/>
          <w:sz w:val="18"/>
          <w:szCs w:val="18"/>
          <w:color w:val="auto"/>
        </w:rPr>
        <w:t>[</w:t>
      </w:r>
      <w:r>
        <w:rPr>
          <w:rFonts w:ascii="Calibri" w:cs="Calibri" w:eastAsia="Calibri" w:hAnsi="Calibri"/>
          <w:sz w:val="18"/>
          <w:szCs w:val="18"/>
          <w:i w:val="1"/>
          <w:iCs w:val="1"/>
          <w:color w:val="FF0000"/>
        </w:rPr>
        <w:t>dd/mm/yyyy</w:t>
      </w:r>
      <w:r>
        <w:rPr>
          <w:rFonts w:ascii="Calibri" w:cs="Calibri" w:eastAsia="Calibri" w:hAnsi="Calibri"/>
          <w:sz w:val="18"/>
          <w:szCs w:val="18"/>
          <w:color w:val="auto"/>
        </w:rPr>
        <w:t>]</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Broker contact informaton:</w:t>
      </w:r>
    </w:p>
    <w:p>
      <w:pPr>
        <w:spacing w:after="0" w:line="23"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Optonal</w:t>
      </w:r>
      <w:r>
        <w:rPr>
          <w:rFonts w:ascii="Calibri" w:cs="Calibri" w:eastAsia="Calibri" w:hAnsi="Calibri"/>
          <w:sz w:val="18"/>
          <w:szCs w:val="18"/>
          <w:color w:val="auto"/>
        </w:rPr>
        <w:t xml:space="preserve">] </w:t>
      </w:r>
      <w:r>
        <w:rPr>
          <w:rFonts w:ascii="Calibri" w:cs="Calibri" w:eastAsia="Calibri" w:hAnsi="Calibri"/>
          <w:sz w:val="18"/>
          <w:szCs w:val="18"/>
          <w:b w:val="1"/>
          <w:bCs w:val="1"/>
          <w:i w:val="1"/>
          <w:iCs w:val="1"/>
          <w:color w:val="auto"/>
        </w:rPr>
        <w:t>Other relevant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I hereby certfy that:</w:t>
      </w:r>
    </w:p>
    <w:p>
      <w:pPr>
        <w:spacing w:after="0" w:line="172" w:lineRule="exact"/>
        <w:rPr>
          <w:sz w:val="20"/>
          <w:szCs w:val="20"/>
          <w:color w:val="auto"/>
        </w:rPr>
      </w:pPr>
    </w:p>
    <w:p>
      <w:pPr>
        <w:ind w:left="660" w:hanging="328"/>
        <w:spacing w:after="0"/>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informaton provided above is truthful, accurate and not misleading;</w:t>
      </w:r>
    </w:p>
    <w:p>
      <w:pPr>
        <w:spacing w:after="0" w:line="23" w:lineRule="exact"/>
        <w:rPr>
          <w:rFonts w:ascii="Times New Roman" w:cs="Times New Roman" w:eastAsia="Times New Roman" w:hAnsi="Times New Roman"/>
          <w:sz w:val="18"/>
          <w:szCs w:val="18"/>
          <w:color w:val="auto"/>
        </w:rPr>
      </w:pPr>
    </w:p>
    <w:p>
      <w:pPr>
        <w:ind w:left="660" w:right="20" w:hanging="328"/>
        <w:spacing w:after="0" w:line="223"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will not execute the proposed transacton untl I receive pre-clearance from Legal, nor in any manner that deviates from the terms approved in the pre-clearance;</w:t>
      </w:r>
    </w:p>
    <w:p>
      <w:pPr>
        <w:spacing w:after="0" w:line="1"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proposed transacton complies with all applicable laws and regulatons and all applicable NetEase policies, including the </w:t>
      </w:r>
      <w:r>
        <w:rPr>
          <w:rFonts w:ascii="Calibri" w:cs="Calibri" w:eastAsia="Calibri" w:hAnsi="Calibri"/>
          <w:sz w:val="18"/>
          <w:szCs w:val="18"/>
          <w:i w:val="1"/>
          <w:iCs w:val="1"/>
          <w:color w:val="auto"/>
        </w:rPr>
        <w:t>Code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of Business Conduct </w:t>
      </w:r>
      <w:r>
        <w:rPr>
          <w:rFonts w:ascii="Calibri" w:cs="Calibri" w:eastAsia="Calibri" w:hAnsi="Calibri"/>
          <w:sz w:val="18"/>
          <w:szCs w:val="18"/>
          <w:color w:val="auto"/>
        </w:rPr>
        <w:t>and the</w:t>
      </w:r>
      <w:r>
        <w:rPr>
          <w:rFonts w:ascii="Calibri" w:cs="Calibri" w:eastAsia="Calibri" w:hAnsi="Calibri"/>
          <w:sz w:val="18"/>
          <w:szCs w:val="18"/>
          <w:i w:val="1"/>
          <w:iCs w:val="1"/>
          <w:color w:val="auto"/>
        </w:rPr>
        <w:t xml:space="preserve"> Insider Trading Policy</w:t>
      </w:r>
      <w:r>
        <w:rPr>
          <w:rFonts w:ascii="Calibri" w:cs="Calibri" w:eastAsia="Calibri" w:hAnsi="Calibri"/>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do not currently have knowledge or possession of any material non-public informaton (“MNPI”) regarding NetEase, Inc., its subsidiaries and controlled afliates, or any other company that may be relevant to the proposed transacton;</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 the extent that I have knowledge or possession of informaton which may be considered MNPI, I have provided such informaton to Legal and received appropriate guidance from Legal;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transacton will not be efected in any manner other than on the Nasdaq Global Select Market or the Hong Kong Stock Exchange (or if it will be, I have provided the relevant informaton above) and will be efected in compliance with applicable securites laws, including Rule 144 under the U.S. Securites Act of 1933 (as applicable);</w:t>
      </w:r>
    </w:p>
    <w:p>
      <w:pPr>
        <w:spacing w:after="0" w:line="2"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undersigned understands and acknowledges that pre-clearance for such transacton by the General Counsel of the Company or a designee does not relieve the undersigned of his or her obligatons under securites laws;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6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acknowledge that pre-clearance of the above-referenced proposed transacton shall be efectve for fve Trading Days (as defned in the Insider Trading Policy) following my receipt of approval of the pre-clearance.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C00000"/>
        </w:rPr>
        <w:t>15</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6" w:name="page267"/>
    <w:bookmarkEnd w:id="266"/>
    <w:p>
      <w:pPr>
        <w:ind w:left="7600"/>
        <w:spacing w:after="0"/>
        <w:rPr>
          <w:sz w:val="20"/>
          <w:szCs w:val="20"/>
          <w:color w:val="auto"/>
        </w:rPr>
      </w:pPr>
      <w:r>
        <w:rPr>
          <w:rFonts w:ascii="Calibri" w:cs="Calibri" w:eastAsia="Calibri" w:hAnsi="Calibri"/>
          <w:sz w:val="17"/>
          <w:szCs w:val="17"/>
          <w:b w:val="1"/>
          <w:bCs w:val="1"/>
          <w:i w:val="1"/>
          <w:iCs w:val="1"/>
          <w:color w:val="C00000"/>
        </w:rPr>
        <w:drawing>
          <wp:anchor simplePos="0" relativeHeight="251657728" behindDoc="1" locked="0" layoutInCell="0" allowOverlap="1">
            <wp:simplePos x="0" y="0"/>
            <wp:positionH relativeFrom="page">
              <wp:posOffset>628015</wp:posOffset>
            </wp:positionH>
            <wp:positionV relativeFrom="page">
              <wp:posOffset>440690</wp:posOffset>
            </wp:positionV>
            <wp:extent cx="82296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822960" cy="188595"/>
                    </a:xfrm>
                    <a:prstGeom prst="rect">
                      <a:avLst/>
                    </a:prstGeom>
                    <a:noFill/>
                  </pic:spPr>
                </pic:pic>
              </a:graphicData>
            </a:graphic>
          </wp:anchor>
        </w:drawing>
        <w:t>Insider Trading Policy (01/2025)</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C00000"/>
        </w:rPr>
        <w:t>Atachment D – Special and Prohibited Transactons</w:t>
      </w:r>
    </w:p>
    <w:p>
      <w:pPr>
        <w:spacing w:after="0" w:line="19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 of this Policy’s last-revised date, the following categories of transactons are prohibited by the Company, unless writen pre-approval is obtained from Legal:</w:t>
      </w:r>
    </w:p>
    <w:p>
      <w:pPr>
        <w:spacing w:after="0" w:line="18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A.</w:t>
      </w:r>
      <w:r>
        <w:rPr>
          <w:sz w:val="20"/>
          <w:szCs w:val="20"/>
          <w:color w:val="auto"/>
        </w:rPr>
        <w:tab/>
      </w:r>
      <w:r>
        <w:rPr>
          <w:rFonts w:ascii="Calibri" w:cs="Calibri" w:eastAsia="Calibri" w:hAnsi="Calibri"/>
          <w:sz w:val="17"/>
          <w:szCs w:val="17"/>
          <w:b w:val="1"/>
          <w:bCs w:val="1"/>
          <w:color w:val="auto"/>
        </w:rPr>
        <w:t>Short Sales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Short sales of Company securites (i.e., the sale of a security that the seller does not own) may evidence an expectaton on the part of the seller that the securites will decline in value and therefore have the potental to signal to the market that the seller lacks confdence in the Company’s prospects. In additon, short sales may reduce a seller’s incentve to seek to improve the Company’s performance. For these reasons, short sales of Company securites by Covered Persons are prohibited.</w:t>
      </w:r>
    </w:p>
    <w:p>
      <w:pPr>
        <w:spacing w:after="0" w:line="174"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B.</w:t>
      </w:r>
      <w:r>
        <w:rPr>
          <w:sz w:val="20"/>
          <w:szCs w:val="20"/>
          <w:color w:val="auto"/>
        </w:rPr>
        <w:tab/>
      </w:r>
      <w:r>
        <w:rPr>
          <w:rFonts w:ascii="Calibri" w:cs="Calibri" w:eastAsia="Calibri" w:hAnsi="Calibri"/>
          <w:sz w:val="17"/>
          <w:szCs w:val="17"/>
          <w:b w:val="1"/>
          <w:bCs w:val="1"/>
          <w:color w:val="auto"/>
        </w:rPr>
        <w:t>Publicly Traded Optons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relatvely short term of publicly traded optons, transactons in optons may create the appearance that a director, ofcer or employee is trading based on MNPI and focus such person’s atenton on short-term performance at the expense of the Company’s long-term objectves. Accordingly, transactons by Covered Persons in put optons, call optons or other derivatve securites, on an exchange or in any other organized market, are prohibited by this Policy.</w:t>
      </w:r>
    </w:p>
    <w:p>
      <w:pPr>
        <w:spacing w:after="0" w:line="174" w:lineRule="exact"/>
        <w:rPr>
          <w:sz w:val="20"/>
          <w:szCs w:val="20"/>
          <w:color w:val="auto"/>
        </w:rPr>
      </w:pPr>
    </w:p>
    <w:p>
      <w:pPr>
        <w:ind w:left="340" w:hanging="332"/>
        <w:spacing w:after="0"/>
        <w:tabs>
          <w:tab w:leader="none" w:pos="340" w:val="left"/>
        </w:tabs>
        <w:numPr>
          <w:ilvl w:val="0"/>
          <w:numId w:val="18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Hedging Transactons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Hedging or monetzaton transactons can be done through several possible mechanisms, including through the use of fnancial instruments such as prepaid variable forwards, equity swaps, collars and exchange funds. Such hedging transactons may permit a colleague to contnue to own the Company’s securites obtained through Company equity incentve plans or otherwise, but without the full risks and rewards of ownership. When that occurs, the colleague’s objectves may difer from the Company’s other shareholders. Therefore, Covered Persons are prohibited from engaging in any such transactons.</w:t>
      </w:r>
    </w:p>
    <w:p>
      <w:pPr>
        <w:spacing w:after="0" w:line="18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8"/>
          <w:szCs w:val="18"/>
          <w:b w:val="1"/>
          <w:bCs w:val="1"/>
          <w:color w:val="auto"/>
        </w:rPr>
        <w:t>D.</w:t>
      </w:r>
      <w:r>
        <w:rPr>
          <w:sz w:val="20"/>
          <w:szCs w:val="20"/>
          <w:color w:val="auto"/>
        </w:rPr>
        <w:tab/>
      </w:r>
      <w:r>
        <w:rPr>
          <w:rFonts w:ascii="Calibri" w:cs="Calibri" w:eastAsia="Calibri" w:hAnsi="Calibri"/>
          <w:sz w:val="17"/>
          <w:szCs w:val="17"/>
          <w:b w:val="1"/>
          <w:bCs w:val="1"/>
          <w:color w:val="auto"/>
        </w:rPr>
        <w:t>Margin Accounts and Pledged Securites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Securites held in a margin account as collateral for a margin loan may be sold by the broker without the customer’s consent if the customer fails to meet a margin call. Similarly, securites pledged (or hypothecated) as collateral for a loan may be sold in foreclosure if the borrower defaults on the loan. Because a margin sale or foreclosure sale may occur at a tme when the pledgor is aware of MNPI or otherwise is not permited to trade in the Company’s securites, Covered Persons are prohibited from holding Company securites in a margin account or otherwise pledging such securites as collateral for a loan.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C00000"/>
        </w:rPr>
        <w:t>16</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Copyright © 2024 NetEase,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163195</wp:posOffset>
            </wp:positionV>
            <wp:extent cx="6155055" cy="1282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6155055" cy="128270"/>
                    </a:xfrm>
                    <a:prstGeom prst="rect">
                      <a:avLst/>
                    </a:prstGeom>
                    <a:noFill/>
                  </pic:spPr>
                </pic:pic>
              </a:graphicData>
            </a:graphic>
          </wp:anchor>
        </w:drawing>
      </w:r>
    </w:p>
    <w:p>
      <w:pPr>
        <w:sectPr>
          <w:pgSz w:w="11900" w:h="16838" w:orient="portrait"/>
          <w:cols w:equalWidth="0" w:num="1">
            <w:col w:w="9920"/>
          </w:cols>
          <w:pgMar w:left="980" w:top="711" w:right="99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Lei Ding,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20-F of NetEase, Inc.;</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4.The company’s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7089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Name:William Lei 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Ying Li,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20-F of NetEase, Inc.;</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4.The company’s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Sarah Ying Li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Ying Li</w:t>
            </w:r>
          </w:p>
        </w:tc>
        <w:tc>
          <w:tcPr>
            <w:tcW w:w="4880" w:type="dxa"/>
            <w:vAlign w:val="bottom"/>
          </w:tcPr>
          <w:p>
            <w:pPr>
              <w:spacing w:after="0"/>
              <w:rPr>
                <w:sz w:val="16"/>
                <w:szCs w:val="16"/>
                <w:color w:val="auto"/>
              </w:rPr>
            </w:pPr>
          </w:p>
        </w:tc>
      </w:t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Financial Reporting</w:t>
            </w:r>
          </w:p>
        </w:tc>
      </w:tr>
      <w:tr>
        <w:trPr>
          <w:trHeight w:val="236"/>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776"/>
        </w:trPr>
        <w:tc>
          <w:tcPr>
            <w:tcW w:w="6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NetEase, Inc. (the “Company”) on Form 20-F for the year ended December 31, 2024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as applicable, of the Securities Exchange Act of 1934; and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Lei 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NetEase, Inc. (the “Company”) on Form 20-F for the year ended December 31, 2024 as filed with the Securities and Exchange Commission (the “Report”), I, Sarah Ying Li, the Head of Financial Reporting of the Company, hereby certify as of the date hereof, solely for purposes of Title 18, Chapter 63, Section 1350 of the United States Code, that to the best of my knowledge: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as applicable, of the Securities Exchange Act of 1934; and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Sarah Ying Li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Ying Li</w:t>
            </w:r>
          </w:p>
        </w:tc>
        <w:tc>
          <w:tcPr>
            <w:tcW w:w="4880" w:type="dxa"/>
            <w:vAlign w:val="bottom"/>
          </w:tcPr>
          <w:p>
            <w:pPr>
              <w:spacing w:after="0"/>
              <w:rPr>
                <w:sz w:val="16"/>
                <w:szCs w:val="16"/>
                <w:color w:val="auto"/>
              </w:rPr>
            </w:pPr>
          </w:p>
        </w:tc>
      </w:t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Financial Reporting</w:t>
            </w:r>
          </w:p>
        </w:tc>
      </w:tr>
      <w:tr>
        <w:trPr>
          <w:trHeight w:val="236"/>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777"/>
        </w:trPr>
        <w:tc>
          <w:tcPr>
            <w:tcW w:w="6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(No.333-234189) of NetEase, Inc. of our report dated April 15, 2025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MCR/302157-000001/32075916v1</w:t>
      </w:r>
    </w:p>
    <w:p>
      <w:pPr>
        <w:spacing w:after="0" w:line="3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matt.roberts@maples.com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COURIER</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NetEase, Inc.</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NetEase Building, No. 599 Wangshang Road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Binjiang District, Hangzhou, 310052</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April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NetEase, Inc.</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acted as legal advisors as to the laws of the Cayman Islands to NetEase,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2024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10. Additional Information – E. Taxation – Cayman Islands Taxation” and “Item 10. Additional Information – E. Taxation – Enforcement of Civil Liabilities” in the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92215" cy="1568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629221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NetEase Building, No. 599 Wangshang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Binjiang District, Hangzhou</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Zhejiang Province, PRC</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of “Enforcement of Civil Liabilities” in NETEASE, INC.’s Annual Report on Form 20-F for year ended December 31, 2024, which will be filed with the Securities and Exchange Commission.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Zhong Lun Law Firm</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1."/>
      <w:numFmt w:val="upperLetter"/>
      <w:start w:val="1"/>
    </w:lvl>
  </w:abstractNum>
  <w:abstractNum w:abstractNumId="12">
    <w:nsid w:val="5FB8370B"/>
    <w:multiLevelType w:val="hybridMultilevel"/>
    <w:lvl w:ilvl="0">
      <w:lvlJc w:val="left"/>
      <w:lvlText w:val="%1."/>
      <w:numFmt w:val="upperLetter"/>
      <w:start w:val="3"/>
    </w:lvl>
  </w:abstractNum>
  <w:abstractNum w:abstractNumId="13">
    <w:nsid w:val="50801EE1"/>
    <w:multiLevelType w:val="hybridMultilevel"/>
    <w:lvl w:ilvl="0">
      <w:lvlJc w:val="left"/>
      <w:lvlText w:val="%1."/>
      <w:numFmt w:val="upperLetter"/>
      <w:start w:val="4"/>
    </w:lvl>
  </w:abstractNum>
  <w:abstractNum w:abstractNumId="14">
    <w:nsid w:val="488AC1A"/>
    <w:multiLevelType w:val="hybridMultilevel"/>
    <w:lvl w:ilvl="0">
      <w:lvlJc w:val="left"/>
      <w:lvlText w:val="●"/>
      <w:numFmt w:val="bullet"/>
      <w:start w:val="1"/>
    </w:lvl>
    <w:lvl w:ilvl="1">
      <w:lvlJc w:val="left"/>
      <w:lvlText w:val="●"/>
      <w:numFmt w:val="bullet"/>
      <w:start w:val="1"/>
    </w:lvl>
  </w:abstractNum>
  <w:abstractNum w:abstractNumId="15">
    <w:nsid w:val="5FB8011C"/>
    <w:multiLevelType w:val="hybridMultilevel"/>
    <w:lvl w:ilvl="0">
      <w:lvlJc w:val="left"/>
      <w:lvlText w:val="●"/>
      <w:numFmt w:val="bullet"/>
      <w:start w:val="1"/>
    </w:lvl>
    <w:lvl w:ilvl="1">
      <w:lvlJc w:val="left"/>
      <w:lvlText w:val="●"/>
      <w:numFmt w:val="bullet"/>
      <w:start w:val="1"/>
    </w:lvl>
  </w:abstractNum>
  <w:abstractNum w:abstractNumId="16">
    <w:nsid w:val="6AA78F7F"/>
    <w:multiLevelType w:val="hybridMultilevel"/>
    <w:lvl w:ilvl="0">
      <w:lvlJc w:val="left"/>
      <w:lvlText w:val="●"/>
      <w:numFmt w:val="bullet"/>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
      <w:numFmt w:val="bullet"/>
      <w:start w:val="1"/>
    </w:lvl>
  </w:abstractNum>
  <w:abstractNum w:abstractNumId="20">
    <w:nsid w:val="7D5E18F8"/>
    <w:multiLevelType w:val="hybridMultilevel"/>
    <w:lvl w:ilvl="0">
      <w:lvlJc w:val="left"/>
      <w:lvlText w:val="●"/>
      <w:numFmt w:val="bullet"/>
      <w:start w:val="1"/>
    </w:lvl>
  </w:abstractNum>
  <w:abstractNum w:abstractNumId="21">
    <w:nsid w:val="5F3534A4"/>
    <w:multiLevelType w:val="hybridMultilevel"/>
    <w:lvl w:ilvl="0">
      <w:lvlJc w:val="left"/>
      <w:lvlText w:val="●"/>
      <w:numFmt w:val="bullet"/>
      <w:start w:val="1"/>
    </w:lvl>
  </w:abstractNum>
  <w:abstractNum w:abstractNumId="22">
    <w:nsid w:val="73A1821B"/>
    <w:multiLevelType w:val="hybridMultilevel"/>
    <w:lvl w:ilvl="0">
      <w:lvlJc w:val="left"/>
      <w:lvlText w:val="●"/>
      <w:numFmt w:val="bullet"/>
      <w:start w:val="1"/>
    </w:lvl>
    <w:lvl w:ilvl="1">
      <w:lvlJc w:val="left"/>
      <w:lvlText w:val="●"/>
      <w:numFmt w:val="bullet"/>
      <w:start w:val="1"/>
    </w:lvl>
  </w:abstractNum>
  <w:abstractNum w:abstractNumId="23">
    <w:nsid w:val="7DE67713"/>
    <w:multiLevelType w:val="hybridMultilevel"/>
    <w:lvl w:ilvl="0">
      <w:lvlJc w:val="left"/>
      <w:lvlText w:val="●"/>
      <w:numFmt w:val="bullet"/>
      <w:start w:val="1"/>
    </w:lvl>
  </w:abstractNum>
  <w:abstractNum w:abstractNumId="24">
    <w:nsid w:val="555C55B5"/>
    <w:multiLevelType w:val="hybridMultilevel"/>
    <w:lvl w:ilvl="0">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
      <w:numFmt w:val="bullet"/>
      <w:start w:val="1"/>
    </w:lvl>
  </w:abstractNum>
  <w:abstractNum w:abstractNumId="27">
    <w:nsid w:val="6A3DD3E8"/>
    <w:multiLevelType w:val="hybridMultilevel"/>
    <w:lvl w:ilvl="0">
      <w:lvlJc w:val="left"/>
      <w:lvlText w:val="●"/>
      <w:numFmt w:val="bullet"/>
      <w:start w:val="1"/>
    </w:lvl>
  </w:abstractNum>
  <w:abstractNum w:abstractNumId="28">
    <w:nsid w:val="71C91298"/>
    <w:multiLevelType w:val="hybridMultilevel"/>
    <w:lvl w:ilvl="0">
      <w:lvlJc w:val="left"/>
      <w:lvlText w:val="●"/>
      <w:numFmt w:val="bullet"/>
      <w:start w:val="1"/>
    </w:lvl>
  </w:abstractNum>
  <w:abstractNum w:abstractNumId="29">
    <w:nsid w:val="9DAF632"/>
    <w:multiLevelType w:val="hybridMultilevel"/>
    <w:lvl w:ilvl="0">
      <w:lvlJc w:val="left"/>
      <w:lvlText w:val="●"/>
      <w:numFmt w:val="bullet"/>
      <w:start w:val="1"/>
    </w:lvl>
  </w:abstractNum>
  <w:abstractNum w:abstractNumId="30">
    <w:nsid w:val="53299938"/>
    <w:multiLevelType w:val="hybridMultilevel"/>
    <w:lvl w:ilvl="0">
      <w:lvlJc w:val="left"/>
      <w:lvlText w:val="●"/>
      <w:numFmt w:val="bullet"/>
      <w:start w:val="1"/>
    </w:lvl>
  </w:abstractNum>
  <w:abstractNum w:abstractNumId="31">
    <w:nsid w:val="1FBFE8E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5092CA79"/>
    <w:multiLevelType w:val="hybridMultilevel"/>
    <w:lvl w:ilvl="0">
      <w:lvlJc w:val="left"/>
      <w:lvlText w:val="●"/>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1)"/>
      <w:numFmt w:val="decimal"/>
      <w:start w:val="1"/>
    </w:lvl>
  </w:abstractNum>
  <w:abstractNum w:abstractNumId="35">
    <w:nsid w:val="288F1A34"/>
    <w:multiLevelType w:val="hybridMultilevel"/>
    <w:lvl w:ilvl="0">
      <w:lvlJc w:val="left"/>
      <w:lvlText w:val="●"/>
      <w:numFmt w:val="bullet"/>
      <w:start w:val="1"/>
    </w:lvl>
  </w:abstractNum>
  <w:abstractNum w:abstractNumId="36">
    <w:nsid w:val="2A155DBC"/>
    <w:multiLevelType w:val="hybridMultilevel"/>
    <w:lvl w:ilvl="0">
      <w:lvlJc w:val="left"/>
      <w:lvlText w:val="●"/>
      <w:numFmt w:val="bullet"/>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
      <w:numFmt w:val="bullet"/>
      <w:start w:val="1"/>
    </w:lvl>
  </w:abstractNum>
  <w:abstractNum w:abstractNumId="40">
    <w:nsid w:val="1CA0C5FA"/>
    <w:multiLevelType w:val="hybridMultilevel"/>
    <w:lvl w:ilvl="0">
      <w:lvlJc w:val="left"/>
      <w:lvlText w:val="●"/>
      <w:numFmt w:val="bullet"/>
      <w:start w:val="1"/>
    </w:lvl>
  </w:abstractNum>
  <w:abstractNum w:abstractNumId="41">
    <w:nsid w:val="53584BCB"/>
    <w:multiLevelType w:val="hybridMultilevel"/>
    <w:lvl w:ilvl="0">
      <w:lvlJc w:val="left"/>
      <w:lvlText w:val="%1."/>
      <w:numFmt w:val="upperLetter"/>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1."/>
      <w:numFmt w:val="upperLetter"/>
      <w:start w:val="2"/>
    </w:lvl>
  </w:abstractNum>
  <w:abstractNum w:abstractNumId="44">
    <w:nsid w:val="23D86AAC"/>
    <w:multiLevelType w:val="hybridMultilevel"/>
    <w:lvl w:ilvl="0">
      <w:lvlJc w:val="left"/>
      <w:lvlText w:val="(%1)"/>
      <w:numFmt w:val="decimal"/>
      <w:start w:val="1"/>
    </w:lvl>
  </w:abstractNum>
  <w:abstractNum w:abstractNumId="45">
    <w:nsid w:val="45E6D486"/>
    <w:multiLevelType w:val="hybridMultilevel"/>
    <w:lvl w:ilvl="0">
      <w:lvlJc w:val="left"/>
      <w:lvlText w:val="●"/>
      <w:numFmt w:val="bullet"/>
      <w:start w:val="1"/>
    </w:lvl>
  </w:abstractNum>
  <w:abstractNum w:abstractNumId="46">
    <w:nsid w:val="5C10FE21"/>
    <w:multiLevelType w:val="hybridMultilevel"/>
    <w:lvl w:ilvl="0">
      <w:lvlJc w:val="left"/>
      <w:lvlText w:val="●"/>
      <w:numFmt w:val="bullet"/>
      <w:start w:val="1"/>
    </w:lvl>
  </w:abstractNum>
  <w:abstractNum w:abstractNumId="47">
    <w:nsid w:val="E7FFA2B"/>
    <w:multiLevelType w:val="hybridMultilevel"/>
    <w:lvl w:ilvl="0">
      <w:lvlJc w:val="left"/>
      <w:lvlText w:val="●"/>
      <w:numFmt w:val="bullet"/>
      <w:start w:val="1"/>
    </w:lvl>
  </w:abstractNum>
  <w:abstractNum w:abstractNumId="48">
    <w:nsid w:val="3C5991AA"/>
    <w:multiLevelType w:val="hybridMultilevel"/>
    <w:lvl w:ilvl="0">
      <w:lvlJc w:val="left"/>
      <w:lvlText w:val="●"/>
      <w:numFmt w:val="bullet"/>
      <w:start w:val="1"/>
    </w:lvl>
  </w:abstractNum>
  <w:abstractNum w:abstractNumId="49">
    <w:nsid w:val="4BD8591A"/>
    <w:multiLevelType w:val="hybridMultilevel"/>
    <w:lvl w:ilvl="0">
      <w:lvlJc w:val="left"/>
      <w:lvlText w:val="●"/>
      <w:numFmt w:val="bullet"/>
      <w:start w:val="1"/>
    </w:lvl>
  </w:abstractNum>
  <w:abstractNum w:abstractNumId="50">
    <w:nsid w:val="78DF6A55"/>
    <w:multiLevelType w:val="hybridMultilevel"/>
    <w:lvl w:ilvl="0">
      <w:lvlJc w:val="left"/>
      <w:lvlText w:val="●"/>
      <w:numFmt w:val="bullet"/>
      <w:start w:val="1"/>
    </w:lvl>
  </w:abstractNum>
  <w:abstractNum w:abstractNumId="51">
    <w:nsid w:val="39B7AAA2"/>
    <w:multiLevelType w:val="hybridMultilevel"/>
    <w:lvl w:ilvl="0">
      <w:lvlJc w:val="left"/>
      <w:lvlText w:val="(%1)"/>
      <w:numFmt w:val="lowerRoman"/>
      <w:start w:val="6"/>
    </w:lvl>
  </w:abstractNum>
  <w:abstractNum w:abstractNumId="52">
    <w:nsid w:val="2B0D8DBE"/>
    <w:multiLevelType w:val="hybridMultilevel"/>
    <w:lvl w:ilvl="0">
      <w:lvlJc w:val="left"/>
      <w:lvlText w:val="●"/>
      <w:numFmt w:val="bullet"/>
      <w:start w:val="1"/>
    </w:lvl>
  </w:abstractNum>
  <w:abstractNum w:abstractNumId="53">
    <w:nsid w:val="6C80EC70"/>
    <w:multiLevelType w:val="hybridMultilevel"/>
    <w:lvl w:ilvl="0">
      <w:lvlJc w:val="left"/>
      <w:lvlText w:val="(%1)"/>
      <w:numFmt w:val="lowerRoman"/>
      <w:start w:val="3"/>
    </w:lvl>
  </w:abstractNum>
  <w:abstractNum w:abstractNumId="54">
    <w:nsid w:val="379E21B5"/>
    <w:multiLevelType w:val="hybridMultilevel"/>
    <w:lvl w:ilvl="0">
      <w:lvlJc w:val="left"/>
      <w:lvlText w:val="(%1)"/>
      <w:numFmt w:val="lowerRoman"/>
      <w:start w:val="4"/>
    </w:lvl>
  </w:abstractNum>
  <w:abstractNum w:abstractNumId="55">
    <w:nsid w:val="69E373"/>
    <w:multiLevelType w:val="hybridMultilevel"/>
    <w:lvl w:ilvl="0">
      <w:lvlJc w:val="left"/>
      <w:lvlText w:val="(%1)"/>
      <w:numFmt w:val="lowerRoman"/>
      <w:start w:val="1"/>
    </w:lvl>
  </w:abstractNum>
  <w:abstractNum w:abstractNumId="56">
    <w:nsid w:val="2C27173B"/>
    <w:multiLevelType w:val="hybridMultilevel"/>
    <w:lvl w:ilvl="0">
      <w:lvlJc w:val="left"/>
      <w:lvlText w:val="%1."/>
      <w:numFmt w:val="upperLetter"/>
      <w:start w:val="3"/>
    </w:lvl>
  </w:abstractNum>
  <w:abstractNum w:abstractNumId="57">
    <w:nsid w:val="4C9B0904"/>
    <w:multiLevelType w:val="hybridMultilevel"/>
    <w:lvl w:ilvl="0">
      <w:lvlJc w:val="left"/>
      <w:lvlText w:val="%1."/>
      <w:numFmt w:val="upperLetter"/>
      <w:start w:val="4"/>
    </w:lvl>
  </w:abstractNum>
  <w:abstractNum w:abstractNumId="58">
    <w:nsid w:val="6AA7B75C"/>
    <w:multiLevelType w:val="hybridMultilevel"/>
    <w:lvl w:ilvl="0">
      <w:lvlJc w:val="left"/>
      <w:lvlText w:val="%1."/>
      <w:numFmt w:val="upperLetter"/>
      <w:start w:val="1"/>
    </w:lvl>
  </w:abstractNum>
  <w:abstractNum w:abstractNumId="59">
    <w:nsid w:val="1DF029D3"/>
    <w:multiLevelType w:val="hybridMultilevel"/>
    <w:lvl w:ilvl="0">
      <w:lvlJc w:val="left"/>
      <w:lvlText w:val="●"/>
      <w:numFmt w:val="bullet"/>
      <w:start w:val="1"/>
    </w:lvl>
  </w:abstractNum>
  <w:abstractNum w:abstractNumId="60">
    <w:nsid w:val="5675FF36"/>
    <w:multiLevelType w:val="hybridMultilevel"/>
    <w:lvl w:ilvl="0">
      <w:lvlJc w:val="left"/>
      <w:lvlText w:val="(%1)"/>
      <w:numFmt w:val="decimal"/>
      <w:start w:val="1"/>
    </w:lvl>
  </w:abstractNum>
  <w:abstractNum w:abstractNumId="61">
    <w:nsid w:val="3DD15094"/>
    <w:multiLevelType w:val="hybridMultilevel"/>
    <w:lvl w:ilvl="0">
      <w:lvlJc w:val="left"/>
      <w:lvlText w:val="(%1)"/>
      <w:numFmt w:val="decimal"/>
      <w:start w:val="3"/>
    </w:lvl>
  </w:abstractNum>
  <w:abstractNum w:abstractNumId="62">
    <w:nsid w:val="3DB012B3"/>
    <w:multiLevelType w:val="hybridMultilevel"/>
    <w:lvl w:ilvl="0">
      <w:lvlJc w:val="left"/>
      <w:lvlText w:val="(%1)"/>
      <w:numFmt w:val="decimal"/>
      <w:start w:val="4"/>
    </w:lvl>
  </w:abstractNum>
  <w:abstractNum w:abstractNumId="63">
    <w:nsid w:val="2708C9AF"/>
    <w:multiLevelType w:val="hybridMultilevel"/>
    <w:lvl w:ilvl="0">
      <w:lvlJc w:val="left"/>
      <w:lvlText w:val="(%1)"/>
      <w:numFmt w:val="decimal"/>
      <w:start w:val="1"/>
    </w:lvl>
  </w:abstractNum>
  <w:abstractNum w:abstractNumId="64">
    <w:nsid w:val="5B25ACE2"/>
    <w:multiLevelType w:val="hybridMultilevel"/>
    <w:lvl w:ilvl="0">
      <w:lvlJc w:val="left"/>
      <w:lvlText w:val="●"/>
      <w:numFmt w:val="bullet"/>
      <w:start w:val="1"/>
    </w:lvl>
  </w:abstractNum>
  <w:abstractNum w:abstractNumId="65">
    <w:nsid w:val="175DFCF0"/>
    <w:multiLevelType w:val="hybridMultilevel"/>
    <w:lvl w:ilvl="0">
      <w:lvlJc w:val="left"/>
      <w:lvlText w:val="●"/>
      <w:numFmt w:val="bullet"/>
      <w:start w:val="1"/>
    </w:lvl>
  </w:abstractNum>
  <w:abstractNum w:abstractNumId="66">
    <w:nsid w:val="4F97E3E4"/>
    <w:multiLevelType w:val="hybridMultilevel"/>
    <w:lvl w:ilvl="0">
      <w:lvlJc w:val="left"/>
      <w:lvlText w:val="●"/>
      <w:numFmt w:val="bullet"/>
      <w:start w:val="1"/>
    </w:lvl>
  </w:abstractNum>
  <w:abstractNum w:abstractNumId="67">
    <w:nsid w:val="53B0A9E"/>
    <w:multiLevelType w:val="hybridMultilevel"/>
    <w:lvl w:ilvl="0">
      <w:lvlJc w:val="left"/>
      <w:lvlText w:val="●"/>
      <w:numFmt w:val="bullet"/>
      <w:start w:val="1"/>
    </w:lvl>
  </w:abstractNum>
  <w:abstractNum w:abstractNumId="68">
    <w:nsid w:val="34FD6B4F"/>
    <w:multiLevelType w:val="hybridMultilevel"/>
    <w:lvl w:ilvl="0">
      <w:lvlJc w:val="left"/>
      <w:lvlText w:val="%1."/>
      <w:numFmt w:val="upperLetter"/>
      <w:start w:val="1"/>
    </w:lvl>
  </w:abstractNum>
  <w:abstractNum w:abstractNumId="69">
    <w:nsid w:val="5915FF32"/>
    <w:multiLevelType w:val="hybridMultilevel"/>
    <w:lvl w:ilvl="0">
      <w:lvlJc w:val="left"/>
      <w:lvlText w:val="(%1)"/>
      <w:numFmt w:val="decimal"/>
      <w:start w:val="1"/>
    </w:lvl>
  </w:abstractNum>
  <w:abstractNum w:abstractNumId="70">
    <w:nsid w:val="56438D15"/>
    <w:multiLevelType w:val="hybridMultilevel"/>
    <w:lvl w:ilvl="0">
      <w:lvlJc w:val="left"/>
      <w:lvlText w:val="%1."/>
      <w:numFmt w:val="upperLetter"/>
      <w:start w:val="2"/>
    </w:lvl>
  </w:abstractNum>
  <w:abstractNum w:abstractNumId="71">
    <w:nsid w:val="519E3149"/>
    <w:multiLevelType w:val="hybridMultilevel"/>
    <w:lvl w:ilvl="0">
      <w:lvlJc w:val="left"/>
      <w:lvlText w:val="%1."/>
      <w:numFmt w:val="upperLetter"/>
      <w:start w:val="3"/>
    </w:lvl>
  </w:abstractNum>
  <w:abstractNum w:abstractNumId="72">
    <w:nsid w:val="2C6E4AFD"/>
    <w:multiLevelType w:val="hybridMultilevel"/>
    <w:lvl w:ilvl="0">
      <w:lvlJc w:val="left"/>
      <w:lvlText w:val="%1."/>
      <w:numFmt w:val="upperLetter"/>
      <w:start w:val="4"/>
    </w:lvl>
  </w:abstractNum>
  <w:abstractNum w:abstractNumId="73">
    <w:nsid w:val="17A1B582"/>
    <w:multiLevelType w:val="hybridMultilevel"/>
    <w:lvl w:ilvl="0">
      <w:lvlJc w:val="left"/>
      <w:lvlText w:val="%1."/>
      <w:numFmt w:val="upperLetter"/>
      <w:start w:val="5"/>
    </w:lvl>
  </w:abstractNum>
  <w:abstractNum w:abstractNumId="74">
    <w:nsid w:val="4DF72E4E"/>
    <w:multiLevelType w:val="hybridMultilevel"/>
    <w:lvl w:ilvl="0">
      <w:lvlJc w:val="left"/>
      <w:lvlText w:val="●"/>
      <w:numFmt w:val="bullet"/>
      <w:start w:val="1"/>
    </w:lvl>
  </w:abstractNum>
  <w:abstractNum w:abstractNumId="75">
    <w:nsid w:val="5046B5A9"/>
    <w:multiLevelType w:val="hybridMultilevel"/>
    <w:lvl w:ilvl="0">
      <w:lvlJc w:val="left"/>
      <w:lvlText w:val="(%1)"/>
      <w:numFmt w:val="decimal"/>
      <w:start w:val="1"/>
    </w:lvl>
  </w:abstractNum>
  <w:abstractNum w:abstractNumId="76">
    <w:nsid w:val="5D888A08"/>
    <w:multiLevelType w:val="hybridMultilevel"/>
    <w:lvl w:ilvl="0">
      <w:lvlJc w:val="left"/>
      <w:lvlText w:val="%1."/>
      <w:numFmt w:val="upperLetter"/>
      <w:start w:val="6"/>
    </w:lvl>
  </w:abstractNum>
  <w:abstractNum w:abstractNumId="77">
    <w:nsid w:val="2A082C70"/>
    <w:multiLevelType w:val="hybridMultilevel"/>
    <w:lvl w:ilvl="0">
      <w:lvlJc w:val="left"/>
      <w:lvlText w:val="%1."/>
      <w:numFmt w:val="upperLetter"/>
      <w:start w:val="1"/>
    </w:lvl>
  </w:abstractNum>
  <w:abstractNum w:abstractNumId="78">
    <w:nsid w:val="5EC6AFD4"/>
    <w:multiLevelType w:val="hybridMultilevel"/>
    <w:lvl w:ilvl="0">
      <w:lvlJc w:val="left"/>
      <w:lvlText w:val="%1."/>
      <w:numFmt w:val="upperLetter"/>
      <w:start w:val="2"/>
    </w:lvl>
  </w:abstractNum>
  <w:abstractNum w:abstractNumId="79">
    <w:nsid w:val="19E21BB2"/>
    <w:multiLevelType w:val="hybridMultilevel"/>
    <w:lvl w:ilvl="0">
      <w:lvlJc w:val="left"/>
      <w:lvlText w:val="●"/>
      <w:numFmt w:val="bullet"/>
      <w:start w:val="1"/>
    </w:lvl>
    <w:lvl w:ilvl="1">
      <w:lvlJc w:val="left"/>
      <w:lvlText w:val="●"/>
      <w:numFmt w:val="bullet"/>
      <w:start w:val="1"/>
    </w:lvl>
  </w:abstractNum>
  <w:abstractNum w:abstractNumId="80">
    <w:nsid w:val="75E0858A"/>
    <w:multiLevelType w:val="hybridMultilevel"/>
    <w:lvl w:ilvl="0">
      <w:lvlJc w:val="left"/>
      <w:lvlText w:val="●"/>
      <w:numFmt w:val="bullet"/>
      <w:start w:val="1"/>
    </w:lvl>
  </w:abstractNum>
  <w:abstractNum w:abstractNumId="81">
    <w:nsid w:val="57A61A29"/>
    <w:multiLevelType w:val="hybridMultilevel"/>
    <w:lvl w:ilvl="0">
      <w:lvlJc w:val="left"/>
      <w:lvlText w:val="●"/>
      <w:numFmt w:val="bullet"/>
      <w:start w:val="1"/>
    </w:lvl>
  </w:abstractNum>
  <w:abstractNum w:abstractNumId="82">
    <w:nsid w:val="5399C654"/>
    <w:multiLevelType w:val="hybridMultilevel"/>
    <w:lvl w:ilvl="0">
      <w:lvlJc w:val="left"/>
      <w:lvlText w:val="●"/>
      <w:numFmt w:val="bullet"/>
      <w:start w:val="1"/>
    </w:lvl>
  </w:abstractNum>
  <w:abstractNum w:abstractNumId="83">
    <w:nsid w:val="20EE1348"/>
    <w:multiLevelType w:val="hybridMultilevel"/>
    <w:lvl w:ilvl="0">
      <w:lvlJc w:val="left"/>
      <w:lvlText w:val="●"/>
      <w:numFmt w:val="bullet"/>
      <w:start w:val="1"/>
    </w:lvl>
    <w:lvl w:ilvl="1">
      <w:lvlJc w:val="left"/>
      <w:lvlText w:val="●"/>
      <w:numFmt w:val="bullet"/>
      <w:start w:val="1"/>
    </w:lvl>
  </w:abstractNum>
  <w:abstractNum w:abstractNumId="84">
    <w:nsid w:val="4427069A"/>
    <w:multiLevelType w:val="hybridMultilevel"/>
    <w:lvl w:ilvl="0">
      <w:lvlJc w:val="left"/>
      <w:lvlText w:val="●"/>
      <w:numFmt w:val="bullet"/>
      <w:start w:val="1"/>
    </w:lvl>
  </w:abstractNum>
  <w:abstractNum w:abstractNumId="85">
    <w:nsid w:val="B37E80A"/>
    <w:multiLevelType w:val="hybridMultilevel"/>
    <w:lvl w:ilvl="0">
      <w:lvlJc w:val="left"/>
      <w:lvlText w:val="●"/>
      <w:numFmt w:val="bullet"/>
      <w:start w:val="1"/>
    </w:lvl>
    <w:lvl w:ilvl="1">
      <w:lvlJc w:val="left"/>
      <w:lvlText w:val="●"/>
      <w:numFmt w:val="bullet"/>
      <w:start w:val="1"/>
    </w:lvl>
  </w:abstractNum>
  <w:abstractNum w:abstractNumId="86">
    <w:nsid w:val="2157F6BC"/>
    <w:multiLevelType w:val="hybridMultilevel"/>
    <w:lvl w:ilvl="0">
      <w:lvlJc w:val="left"/>
      <w:lvlText w:val="●"/>
      <w:numFmt w:val="bullet"/>
      <w:start w:val="1"/>
    </w:lvl>
  </w:abstractNum>
  <w:abstractNum w:abstractNumId="87">
    <w:nsid w:val="704E1DD5"/>
    <w:multiLevelType w:val="hybridMultilevel"/>
    <w:lvl w:ilvl="0">
      <w:lvlJc w:val="left"/>
      <w:lvlText w:val="●"/>
      <w:numFmt w:val="bullet"/>
      <w:start w:val="1"/>
    </w:lvl>
  </w:abstractNum>
  <w:abstractNum w:abstractNumId="88">
    <w:nsid w:val="57D2F10E"/>
    <w:multiLevelType w:val="hybridMultilevel"/>
    <w:lvl w:ilvl="0">
      <w:lvlJc w:val="left"/>
      <w:lvlText w:val="●"/>
      <w:numFmt w:val="bullet"/>
      <w:start w:val="1"/>
    </w:lvl>
  </w:abstractNum>
  <w:abstractNum w:abstractNumId="89">
    <w:nsid w:val="BFFAE18"/>
    <w:multiLevelType w:val="hybridMultilevel"/>
    <w:lvl w:ilvl="0">
      <w:lvlJc w:val="left"/>
      <w:lvlText w:val="%1."/>
      <w:numFmt w:val="upperLetter"/>
      <w:start w:val="3"/>
    </w:lvl>
  </w:abstractNum>
  <w:abstractNum w:abstractNumId="90">
    <w:nsid w:val="E3E47A8"/>
    <w:multiLevelType w:val="hybridMultilevel"/>
    <w:lvl w:ilvl="0">
      <w:lvlJc w:val="left"/>
      <w:lvlText w:val="%1."/>
      <w:numFmt w:val="upperLetter"/>
      <w:start w:val="1"/>
    </w:lvl>
  </w:abstractNum>
  <w:abstractNum w:abstractNumId="91">
    <w:nsid w:val="2E48F044"/>
    <w:multiLevelType w:val="hybridMultilevel"/>
    <w:lvl w:ilvl="0">
      <w:lvlJc w:val="left"/>
      <w:lvlText w:val="%1."/>
      <w:numFmt w:val="upperLetter"/>
      <w:start w:val="2"/>
    </w:lvl>
  </w:abstractNum>
  <w:abstractNum w:abstractNumId="92">
    <w:nsid w:val="49D0FEAC"/>
    <w:multiLevelType w:val="hybridMultilevel"/>
    <w:lvl w:ilvl="0">
      <w:lvlJc w:val="left"/>
      <w:lvlText w:val="%1."/>
      <w:numFmt w:val="upperLetter"/>
      <w:start w:val="1"/>
    </w:lvl>
  </w:abstractNum>
  <w:abstractNum w:abstractNumId="93">
    <w:nsid w:val="4BEE5A5B"/>
    <w:multiLevelType w:val="hybridMultilevel"/>
    <w:lvl w:ilvl="0">
      <w:lvlJc w:val="left"/>
      <w:lvlText w:val="%1."/>
      <w:numFmt w:val="upperLetter"/>
      <w:start w:val="2"/>
    </w:lvl>
  </w:abstractNum>
  <w:abstractNum w:abstractNumId="94">
    <w:nsid w:val="5551B9F3"/>
    <w:multiLevelType w:val="hybridMultilevel"/>
    <w:lvl w:ilvl="0">
      <w:lvlJc w:val="left"/>
      <w:lvlText w:val="(%1)"/>
      <w:numFmt w:val="decimal"/>
      <w:start w:val="6"/>
    </w:lvl>
  </w:abstractNum>
  <w:abstractNum w:abstractNumId="95">
    <w:nsid w:val="24F6AB8E"/>
    <w:multiLevelType w:val="hybridMultilevel"/>
    <w:lvl w:ilvl="0">
      <w:lvlJc w:val="left"/>
      <w:lvlText w:val="(%1)"/>
      <w:numFmt w:val="lowerLetter"/>
      <w:start w:val="1"/>
    </w:lvl>
  </w:abstractNum>
  <w:abstractNum w:abstractNumId="96">
    <w:nsid w:val="634C574C"/>
    <w:multiLevelType w:val="hybridMultilevel"/>
    <w:lvl w:ilvl="0">
      <w:lvlJc w:val="left"/>
      <w:lvlText w:val="●"/>
      <w:numFmt w:val="bullet"/>
      <w:start w:val="1"/>
    </w:lvl>
  </w:abstractNum>
  <w:abstractNum w:abstractNumId="97">
    <w:nsid w:val="24E99DD7"/>
    <w:multiLevelType w:val="hybridMultilevel"/>
    <w:lvl w:ilvl="0">
      <w:lvlJc w:val="left"/>
      <w:lvlText w:val="%1."/>
      <w:numFmt w:val="upperLetter"/>
      <w:start w:val="3"/>
    </w:lvl>
  </w:abstractNum>
  <w:abstractNum w:abstractNumId="98">
    <w:nsid w:val="2A31B62D"/>
    <w:multiLevelType w:val="hybridMultilevel"/>
    <w:lvl w:ilvl="0">
      <w:lvlJc w:val="left"/>
      <w:lvlText w:val="%1."/>
      <w:numFmt w:val="upperLetter"/>
      <w:start w:val="4"/>
    </w:lvl>
  </w:abstractNum>
  <w:abstractNum w:abstractNumId="99">
    <w:nsid w:val="1849C29B"/>
    <w:multiLevelType w:val="hybridMultilevel"/>
    <w:lvl w:ilvl="0">
      <w:lvlJc w:val="left"/>
      <w:lvlText w:val="%1."/>
      <w:numFmt w:val="upperLetter"/>
      <w:start w:val="5"/>
    </w:lvl>
  </w:abstractNum>
  <w:abstractNum w:abstractNumId="100">
    <w:nsid w:val="7DFF9D09"/>
    <w:multiLevelType w:val="hybridMultilevel"/>
    <w:lvl w:ilvl="0">
      <w:lvlJc w:val="left"/>
      <w:lvlText w:val="●"/>
      <w:numFmt w:val="bullet"/>
      <w:start w:val="1"/>
    </w:lvl>
  </w:abstractNum>
  <w:abstractNum w:abstractNumId="101">
    <w:nsid w:val="754342"/>
    <w:multiLevelType w:val="hybridMultilevel"/>
    <w:lvl w:ilvl="0">
      <w:lvlJc w:val="left"/>
      <w:lvlText w:val="●"/>
      <w:numFmt w:val="bullet"/>
      <w:start w:val="1"/>
    </w:lvl>
  </w:abstractNum>
  <w:abstractNum w:abstractNumId="102">
    <w:nsid w:val="69E7F3E5"/>
    <w:multiLevelType w:val="hybridMultilevel"/>
    <w:lvl w:ilvl="0">
      <w:lvlJc w:val="left"/>
      <w:lvlText w:val="●"/>
      <w:numFmt w:val="bullet"/>
      <w:start w:val="1"/>
    </w:lvl>
  </w:abstractNum>
  <w:abstractNum w:abstractNumId="103">
    <w:nsid w:val="2A6DE806"/>
    <w:multiLevelType w:val="hybridMultilevel"/>
    <w:lvl w:ilvl="0">
      <w:lvlJc w:val="left"/>
      <w:lvlText w:val="●"/>
      <w:numFmt w:val="bullet"/>
      <w:start w:val="1"/>
    </w:lvl>
  </w:abstractNum>
  <w:abstractNum w:abstractNumId="104">
    <w:nsid w:val="1816F8C4"/>
    <w:multiLevelType w:val="hybridMultilevel"/>
    <w:lvl w:ilvl="0">
      <w:lvlJc w:val="left"/>
      <w:lvlText w:val="●"/>
      <w:numFmt w:val="bullet"/>
      <w:start w:val="1"/>
    </w:lvl>
  </w:abstractNum>
  <w:abstractNum w:abstractNumId="105">
    <w:nsid w:val="37DF2233"/>
    <w:multiLevelType w:val="hybridMultilevel"/>
    <w:lvl w:ilvl="0">
      <w:lvlJc w:val="left"/>
      <w:lvlText w:val="(%1)"/>
      <w:numFmt w:val="decimal"/>
      <w:start w:val="1"/>
    </w:lvl>
  </w:abstractNum>
  <w:abstractNum w:abstractNumId="106">
    <w:nsid w:val="7AB49DAF"/>
    <w:multiLevelType w:val="hybridMultilevel"/>
    <w:lvl w:ilvl="0">
      <w:lvlJc w:val="left"/>
      <w:lvlText w:val="%1."/>
      <w:numFmt w:val="upperLetter"/>
      <w:start w:val="6"/>
    </w:lvl>
  </w:abstractNum>
  <w:abstractNum w:abstractNumId="107">
    <w:nsid w:val="759F82CD"/>
    <w:multiLevelType w:val="hybridMultilevel"/>
    <w:lvl w:ilvl="0">
      <w:lvlJc w:val="left"/>
      <w:lvlText w:val="%1."/>
      <w:numFmt w:val="upperLetter"/>
      <w:start w:val="8"/>
    </w:lvl>
  </w:abstractNum>
  <w:abstractNum w:abstractNumId="108">
    <w:nsid w:val="61E74EA3"/>
    <w:multiLevelType w:val="hybridMultilevel"/>
    <w:lvl w:ilvl="0">
      <w:lvlJc w:val="left"/>
      <w:lvlText w:val="%1."/>
      <w:numFmt w:val="upperLetter"/>
      <w:start w:val="9"/>
    </w:lvl>
  </w:abstractNum>
  <w:abstractNum w:abstractNumId="109">
    <w:nsid w:val="597B4D84"/>
    <w:multiLevelType w:val="hybridMultilevel"/>
    <w:lvl w:ilvl="0">
      <w:lvlJc w:val="left"/>
      <w:lvlText w:val="%1."/>
      <w:numFmt w:val="upperLetter"/>
      <w:start w:val="1"/>
    </w:lvl>
    <w:lvl w:ilvl="1">
      <w:lvlJc w:val="left"/>
      <w:lvlText w:val="(%2)"/>
      <w:numFmt w:val="lowerLetter"/>
      <w:start w:val="1"/>
    </w:lvl>
  </w:abstractNum>
  <w:abstractNum w:abstractNumId="110">
    <w:nsid w:val="F819E7F"/>
    <w:multiLevelType w:val="hybridMultilevel"/>
    <w:lvl w:ilvl="0">
      <w:lvlJc w:val="left"/>
      <w:lvlText w:val="(%1)"/>
      <w:numFmt w:val="lowerLetter"/>
      <w:start w:val="1"/>
    </w:lvl>
  </w:abstractNum>
  <w:abstractNum w:abstractNumId="111">
    <w:nsid w:val="57C7D42D"/>
    <w:multiLevelType w:val="hybridMultilevel"/>
    <w:lvl w:ilvl="0">
      <w:lvlJc w:val="left"/>
      <w:lvlText w:val="(%1)"/>
      <w:numFmt w:val="lowerLetter"/>
      <w:start w:val="1"/>
    </w:lvl>
  </w:abstractNum>
  <w:abstractNum w:abstractNumId="112">
    <w:nsid w:val="312167AD"/>
    <w:multiLevelType w:val="hybridMultilevel"/>
    <w:lvl w:ilvl="0">
      <w:lvlJc w:val="left"/>
      <w:lvlText w:val="(%1)"/>
      <w:numFmt w:val="lowerLetter"/>
      <w:start w:val="2"/>
    </w:lvl>
  </w:abstractNum>
  <w:abstractNum w:abstractNumId="113">
    <w:nsid w:val="631B64D4"/>
    <w:multiLevelType w:val="hybridMultilevel"/>
    <w:lvl w:ilvl="0">
      <w:lvlJc w:val="left"/>
      <w:lvlText w:val="(%1)"/>
      <w:numFmt w:val="lowerLetter"/>
      <w:start w:val="1"/>
    </w:lvl>
  </w:abstractNum>
  <w:abstractNum w:abstractNumId="114">
    <w:nsid w:val="78B5E776"/>
    <w:multiLevelType w:val="hybridMultilevel"/>
    <w:lvl w:ilvl="0">
      <w:lvlJc w:val="left"/>
      <w:lvlText w:val="(%1)"/>
      <w:numFmt w:val="lowerLetter"/>
      <w:start w:val="1"/>
    </w:lvl>
  </w:abstractNum>
  <w:abstractNum w:abstractNumId="115">
    <w:nsid w:val="75486E47"/>
    <w:multiLevelType w:val="hybridMultilevel"/>
    <w:lvl w:ilvl="0">
      <w:lvlJc w:val="left"/>
      <w:lvlText w:val="(%1)"/>
      <w:numFmt w:val="lowerLetter"/>
      <w:start w:val="2"/>
    </w:lvl>
  </w:abstractNum>
  <w:abstractNum w:abstractNumId="116">
    <w:nsid w:val="6E534CDE"/>
    <w:multiLevelType w:val="hybridMultilevel"/>
    <w:lvl w:ilvl="0">
      <w:lvlJc w:val="left"/>
      <w:lvlText w:val="(%1)"/>
      <w:numFmt w:val="decimal"/>
      <w:start w:val="1"/>
    </w:lvl>
  </w:abstractNum>
  <w:abstractNum w:abstractNumId="117">
    <w:nsid w:val="1A0DDE32"/>
    <w:multiLevelType w:val="hybridMultilevel"/>
    <w:lvl w:ilvl="0">
      <w:lvlJc w:val="left"/>
      <w:lvlText w:val="●"/>
      <w:numFmt w:val="bullet"/>
      <w:start w:val="1"/>
    </w:lvl>
  </w:abstractNum>
  <w:abstractNum w:abstractNumId="118">
    <w:nsid w:val="65968C1C"/>
    <w:multiLevelType w:val="hybridMultilevel"/>
    <w:lvl w:ilvl="0">
      <w:lvlJc w:val="left"/>
      <w:lvlText w:val="●"/>
      <w:numFmt w:val="bullet"/>
      <w:start w:val="1"/>
    </w:lvl>
  </w:abstractNum>
  <w:abstractNum w:abstractNumId="119">
    <w:nsid w:val="46263DEC"/>
    <w:multiLevelType w:val="hybridMultilevel"/>
    <w:lvl w:ilvl="0">
      <w:lvlJc w:val="left"/>
      <w:lvlText w:val="+"/>
      <w:numFmt w:val="bullet"/>
      <w:start w:val="1"/>
    </w:lvl>
  </w:abstractNum>
  <w:abstractNum w:abstractNumId="120">
    <w:nsid w:val="260D8C4A"/>
    <w:multiLevelType w:val="hybridMultilevel"/>
    <w:lvl w:ilvl="0">
      <w:lvlJc w:val="left"/>
      <w:lvlText w:val="(%1)"/>
      <w:numFmt w:val="lowerRoman"/>
      <w:start w:val="2"/>
    </w:lvl>
  </w:abstractNum>
  <w:abstractNum w:abstractNumId="121">
    <w:nsid w:val="73D4D3C4"/>
    <w:multiLevelType w:val="hybridMultilevel"/>
    <w:lvl w:ilvl="0">
      <w:lvlJc w:val="left"/>
      <w:lvlText w:val="%1."/>
      <w:numFmt w:val="decimal"/>
      <w:start w:val="1"/>
    </w:lvl>
  </w:abstractNum>
  <w:abstractNum w:abstractNumId="122">
    <w:nsid w:val="746F2E30"/>
    <w:multiLevelType w:val="hybridMultilevel"/>
    <w:lvl w:ilvl="0">
      <w:lvlJc w:val="left"/>
      <w:lvlText w:val="●"/>
      <w:numFmt w:val="bullet"/>
      <w:start w:val="1"/>
    </w:lvl>
  </w:abstractNum>
  <w:abstractNum w:abstractNumId="123">
    <w:nsid w:val="6FDE8AF6"/>
    <w:multiLevelType w:val="hybridMultilevel"/>
    <w:lvl w:ilvl="0">
      <w:lvlJc w:val="left"/>
      <w:lvlText w:val="●"/>
      <w:numFmt w:val="bullet"/>
      <w:start w:val="1"/>
    </w:lvl>
  </w:abstractNum>
  <w:abstractNum w:abstractNumId="124">
    <w:nsid w:val="3FC32E20"/>
    <w:multiLevelType w:val="hybridMultilevel"/>
    <w:lvl w:ilvl="0">
      <w:lvlJc w:val="left"/>
      <w:lvlText w:val="●"/>
      <w:numFmt w:val="bullet"/>
      <w:start w:val="1"/>
    </w:lvl>
  </w:abstractNum>
  <w:abstractNum w:abstractNumId="125">
    <w:nsid w:val="49C0E823"/>
    <w:multiLevelType w:val="hybridMultilevel"/>
    <w:lvl w:ilvl="0">
      <w:lvlJc w:val="left"/>
      <w:lvlText w:val="●"/>
      <w:numFmt w:val="bullet"/>
      <w:start w:val="1"/>
    </w:lvl>
  </w:abstractNum>
  <w:abstractNum w:abstractNumId="126">
    <w:nsid w:val="14D53685"/>
    <w:multiLevelType w:val="hybridMultilevel"/>
    <w:lvl w:ilvl="0">
      <w:lvlJc w:val="left"/>
      <w:lvlText w:val="%1."/>
      <w:numFmt w:val="decimal"/>
      <w:start w:val="2"/>
    </w:lvl>
  </w:abstractNum>
  <w:abstractNum w:abstractNumId="127">
    <w:nsid w:val="230F856C"/>
    <w:multiLevelType w:val="hybridMultilevel"/>
    <w:lvl w:ilvl="0">
      <w:lvlJc w:val="left"/>
      <w:lvlText w:val="(%1)"/>
      <w:numFmt w:val="lowerRoman"/>
      <w:start w:val="1"/>
    </w:lvl>
  </w:abstractNum>
  <w:abstractNum w:abstractNumId="128">
    <w:nsid w:val="6EAA85FB"/>
    <w:multiLevelType w:val="hybridMultilevel"/>
    <w:lvl w:ilvl="0">
      <w:lvlJc w:val="left"/>
      <w:lvlText w:val="(%1)"/>
      <w:numFmt w:val="lowerRoman"/>
      <w:start w:val="2"/>
    </w:lvl>
  </w:abstractNum>
  <w:abstractNum w:abstractNumId="129">
    <w:nsid w:val="3F06ECB2"/>
    <w:multiLevelType w:val="hybridMultilevel"/>
    <w:lvl w:ilvl="0">
      <w:lvlJc w:val="left"/>
      <w:lvlText w:val="%1."/>
      <w:numFmt w:val="decimal"/>
      <w:start w:val="3"/>
    </w:lvl>
  </w:abstractNum>
  <w:abstractNum w:abstractNumId="130">
    <w:nsid w:val="3B594807"/>
    <w:multiLevelType w:val="hybridMultilevel"/>
    <w:lvl w:ilvl="0">
      <w:lvlJc w:val="left"/>
      <w:lvlText w:val="%1."/>
      <w:numFmt w:val="decimal"/>
      <w:start w:val="4"/>
    </w:lvl>
  </w:abstractNum>
  <w:abstractNum w:abstractNumId="131">
    <w:nsid w:val="6CAA2304"/>
    <w:multiLevelType w:val="hybridMultilevel"/>
    <w:lvl w:ilvl="0">
      <w:lvlJc w:val="left"/>
      <w:lvlText w:val="(%1)"/>
      <w:numFmt w:val="lowerRoman"/>
      <w:start w:val="1"/>
    </w:lvl>
  </w:abstractNum>
  <w:abstractNum w:abstractNumId="132">
    <w:nsid w:val="3F7C2FF4"/>
    <w:multiLevelType w:val="hybridMultilevel"/>
    <w:lvl w:ilvl="0">
      <w:lvlJc w:val="left"/>
      <w:lvlText w:val="%1."/>
      <w:numFmt w:val="decimal"/>
      <w:start w:val="5"/>
    </w:lvl>
  </w:abstractNum>
  <w:abstractNum w:abstractNumId="133">
    <w:nsid w:val="25413BEC"/>
    <w:multiLevelType w:val="hybridMultilevel"/>
    <w:lvl w:ilvl="0">
      <w:lvlJc w:val="left"/>
      <w:lvlText w:val="%1."/>
      <w:numFmt w:val="decimal"/>
      <w:start w:val="7"/>
    </w:lvl>
  </w:abstractNum>
  <w:abstractNum w:abstractNumId="134">
    <w:nsid w:val="17180B0B"/>
    <w:multiLevelType w:val="hybridMultilevel"/>
    <w:lvl w:ilvl="0">
      <w:lvlJc w:val="left"/>
      <w:lvlText w:val="%1."/>
      <w:numFmt w:val="decimal"/>
      <w:start w:val="9"/>
    </w:lvl>
  </w:abstractNum>
  <w:abstractNum w:abstractNumId="135">
    <w:nsid w:val="579328B9"/>
    <w:multiLevelType w:val="hybridMultilevel"/>
    <w:lvl w:ilvl="0">
      <w:lvlJc w:val="left"/>
      <w:lvlText w:val="(%1)"/>
      <w:numFmt w:val="lowerLetter"/>
      <w:start w:val="1"/>
    </w:lvl>
  </w:abstractNum>
  <w:abstractNum w:abstractNumId="136">
    <w:nsid w:val="5D205E20"/>
    <w:multiLevelType w:val="hybridMultilevel"/>
    <w:lvl w:ilvl="0">
      <w:lvlJc w:val="left"/>
      <w:lvlText w:val="%1."/>
      <w:numFmt w:val="decimal"/>
      <w:start w:val="24"/>
    </w:lvl>
  </w:abstractNum>
  <w:abstractNum w:abstractNumId="137">
    <w:nsid w:val="11CCA8BA"/>
    <w:multiLevelType w:val="hybridMultilevel"/>
    <w:lvl w:ilvl="0">
      <w:lvlJc w:val="left"/>
      <w:lvlText w:val="(%1)"/>
      <w:numFmt w:val="lowerLetter"/>
      <w:start w:val="2"/>
    </w:lvl>
  </w:abstractNum>
  <w:abstractNum w:abstractNumId="138">
    <w:nsid w:val="4D32AB86"/>
    <w:multiLevelType w:val="hybridMultilevel"/>
    <w:lvl w:ilvl="0">
      <w:lvlJc w:val="left"/>
      <w:lvlText w:val="%1."/>
      <w:numFmt w:val="decimal"/>
      <w:start w:val="28"/>
    </w:lvl>
  </w:abstractNum>
  <w:abstractNum w:abstractNumId="139">
    <w:nsid w:val="3F07ACC3"/>
    <w:multiLevelType w:val="hybridMultilevel"/>
    <w:lvl w:ilvl="0">
      <w:lvlJc w:val="left"/>
      <w:lvlText w:val="%1."/>
      <w:numFmt w:val="decimal"/>
      <w:start w:val="1"/>
    </w:lvl>
  </w:abstractNum>
  <w:abstractNum w:abstractNumId="140">
    <w:nsid w:val="6B47F63E"/>
    <w:multiLevelType w:val="hybridMultilevel"/>
    <w:lvl w:ilvl="0">
      <w:lvlJc w:val="left"/>
      <w:lvlText w:val="%1."/>
      <w:numFmt w:val="decimal"/>
      <w:start w:val="2"/>
    </w:lvl>
  </w:abstractNum>
  <w:abstractNum w:abstractNumId="141">
    <w:nsid w:val="5CB44A05"/>
    <w:multiLevelType w:val="hybridMultilevel"/>
    <w:lvl w:ilvl="0">
      <w:lvlJc w:val="left"/>
      <w:lvlText w:val="%1."/>
      <w:numFmt w:val="decimal"/>
      <w:start w:val="3"/>
    </w:lvl>
  </w:abstractNum>
  <w:abstractNum w:abstractNumId="142">
    <w:nsid w:val="16CF80F1"/>
    <w:multiLevelType w:val="hybridMultilevel"/>
    <w:lvl w:ilvl="0">
      <w:lvlJc w:val="left"/>
      <w:lvlText w:val="(%1)"/>
      <w:numFmt w:val="lowerLetter"/>
      <w:start w:val="2"/>
    </w:lvl>
  </w:abstractNum>
  <w:abstractNum w:abstractNumId="143">
    <w:nsid w:val="1C695DEC"/>
    <w:multiLevelType w:val="hybridMultilevel"/>
    <w:lvl w:ilvl="0">
      <w:lvlJc w:val="left"/>
      <w:lvlText w:val="%1."/>
      <w:numFmt w:val="decimal"/>
      <w:start w:val="4"/>
    </w:lvl>
  </w:abstractNum>
  <w:abstractNum w:abstractNumId="144">
    <w:nsid w:val="3FCFAED9"/>
    <w:multiLevelType w:val="hybridMultilevel"/>
    <w:lvl w:ilvl="0">
      <w:lvlJc w:val="left"/>
      <w:lvlText w:val="%1."/>
      <w:numFmt w:val="decimal"/>
      <w:start w:val="6"/>
    </w:lvl>
  </w:abstractNum>
  <w:abstractNum w:abstractNumId="145">
    <w:nsid w:val="F856867"/>
    <w:multiLevelType w:val="hybridMultilevel"/>
    <w:lvl w:ilvl="0">
      <w:lvlJc w:val="left"/>
      <w:lvlText w:val="%1."/>
      <w:numFmt w:val="decimal"/>
      <w:start w:val="7"/>
    </w:lvl>
    <w:lvl w:ilvl="1">
      <w:lvlJc w:val="left"/>
      <w:lvlText w:val="%2"/>
      <w:numFmt w:val="upperLetter"/>
      <w:start w:val="1"/>
    </w:lvl>
  </w:abstractNum>
  <w:abstractNum w:abstractNumId="146">
    <w:nsid w:val="11B1CC33"/>
    <w:multiLevelType w:val="hybridMultilevel"/>
    <w:lvl w:ilvl="0">
      <w:lvlJc w:val="left"/>
      <w:lvlText w:val="%1."/>
      <w:numFmt w:val="decimal"/>
      <w:start w:val="8"/>
    </w:lvl>
  </w:abstractNum>
  <w:abstractNum w:abstractNumId="147">
    <w:nsid w:val="2E22FBB7"/>
    <w:multiLevelType w:val="hybridMultilevel"/>
    <w:lvl w:ilvl="0">
      <w:lvlJc w:val="left"/>
      <w:lvlText w:val="%1."/>
      <w:numFmt w:val="decimal"/>
      <w:start w:val="9"/>
    </w:lvl>
  </w:abstractNum>
  <w:abstractNum w:abstractNumId="148">
    <w:nsid w:val="29934699"/>
    <w:multiLevelType w:val="hybridMultilevel"/>
    <w:lvl w:ilvl="0">
      <w:lvlJc w:val="left"/>
      <w:lvlText w:val="%1."/>
      <w:numFmt w:val="decimal"/>
      <w:start w:val="11"/>
    </w:lvl>
  </w:abstractNum>
  <w:abstractNum w:abstractNumId="149">
    <w:nsid w:val="77485850"/>
    <w:multiLevelType w:val="hybridMultilevel"/>
    <w:lvl w:ilvl="0">
      <w:lvlJc w:val="left"/>
      <w:lvlText w:val="%1."/>
      <w:numFmt w:val="decimal"/>
      <w:start w:val="12"/>
    </w:lvl>
  </w:abstractNum>
  <w:abstractNum w:abstractNumId="150">
    <w:nsid w:val="744939A3"/>
    <w:multiLevelType w:val="hybridMultilevel"/>
    <w:lvl w:ilvl="0">
      <w:lvlJc w:val="left"/>
      <w:lvlText w:val="%1."/>
      <w:numFmt w:val="decimal"/>
      <w:start w:val="13"/>
    </w:lvl>
  </w:abstractNum>
  <w:abstractNum w:abstractNumId="151">
    <w:nsid w:val="4FA0D2E3"/>
    <w:multiLevelType w:val="hybridMultilevel"/>
    <w:lvl w:ilvl="0">
      <w:lvlJc w:val="left"/>
      <w:lvlText w:val="%1."/>
      <w:numFmt w:val="decimal"/>
      <w:start w:val="1"/>
    </w:lvl>
  </w:abstractNum>
  <w:abstractNum w:abstractNumId="152">
    <w:nsid w:val="6B1D2C14"/>
    <w:multiLevelType w:val="hybridMultilevel"/>
    <w:lvl w:ilvl="0">
      <w:lvlJc w:val="left"/>
      <w:lvlText w:val="1"/>
      <w:numFmt w:val="bullet"/>
      <w:start w:val="1"/>
    </w:lvl>
  </w:abstractNum>
  <w:abstractNum w:abstractNumId="153">
    <w:nsid w:val="68B867D3"/>
    <w:multiLevelType w:val="hybridMultilevel"/>
    <w:lvl w:ilvl="0">
      <w:lvlJc w:val="left"/>
      <w:lvlText w:val="%1."/>
      <w:numFmt w:val="decimal"/>
      <w:start w:val="1"/>
    </w:lvl>
  </w:abstractNum>
  <w:abstractNum w:abstractNumId="154">
    <w:nsid w:val="3F7F5DD9"/>
    <w:multiLevelType w:val="hybridMultilevel"/>
    <w:lvl w:ilvl="0">
      <w:lvlJc w:val="left"/>
      <w:lvlText w:val="2"/>
      <w:numFmt w:val="bullet"/>
      <w:start w:val="1"/>
    </w:lvl>
  </w:abstractNum>
  <w:abstractNum w:abstractNumId="155">
    <w:nsid w:val="2AE05A34"/>
    <w:multiLevelType w:val="hybridMultilevel"/>
    <w:lvl w:ilvl="0">
      <w:lvlJc w:val="left"/>
      <w:lvlText w:val="·"/>
      <w:numFmt w:val="bullet"/>
      <w:start w:val="1"/>
    </w:lvl>
  </w:abstractNum>
  <w:abstractNum w:abstractNumId="156">
    <w:nsid w:val="32794FF7"/>
    <w:multiLevelType w:val="hybridMultilevel"/>
    <w:lvl w:ilvl="0">
      <w:lvlJc w:val="left"/>
      <w:lvlText w:val="·"/>
      <w:numFmt w:val="bullet"/>
      <w:start w:val="1"/>
    </w:lvl>
  </w:abstractNum>
  <w:abstractNum w:abstractNumId="157">
    <w:nsid w:val="5454945E"/>
    <w:multiLevelType w:val="hybridMultilevel"/>
    <w:lvl w:ilvl="0">
      <w:lvlJc w:val="left"/>
      <w:lvlText w:val="3"/>
      <w:numFmt w:val="bullet"/>
      <w:start w:val="1"/>
    </w:lvl>
  </w:abstractNum>
  <w:abstractNum w:abstractNumId="158">
    <w:nsid w:val="4DEFDFA0"/>
    <w:multiLevelType w:val="hybridMultilevel"/>
    <w:lvl w:ilvl="0">
      <w:lvlJc w:val="left"/>
      <w:lvlText w:val="·"/>
      <w:numFmt w:val="bullet"/>
      <w:start w:val="1"/>
    </w:lvl>
  </w:abstractNum>
  <w:abstractNum w:abstractNumId="159">
    <w:nsid w:val="2123D5F2"/>
    <w:multiLevelType w:val="hybridMultilevel"/>
    <w:lvl w:ilvl="0">
      <w:lvlJc w:val="left"/>
      <w:lvlText w:val="%1."/>
      <w:numFmt w:val="lowerLetter"/>
      <w:start w:val="1"/>
    </w:lvl>
  </w:abstractNum>
  <w:abstractNum w:abstractNumId="160">
    <w:nsid w:val="135B8110"/>
    <w:multiLevelType w:val="hybridMultilevel"/>
    <w:lvl w:ilvl="0">
      <w:lvlJc w:val="left"/>
      <w:lvlText w:val="%1."/>
      <w:numFmt w:val="decimal"/>
      <w:start w:val="1"/>
    </w:lvl>
  </w:abstractNum>
  <w:abstractNum w:abstractNumId="161">
    <w:nsid w:val="94927A8"/>
    <w:multiLevelType w:val="hybridMultilevel"/>
    <w:lvl w:ilvl="0">
      <w:lvlJc w:val="left"/>
      <w:lvlText w:val="%1."/>
      <w:numFmt w:val="decimal"/>
      <w:start w:val="2"/>
    </w:lvl>
  </w:abstractNum>
  <w:abstractNum w:abstractNumId="162">
    <w:nsid w:val="DCDF8F6"/>
    <w:multiLevelType w:val="hybridMultilevel"/>
    <w:lvl w:ilvl="0">
      <w:lvlJc w:val="left"/>
      <w:lvlText w:val="%1."/>
      <w:numFmt w:val="decimal"/>
      <w:start w:val="3"/>
    </w:lvl>
  </w:abstractNum>
  <w:abstractNum w:abstractNumId="163">
    <w:nsid w:val="52D7B105"/>
    <w:multiLevelType w:val="hybridMultilevel"/>
    <w:lvl w:ilvl="0">
      <w:lvlJc w:val="left"/>
      <w:lvlText w:val="%1."/>
      <w:numFmt w:val="decimal"/>
      <w:start w:val="4"/>
    </w:lvl>
  </w:abstractNum>
  <w:abstractNum w:abstractNumId="164">
    <w:nsid w:val="2E8A6394"/>
    <w:multiLevelType w:val="hybridMultilevel"/>
    <w:lvl w:ilvl="0">
      <w:lvlJc w:val="left"/>
      <w:lvlText w:val="%1."/>
      <w:numFmt w:val="decimal"/>
      <w:start w:val="5"/>
    </w:lvl>
  </w:abstractNum>
  <w:abstractNum w:abstractNumId="165">
    <w:nsid w:val="24E60401"/>
    <w:multiLevelType w:val="hybridMultilevel"/>
    <w:lvl w:ilvl="0">
      <w:lvlJc w:val="left"/>
      <w:lvlText w:val="4"/>
      <w:numFmt w:val="bullet"/>
      <w:start w:val="1"/>
    </w:lvl>
  </w:abstractNum>
  <w:abstractNum w:abstractNumId="166">
    <w:nsid w:val="2A6AD9BE"/>
    <w:multiLevelType w:val="hybridMultilevel"/>
    <w:lvl w:ilvl="0">
      <w:lvlJc w:val="left"/>
      <w:lvlText w:val="%1."/>
      <w:numFmt w:val="decimal"/>
      <w:start w:val="6"/>
    </w:lvl>
  </w:abstractNum>
  <w:abstractNum w:abstractNumId="167">
    <w:nsid w:val="BAAC1B4"/>
    <w:multiLevelType w:val="hybridMultilevel"/>
    <w:lvl w:ilvl="0">
      <w:lvlJc w:val="left"/>
      <w:lvlText w:val="%1."/>
      <w:numFmt w:val="decimal"/>
      <w:start w:val="7"/>
    </w:lvl>
  </w:abstractNum>
  <w:abstractNum w:abstractNumId="168">
    <w:nsid w:val="36B2ACBC"/>
    <w:multiLevelType w:val="hybridMultilevel"/>
    <w:lvl w:ilvl="0">
      <w:lvlJc w:val="left"/>
      <w:lvlText w:val="%1."/>
      <w:numFmt w:val="decimal"/>
      <w:start w:val="1"/>
    </w:lvl>
  </w:abstractNum>
  <w:abstractNum w:abstractNumId="169">
    <w:nsid w:val="779D8544"/>
    <w:multiLevelType w:val="hybridMultilevel"/>
    <w:lvl w:ilvl="0">
      <w:lvlJc w:val="left"/>
      <w:lvlText w:val="%1."/>
      <w:numFmt w:val="decimal"/>
      <w:start w:val="2"/>
    </w:lvl>
  </w:abstractNum>
  <w:abstractNum w:abstractNumId="170">
    <w:nsid w:val="4AB26E78"/>
    <w:multiLevelType w:val="hybridMultilevel"/>
    <w:lvl w:ilvl="0">
      <w:lvlJc w:val="left"/>
      <w:lvlText w:val="%1."/>
      <w:numFmt w:val="decimal"/>
      <w:start w:val="3"/>
    </w:lvl>
  </w:abstractNum>
  <w:abstractNum w:abstractNumId="171">
    <w:nsid w:val="21FAA2FA"/>
    <w:multiLevelType w:val="hybridMultilevel"/>
    <w:lvl w:ilvl="0">
      <w:lvlJc w:val="left"/>
      <w:lvlText w:val="%1."/>
      <w:numFmt w:val="decimal"/>
      <w:start w:val="3"/>
    </w:lvl>
    <w:lvl w:ilvl="1">
      <w:lvlJc w:val="left"/>
      <w:lvlText w:val="·"/>
      <w:numFmt w:val="bullet"/>
      <w:start w:val="1"/>
    </w:lvl>
  </w:abstractNum>
  <w:abstractNum w:abstractNumId="172">
    <w:nsid w:val="5451CF49"/>
    <w:multiLevelType w:val="hybridMultilevel"/>
    <w:lvl w:ilvl="0">
      <w:lvlJc w:val="left"/>
      <w:lvlText w:val="5"/>
      <w:numFmt w:val="bullet"/>
      <w:start w:val="1"/>
    </w:lvl>
  </w:abstractNum>
  <w:abstractNum w:abstractNumId="173">
    <w:nsid w:val="6181EF69"/>
    <w:multiLevelType w:val="hybridMultilevel"/>
    <w:lvl w:ilvl="0">
      <w:lvlJc w:val="left"/>
      <w:lvlText w:val="1"/>
      <w:numFmt w:val="bullet"/>
      <w:start w:val="1"/>
    </w:lvl>
  </w:abstractNum>
  <w:abstractNum w:abstractNumId="174">
    <w:nsid w:val="3E6400E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75">
    <w:nsid w:val="14217E23"/>
    <w:multiLevelType w:val="hybridMultilevel"/>
    <w:lvl w:ilvl="0">
      <w:lvlJc w:val="left"/>
      <w:lvlText w:val="%1."/>
      <w:numFmt w:val="decimal"/>
      <w:start w:val="6"/>
    </w:lvl>
  </w:abstractNum>
  <w:abstractNum w:abstractNumId="176">
    <w:nsid w:val="710757D0"/>
    <w:multiLevelType w:val="hybridMultilevel"/>
    <w:lvl w:ilvl="0">
      <w:lvlJc w:val="left"/>
      <w:lvlText w:val="·"/>
      <w:numFmt w:val="bullet"/>
      <w:start w:val="1"/>
    </w:lvl>
  </w:abstractNum>
  <w:abstractNum w:abstractNumId="177">
    <w:nsid w:val="5015CD1A"/>
    <w:multiLevelType w:val="hybridMultilevel"/>
    <w:lvl w:ilvl="0">
      <w:lvlJc w:val="left"/>
      <w:lvlText w:val="·"/>
      <w:numFmt w:val="bullet"/>
      <w:start w:val="1"/>
    </w:lvl>
  </w:abstractNum>
  <w:abstractNum w:abstractNumId="178">
    <w:nsid w:val="424479DA"/>
    <w:multiLevelType w:val="hybridMultilevel"/>
    <w:lvl w:ilvl="0">
      <w:lvlJc w:val="left"/>
      <w:lvlText w:val="·"/>
      <w:numFmt w:val="bullet"/>
      <w:start w:val="1"/>
    </w:lvl>
  </w:abstractNum>
  <w:abstractNum w:abstractNumId="179">
    <w:nsid w:val="1A9A9E69"/>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23" Type="http://schemas.openxmlformats.org/officeDocument/2006/relationships/image" Target="media/image204.png"/><Relationship Id="rId236" Type="http://schemas.openxmlformats.org/officeDocument/2006/relationships/image" Target="media/image205.png"/><Relationship Id="rId249" Type="http://schemas.openxmlformats.org/officeDocument/2006/relationships/image" Target="media/image206.png"/><Relationship Id="rId263"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jpeg"/><Relationship Id="rId338" Type="http://schemas.openxmlformats.org/officeDocument/2006/relationships/image" Target="media/image274.jpe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jpeg"/><Relationship Id="rId342" Type="http://schemas.openxmlformats.org/officeDocument/2006/relationships/image" Target="media/image278.jpe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jpeg"/><Relationship Id="rId346" Type="http://schemas.openxmlformats.org/officeDocument/2006/relationships/image" Target="media/image282.jpeg"/><Relationship Id="rId347" Type="http://schemas.openxmlformats.org/officeDocument/2006/relationships/image" Target="media/image283.png"/><Relationship Id="rId348" Type="http://schemas.openxmlformats.org/officeDocument/2006/relationships/image" Target="media/image284.jpeg"/><Relationship Id="rId349" Type="http://schemas.openxmlformats.org/officeDocument/2006/relationships/image" Target="media/image285.jpeg"/><Relationship Id="rId350" Type="http://schemas.openxmlformats.org/officeDocument/2006/relationships/image" Target="media/image286.png"/><Relationship Id="rId351" Type="http://schemas.openxmlformats.org/officeDocument/2006/relationships/image" Target="media/image287.jpeg"/><Relationship Id="rId352" Type="http://schemas.openxmlformats.org/officeDocument/2006/relationships/image" Target="media/image288.jpe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jpeg"/><Relationship Id="rId356" Type="http://schemas.openxmlformats.org/officeDocument/2006/relationships/image" Target="media/image292.jpeg"/><Relationship Id="rId357" Type="http://schemas.openxmlformats.org/officeDocument/2006/relationships/image" Target="media/image293.png"/><Relationship Id="rId358" Type="http://schemas.openxmlformats.org/officeDocument/2006/relationships/image" Target="media/image294.jpeg"/><Relationship Id="rId359" Type="http://schemas.openxmlformats.org/officeDocument/2006/relationships/image" Target="media/image295.jpeg"/><Relationship Id="rId360" Type="http://schemas.openxmlformats.org/officeDocument/2006/relationships/image" Target="media/image296.png"/><Relationship Id="rId361" Type="http://schemas.openxmlformats.org/officeDocument/2006/relationships/image" Target="media/image297.jpeg"/><Relationship Id="rId362" Type="http://schemas.openxmlformats.org/officeDocument/2006/relationships/image" Target="media/image298.jpe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jpeg"/><Relationship Id="rId366" Type="http://schemas.openxmlformats.org/officeDocument/2006/relationships/image" Target="media/image302.jpeg"/><Relationship Id="rId367" Type="http://schemas.openxmlformats.org/officeDocument/2006/relationships/image" Target="media/image303.png"/><Relationship Id="rId368" Type="http://schemas.openxmlformats.org/officeDocument/2006/relationships/image" Target="media/image304.jpeg"/><Relationship Id="rId369" Type="http://schemas.openxmlformats.org/officeDocument/2006/relationships/image" Target="media/image305.jpeg"/><Relationship Id="rId370" Type="http://schemas.openxmlformats.org/officeDocument/2006/relationships/image" Target="media/image306.png"/><Relationship Id="rId371" Type="http://schemas.openxmlformats.org/officeDocument/2006/relationships/image" Target="media/image307.jpeg"/><Relationship Id="rId372" Type="http://schemas.openxmlformats.org/officeDocument/2006/relationships/image" Target="media/image308.jpeg"/><Relationship Id="rId373" Type="http://schemas.openxmlformats.org/officeDocument/2006/relationships/image" Target="media/image309.png"/><Relationship Id="rId374" Type="http://schemas.openxmlformats.org/officeDocument/2006/relationships/image" Target="media/image310.jpeg"/><Relationship Id="rId375" Type="http://schemas.openxmlformats.org/officeDocument/2006/relationships/image" Target="media/image311.jpeg"/><Relationship Id="rId376" Type="http://schemas.openxmlformats.org/officeDocument/2006/relationships/image" Target="media/image312.png"/><Relationship Id="rId377" Type="http://schemas.openxmlformats.org/officeDocument/2006/relationships/image" Target="media/image313.jpeg"/><Relationship Id="rId378" Type="http://schemas.openxmlformats.org/officeDocument/2006/relationships/image" Target="media/image314.jpeg"/><Relationship Id="rId379" Type="http://schemas.openxmlformats.org/officeDocument/2006/relationships/image" Target="media/image315.png"/><Relationship Id="rId380" Type="http://schemas.openxmlformats.org/officeDocument/2006/relationships/image" Target="media/image316.jpeg"/><Relationship Id="rId381" Type="http://schemas.openxmlformats.org/officeDocument/2006/relationships/image" Target="media/image317.jpeg"/><Relationship Id="rId382" Type="http://schemas.openxmlformats.org/officeDocument/2006/relationships/image" Target="media/image318.png"/><Relationship Id="rId383" Type="http://schemas.openxmlformats.org/officeDocument/2006/relationships/image" Target="media/image319.jpeg"/><Relationship Id="rId384" Type="http://schemas.openxmlformats.org/officeDocument/2006/relationships/image" Target="media/image320.jpeg"/><Relationship Id="rId385" Type="http://schemas.openxmlformats.org/officeDocument/2006/relationships/image" Target="media/image321.png"/><Relationship Id="rId386" Type="http://schemas.openxmlformats.org/officeDocument/2006/relationships/image" Target="media/image322.jpe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211" Type="http://schemas.openxmlformats.org/officeDocument/2006/relationships/hyperlink" Target="https://www.sec.gov/Archives/edgar/data/1110646/000110465923071355/tm2318327d1_ex1-1.htm" TargetMode="External"/><Relationship Id="rId212" Type="http://schemas.openxmlformats.org/officeDocument/2006/relationships/hyperlink" Target="https://www.sec.gov/Archives/edgar/data/1110646/000089109204002641/e18031ex1.txt" TargetMode="External"/><Relationship Id="rId213" Type="http://schemas.openxmlformats.org/officeDocument/2006/relationships/hyperlink" Target="https://www.sec.gov/Archives/edgar/data/1110646/000110465924051449/ntes-20231231xex2d4.htm" TargetMode="External"/><Relationship Id="rId214" Type="http://schemas.openxmlformats.org/officeDocument/2006/relationships/hyperlink" Target="https://www.sec.gov/Archives/edgar/data/1110646/000110465924051449/ntes-20231231xex2d5.htm" TargetMode="External"/><Relationship Id="rId215" Type="http://schemas.openxmlformats.org/officeDocument/2006/relationships/hyperlink" Target="https://www.sec.gov/Archives/edgar/data/1110646/000110465915030142/a15-4743_1ex3d3.htm" TargetMode="External"/><Relationship Id="rId216" Type="http://schemas.openxmlformats.org/officeDocument/2006/relationships/hyperlink" Target="https://www.sec.gov/Archives/edgar/data/1110646/000110465916113375/a16-3849_1ex3d8.htm" TargetMode="External"/><Relationship Id="rId217" Type="http://schemas.openxmlformats.org/officeDocument/2006/relationships/hyperlink" Target="https://www.sec.gov/Archives/edgar/data/1110646/000110465916113375/a16-3849_1ex3d9.htm" TargetMode="External"/><Relationship Id="rId218" Type="http://schemas.openxmlformats.org/officeDocument/2006/relationships/hyperlink" Target="https://www.sec.gov/Archives/edgar/data/1110646/000110465916113375/a16-3849_1ex3d7.htm" TargetMode="External"/><Relationship Id="rId219" Type="http://schemas.openxmlformats.org/officeDocument/2006/relationships/hyperlink" Target="https://www.sec.gov/Archives/edgar/data/1110646/000110465917025196/a17-1327_1ex3d6.htm" TargetMode="External"/><Relationship Id="rId220" Type="http://schemas.openxmlformats.org/officeDocument/2006/relationships/hyperlink" Target="https://www.sec.gov/Archives/edgar/data/1110646/000110465918025392/a18-5396_1ex3d8.htm" TargetMode="External"/><Relationship Id="rId221" Type="http://schemas.openxmlformats.org/officeDocument/2006/relationships/hyperlink" Target="https://www.sec.gov/Archives/edgar/data/1110646/000119312510003078/dex101.htm" TargetMode="External"/><Relationship Id="rId222" Type="http://schemas.openxmlformats.org/officeDocument/2006/relationships/hyperlink" Target="https://www.sec.gov/Archives/edgar/data/1110646/000110465924051449/ntes-20231231xex4d2.htm" TargetMode="External"/><Relationship Id="rId224" Type="http://schemas.openxmlformats.org/officeDocument/2006/relationships/hyperlink" Target="https://www.sec.gov/Archives/edgar/data/1110646/000119312505131680/dex439.htm" TargetMode="External"/><Relationship Id="rId225" Type="http://schemas.openxmlformats.org/officeDocument/2006/relationships/hyperlink" Target="https://www.sec.gov/Archives/edgar/data/1110646/000119312505131680/dex440.htm" TargetMode="External"/><Relationship Id="rId226" Type="http://schemas.openxmlformats.org/officeDocument/2006/relationships/hyperlink" Target="https://www.sec.gov/Archives/edgar/data/1110646/000119312505131680/dex441.htm" TargetMode="External"/><Relationship Id="rId227" Type="http://schemas.openxmlformats.org/officeDocument/2006/relationships/hyperlink" Target="https://www.sec.gov/Archives/edgar/data/1110646/000110465915030142/a15-4743_1ex4d33.htm" TargetMode="External"/><Relationship Id="rId228" Type="http://schemas.openxmlformats.org/officeDocument/2006/relationships/hyperlink" Target="https://www.sec.gov/Archives/edgar/data/1110646/000110465915030142/a15-4743_1ex4d35.htm" TargetMode="External"/><Relationship Id="rId229" Type="http://schemas.openxmlformats.org/officeDocument/2006/relationships/hyperlink" Target="https://www.sec.gov/Archives/edgar/data/1110646/000110465915030142/a15-4743_1ex4d36.htm" TargetMode="External"/><Relationship Id="rId230" Type="http://schemas.openxmlformats.org/officeDocument/2006/relationships/hyperlink" Target="https://www.sec.gov/Archives/edgar/data/1110646/000110465916113375/a16-3849_1ex4d44.htm" TargetMode="External"/><Relationship Id="rId231" Type="http://schemas.openxmlformats.org/officeDocument/2006/relationships/hyperlink" Target="https://www.sec.gov/Archives/edgar/data/1110646/000110465916113375/a16-3849_1ex4d45.htm" TargetMode="External"/><Relationship Id="rId232" Type="http://schemas.openxmlformats.org/officeDocument/2006/relationships/hyperlink" Target="https://www.sec.gov/Archives/edgar/data/1110646/000110465916113375/a16-3849_1ex4d46.htm" TargetMode="External"/><Relationship Id="rId233" Type="http://schemas.openxmlformats.org/officeDocument/2006/relationships/hyperlink" Target="https://www.sec.gov/Archives/edgar/data/1110646/000110465916113375/a16-3849_1ex4d47.htm" TargetMode="External"/><Relationship Id="rId234" Type="http://schemas.openxmlformats.org/officeDocument/2006/relationships/hyperlink" Target="https://www.sec.gov/Archives/edgar/data/1110646/000110465916113375/a16-3849_1ex4d48.htm" TargetMode="External"/><Relationship Id="rId235" Type="http://schemas.openxmlformats.org/officeDocument/2006/relationships/hyperlink" Target="https://www.sec.gov/Archives/edgar/data/1110646/000110465916113375/a16-3849_1ex4d49.htm" TargetMode="External"/><Relationship Id="rId237" Type="http://schemas.openxmlformats.org/officeDocument/2006/relationships/hyperlink" Target="https://www.sec.gov/Archives/edgar/data/1110646/000110465916113375/a16-3849_1ex4d50.htm" TargetMode="External"/><Relationship Id="rId238" Type="http://schemas.openxmlformats.org/officeDocument/2006/relationships/hyperlink" Target="https://www.sec.gov/Archives/edgar/data/1110646/000110465916113375/a16-3849_1ex4d51.htm" TargetMode="External"/><Relationship Id="rId239" Type="http://schemas.openxmlformats.org/officeDocument/2006/relationships/hyperlink" Target="https://www.sec.gov/Archives/edgar/data/1110646/000110465917025196/a17-1327_1ex4d51.htm" TargetMode="External"/><Relationship Id="rId240" Type="http://schemas.openxmlformats.org/officeDocument/2006/relationships/hyperlink" Target="https://www.sec.gov/Archives/edgar/data/1110646/000110465917025196/a17-1327_1ex4d52.htm" TargetMode="External"/><Relationship Id="rId241" Type="http://schemas.openxmlformats.org/officeDocument/2006/relationships/hyperlink" Target="https://www.sec.gov/Archives/edgar/data/1110646/000110465917025196/a17-1327_1ex4d53.htm" TargetMode="External"/><Relationship Id="rId242" Type="http://schemas.openxmlformats.org/officeDocument/2006/relationships/hyperlink" Target="https://www.sec.gov/Archives/edgar/data/1110646/000110465917025196/a17-1327_1ex4d54.htm" TargetMode="External"/><Relationship Id="rId243" Type="http://schemas.openxmlformats.org/officeDocument/2006/relationships/hyperlink" Target="https://www.sec.gov/Archives/edgar/data/1110646/000110465917025196/a17-1327_1ex4d55.htm" TargetMode="External"/><Relationship Id="rId244" Type="http://schemas.openxmlformats.org/officeDocument/2006/relationships/hyperlink" Target="https://www.sec.gov/Archives/edgar/data/1110646/000110465918025392/a18-5396_1ex4d52.htm" TargetMode="External"/><Relationship Id="rId245" Type="http://schemas.openxmlformats.org/officeDocument/2006/relationships/hyperlink" Target="https://www.sec.gov/Archives/edgar/data/1110646/000110465918025392/a18-5396_1ex4d53.htm" TargetMode="External"/><Relationship Id="rId246" Type="http://schemas.openxmlformats.org/officeDocument/2006/relationships/hyperlink" Target="https://www.sec.gov/Archives/edgar/data/1110646/000110465918025392/a18-5396_1ex4d54.htm" TargetMode="External"/><Relationship Id="rId247" Type="http://schemas.openxmlformats.org/officeDocument/2006/relationships/hyperlink" Target="https://www.sec.gov/Archives/edgar/data/1110646/000110465918025392/a18-5396_1ex4d55.htm" TargetMode="External"/><Relationship Id="rId248" Type="http://schemas.openxmlformats.org/officeDocument/2006/relationships/hyperlink" Target="https://www.sec.gov/Archives/edgar/data/1110646/000110465919023833/a18-41432_1ex4d58.htm" TargetMode="External"/><Relationship Id="rId250" Type="http://schemas.openxmlformats.org/officeDocument/2006/relationships/hyperlink" Target="https://www.sec.gov/Archives/edgar/data/1110646/000110465920052796/ntes-20191231xex4d52.htm" TargetMode="External"/><Relationship Id="rId251" Type="http://schemas.openxmlformats.org/officeDocument/2006/relationships/hyperlink" Target="https://www.sec.gov/Archives/edgar/data/1110646/000110465920052796/ntes-20191231xex4d54.htm" TargetMode="External"/><Relationship Id="rId252" Type="http://schemas.openxmlformats.org/officeDocument/2006/relationships/hyperlink" Target="https://www.sec.gov/Archives/edgar/data/1110646/000110465920052796/ntes-20191231xex4d55.htm" TargetMode="External"/><Relationship Id="rId253" Type="http://schemas.openxmlformats.org/officeDocument/2006/relationships/hyperlink" Target="https://www.sec.gov/Archives/edgar/data/1110646/000110465920052796/ntes-20191231xex4d56.htm" TargetMode="External"/><Relationship Id="rId254" Type="http://schemas.openxmlformats.org/officeDocument/2006/relationships/hyperlink" Target="https://www.sec.gov/Archives/edgar/data/1110646/000110465923027570/tm238153d1_ex4-5.htm" TargetMode="External"/><Relationship Id="rId255" Type="http://schemas.openxmlformats.org/officeDocument/2006/relationships/hyperlink" Target="https://www.sec.gov/Archives/edgar/data/1110646/000110465924051449/ntes-20231231xex4d46.htm" TargetMode="External"/><Relationship Id="rId256" Type="http://schemas.openxmlformats.org/officeDocument/2006/relationships/hyperlink" Target="https://www.sec.gov/Archives/edgar/data/1110646/000110465923050589/ntes-20221231xex4d47.htm" TargetMode="External"/><Relationship Id="rId257" Type="http://schemas.openxmlformats.org/officeDocument/2006/relationships/hyperlink" Target="https://www.sec.gov/Archives/edgar/data/1110646/000110465923050589/ntes-20221231xex4d48.htm" TargetMode="External"/><Relationship Id="rId258" Type="http://schemas.openxmlformats.org/officeDocument/2006/relationships/hyperlink" Target="https://www.sec.gov/Archives/edgar/data/1110646/000110465923050589/ntes-20221231xex4d49.htm" TargetMode="External"/><Relationship Id="rId259" Type="http://schemas.openxmlformats.org/officeDocument/2006/relationships/hyperlink" Target="https://www.sec.gov/Archives/edgar/data/1110646/000110465923050589/ntes-20221231xex4d50.htm" TargetMode="External"/><Relationship Id="rId260" Type="http://schemas.openxmlformats.org/officeDocument/2006/relationships/hyperlink" Target="https://www.sec.gov/Archives/edgar/data/1110646/000110465924051449/ntes-20231231xex4d51.htm" TargetMode="External"/><Relationship Id="rId261" Type="http://schemas.openxmlformats.org/officeDocument/2006/relationships/hyperlink" Target="https://www.sec.gov/Archives/edgar/data/1110646/000110465924051449/ntes-20231231xex4d52.htm" TargetMode="External"/><Relationship Id="rId262" Type="http://schemas.openxmlformats.org/officeDocument/2006/relationships/hyperlink" Target="https://www.sec.gov/Archives/edgar/data/1110646/000110465924051449/ntes-20231231xex4d53.htm" TargetMode="External"/><Relationship Id="rId264" Type="http://schemas.openxmlformats.org/officeDocument/2006/relationships/hyperlink" Target="https://www.sec.gov/Archives/edgar/data/1110646/000110465924051449/ntes-20231231xex4d54.htm" TargetMode="External"/><Relationship Id="rId265" Type="http://schemas.openxmlformats.org/officeDocument/2006/relationships/hyperlink" Target="https://www.sec.gov/Archives/edgar/data/1110646/000110465924051449/ntes-20231231xex4d55.htm" TargetMode="External"/><Relationship Id="rId266" Type="http://schemas.openxmlformats.org/officeDocument/2006/relationships/hyperlink" Target="https://www.sec.gov/Archives/edgar/data/1110646/000110465923050589/ntes-20221231xex4d56.htm" TargetMode="External"/><Relationship Id="rId267" Type="http://schemas.openxmlformats.org/officeDocument/2006/relationships/hyperlink" Target="https://www.sec.gov/Archives/edgar/data/1110646/000110465924051449/ntes-20231231xex4d57.htm" TargetMode="External"/><Relationship Id="rId268" Type="http://schemas.openxmlformats.org/officeDocument/2006/relationships/hyperlink" Target="https://www.sec.gov/Archives/edgar/data/1110646/000110465921055902/ntes-20201231xex8d1.htm" TargetMode="External"/><Relationship Id="rId269" Type="http://schemas.openxmlformats.org/officeDocument/2006/relationships/hyperlink" Target="https://www.sec.gov/Archives/edgar/data/1110646/000110465924051449/ntes-20231231xex11d1.htm" TargetMode="External"/><Relationship Id="rId270" Type="http://schemas.openxmlformats.org/officeDocument/2006/relationships/hyperlink" Target="https://www.sec.gov/Archives/edgar/data/1110646/000110465924051449/ntes-20231231xex15d1.htm" TargetMode="External"/><Relationship Id="rId271" Type="http://schemas.openxmlformats.org/officeDocument/2006/relationships/hyperlink" Target="https://www.sec.gov/Archives/edgar/data/1110646/000110465924051449/ntes-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2025-04-15T05:33:55Z</dcterms:created>
  <dcterms:modified xsi:type="dcterms:W3CDTF">2025-04-15T05:33:55Z</dcterms:modified>
</cp:coreProperties>
</file>