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For the month of November 2026</w:t>
      </w:r>
    </w:p>
    <w:p>
      <w:pPr>
        <w:spacing w:after="0" w:line="22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000-30666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32"/>
          <w:szCs w:val="32"/>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Room 802, 8/F, China Life Centre</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Tower A, One HarbourGate</w:t>
      </w:r>
    </w:p>
    <w:p>
      <w:pPr>
        <w:spacing w:after="0" w:line="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No. 18 Hung Luen Road</w:t>
      </w:r>
    </w:p>
    <w:p>
      <w:pPr>
        <w:spacing w:after="0" w:line="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Kowloon, Hong Kong</w:t>
      </w:r>
    </w:p>
    <w:p>
      <w:pPr>
        <w:spacing w:after="0" w:line="9"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80"/>
        <w:spacing w:after="0" w:line="242"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Arial Unicode MS" w:cs="Arial Unicode MS" w:eastAsia="Arial Unicode MS" w:hAnsi="Arial Unicode MS"/>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6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736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w w:val="98"/>
              </w:rPr>
              <w:t>Exhibit 99.1</w:t>
            </w:r>
          </w:p>
        </w:tc>
        <w:tc>
          <w:tcPr>
            <w:tcW w:w="400" w:type="dxa"/>
            <w:vAlign w:val="bottom"/>
          </w:tcPr>
          <w:p>
            <w:pPr>
              <w:spacing w:after="0"/>
              <w:rPr>
                <w:sz w:val="24"/>
                <w:szCs w:val="24"/>
                <w:color w:val="auto"/>
              </w:rPr>
            </w:pPr>
          </w:p>
        </w:tc>
        <w:tc>
          <w:tcPr>
            <w:tcW w:w="994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0000EE"/>
                <w:w w:val="99"/>
              </w:rPr>
              <w:t>Announcement with The Stock Exchange of Hong Kong Limited – Date of Board Meeting and Date of Publication of Third Quarter</w:t>
            </w:r>
          </w:p>
        </w:tc>
      </w:tr>
      <w:tr>
        <w:trPr>
          <w:trHeight w:val="20"/>
        </w:trPr>
        <w:tc>
          <w:tcPr>
            <w:tcW w:w="9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7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40" w:type="dxa"/>
            <w:vAlign w:val="bottom"/>
            <w:gridSpan w:val="4"/>
          </w:tcPr>
          <w:p>
            <w:pPr>
              <w:ind w:left="400"/>
              <w:spacing w:after="0" w:line="196" w:lineRule="exact"/>
              <w:rPr>
                <w:sz w:val="20"/>
                <w:szCs w:val="20"/>
                <w:color w:val="auto"/>
              </w:rPr>
            </w:pPr>
            <w:r>
              <w:rPr>
                <w:rFonts w:ascii="Times New Roman" w:cs="Times New Roman" w:eastAsia="Times New Roman" w:hAnsi="Times New Roman"/>
                <w:sz w:val="18"/>
                <w:szCs w:val="18"/>
                <w:color w:val="0000EE"/>
              </w:rPr>
              <w:t>2026 Earnings Announcement</w:t>
            </w:r>
          </w:p>
        </w:tc>
      </w:tr>
      <w:tr>
        <w:trPr>
          <w:trHeight w:val="453"/>
        </w:trPr>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top w:val="single" w:sz="8" w:color="0000EE"/>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Lei Ding</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6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Lei Ding</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149225</wp:posOffset>
            </wp:positionV>
            <wp:extent cx="7136130" cy="552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552450"/>
                    </a:xfrm>
                    <a:prstGeom prst="rect">
                      <a:avLst/>
                    </a:prstGeom>
                    <a:noFill/>
                  </pic:spPr>
                </pic:pic>
              </a:graphicData>
            </a:graphic>
          </wp:anchor>
        </w:drawing>
      </w:r>
    </w:p>
    <w:p>
      <w:pPr>
        <w:spacing w:after="0" w:line="304"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color w:val="auto"/>
        </w:rPr>
        <w:t>Hong Kong Exchanges and Clearing Limited and The Stock Exchange of Hong Kong Limited (the “</w:t>
      </w:r>
      <w:r>
        <w:rPr>
          <w:rFonts w:ascii="Times New Roman" w:cs="Times New Roman" w:eastAsia="Times New Roman" w:hAnsi="Times New Roman"/>
          <w:sz w:val="18"/>
          <w:szCs w:val="18"/>
          <w:b w:val="1"/>
          <w:bCs w:val="1"/>
          <w:color w:val="auto"/>
        </w:rPr>
        <w:t>Hong Kong Stock Exchange</w:t>
      </w:r>
      <w:r>
        <w:rPr>
          <w:rFonts w:ascii="Times New Roman" w:cs="Times New Roman" w:eastAsia="Times New Roman" w:hAnsi="Times New Roman"/>
          <w:sz w:val="18"/>
          <w:szCs w:val="18"/>
          <w:color w:val="auto"/>
        </w:rPr>
        <w:t>”)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191135</wp:posOffset>
            </wp:positionV>
            <wp:extent cx="2143125"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9999)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BOARD MEETING AND DATE OF PUBLICATION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QUARTER 2026 EARNINGS ANNOUNCEMENT</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NetEase,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hold a board meeting on Thursday, November 19, 2026 (Beijing/Hong Kong time) for the purposes of, among other matters, approving the Company’s unaudited results and announcement for the three months ended September 30, 2026 (the “</w:t>
      </w:r>
      <w:r>
        <w:rPr>
          <w:rFonts w:ascii="Times New Roman" w:cs="Times New Roman" w:eastAsia="Times New Roman" w:hAnsi="Times New Roman"/>
          <w:sz w:val="18"/>
          <w:szCs w:val="18"/>
          <w:b w:val="1"/>
          <w:bCs w:val="1"/>
          <w:color w:val="auto"/>
        </w:rPr>
        <w:t>Results</w:t>
      </w:r>
      <w:r>
        <w:rPr>
          <w:rFonts w:ascii="Times New Roman" w:cs="Times New Roman" w:eastAsia="Times New Roman" w:hAnsi="Times New Roman"/>
          <w:sz w:val="18"/>
          <w:szCs w:val="18"/>
          <w:color w:val="auto"/>
        </w:rPr>
        <w:t xml:space="preserve">”). The Company will announce the Results at or around 6:00 p.m. on Thursday, November 19, 2026 (Beijing/Hong Kong time) on the website of the Hong Kong Stock Exchange at </w:t>
      </w:r>
      <w:r>
        <w:rPr>
          <w:rFonts w:ascii="Times New Roman" w:cs="Times New Roman" w:eastAsia="Times New Roman" w:hAnsi="Times New Roman"/>
          <w:sz w:val="18"/>
          <w:szCs w:val="18"/>
          <w:u w:val="single" w:color="auto"/>
          <w:color w:val="auto"/>
        </w:rPr>
        <w:t>www.hkexnews.hk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earnings teleconference call with simultaneous webcast will take place at 8:00 p.m. on Thursday, November 19, 2026 (Beijing/Hong Kong time). The Company’s management will be on the call to discuss the Results and answer questions.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Interested parties may participate in the conference call by dialing 1-914-202-3258 and providing conference ID: 10058096, 15 minutes prior to the initiation of the call.</w:t>
      </w:r>
    </w:p>
    <w:p>
      <w:pPr>
        <w:spacing w:after="0" w:line="162"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auto"/>
        </w:rPr>
        <w:t>William Lei Ding</w:t>
      </w:r>
    </w:p>
    <w:p>
      <w:pPr>
        <w:spacing w:after="0" w:line="9"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November 5, 2026</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of directors of the Company comprises Mr. William Lei Ding as the director, and Ms. Grace Tang, Ms. Alice Cheng, Mr. Joseph Tong, Mr. Michael Leung and Mr. Johnny Chan as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2026-11-05T05:31:24Z</dcterms:created>
  <dcterms:modified xsi:type="dcterms:W3CDTF">2026-11-05T05:31:24Z</dcterms:modified>
</cp:coreProperties>
</file>