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200"/>
        <w:ind w:left="0" w:right="0" w:hanging="0"/>
        <w:jc w:val="left"/>
        <w:rPr/>
      </w:pPr>
      <w:hyperlink w:anchor="TOC">
        <w:bookmarkStart w:id="0" w:name="ntes-20231231x20f.htm"/>
        <w:bookmarkStart w:id="1" w:name="ksntes20231231x20f"/>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center"/>
        <w:rPr/>
      </w:pPr>
      <w:bookmarkStart w:id="2" w:name="_59ca1e02_a0fe_48cd_a61f_d487209b15dd"/>
      <w:bookmarkEnd w:id="2"/>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FORM 20-F</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(Mark One)</w:t>
      </w:r>
    </w:p>
    <w:p>
      <w:pPr>
        <w:pStyle w:val="Normal"/>
        <w:bidi w:val="0"/>
        <w:spacing w:before="0" w:after="0"/>
        <w:jc w:val="left"/>
        <w:rPr>
          <w:sz w:val="4"/>
          <w:szCs w:val="4"/>
        </w:rPr>
      </w:pPr>
      <w:r>
        <w:rPr>
          <w:sz w:val="4"/>
          <w:szCs w:val="4"/>
        </w:rPr>
      </w:r>
      <w:bookmarkStart w:id="3" w:name="Tc_X99Hk6fXlkOnR6GmljX44A_15_1"/>
      <w:bookmarkStart w:id="4" w:name="Tc_ygds23QCH0Sm9pRZEKJCrA_13_0"/>
      <w:bookmarkStart w:id="5" w:name="Tc_Iqul0C_edkCE2eAcPyWDog_11_1"/>
      <w:bookmarkStart w:id="6" w:name="Tc_tZoVKd_BCEmqCPfxH4dnZw_9_0"/>
      <w:bookmarkStart w:id="7" w:name="Tc_0M3il3h9jkaxbENAyNysdA_7_1"/>
      <w:bookmarkStart w:id="8" w:name="Tc_JZuRqjWhQki3HsBzsN5TBA_6_1"/>
      <w:bookmarkStart w:id="9" w:name="Tc_roHsDMqAS0uNV65VHVeB9A_4_0"/>
      <w:bookmarkStart w:id="10" w:name="Tc_g8Iq8V_BnUawLbiLSf0aVQ_2_1"/>
      <w:bookmarkStart w:id="11" w:name="_e9ff3971_a098_49d5_895d_962a9ddbe15e"/>
      <w:bookmarkStart w:id="12" w:name="Tc_X99Hk6fXlkOnR6GmljX44A_15_1"/>
      <w:bookmarkStart w:id="13" w:name="Tc_ygds23QCH0Sm9pRZEKJCrA_13_0"/>
      <w:bookmarkStart w:id="14" w:name="Tc_Iqul0C_edkCE2eAcPyWDog_11_1"/>
      <w:bookmarkStart w:id="15" w:name="Tc_tZoVKd_BCEmqCPfxH4dnZw_9_0"/>
      <w:bookmarkStart w:id="16" w:name="Tc_0M3il3h9jkaxbENAyNysdA_7_1"/>
      <w:bookmarkStart w:id="17" w:name="Tc_JZuRqjWhQki3HsBzsN5TBA_6_1"/>
      <w:bookmarkStart w:id="18" w:name="Tc_roHsDMqAS0uNV65VHVeB9A_4_0"/>
      <w:bookmarkStart w:id="19" w:name="Tc_g8Iq8V_BnUawLbiLSf0aVQ_2_1"/>
      <w:bookmarkStart w:id="20" w:name="_e9ff3971_a098_49d5_895d_962a9ddbe15e"/>
      <w:bookmarkEnd w:id="12"/>
      <w:bookmarkEnd w:id="13"/>
      <w:bookmarkEnd w:id="14"/>
      <w:bookmarkEnd w:id="15"/>
      <w:bookmarkEnd w:id="16"/>
      <w:bookmarkEnd w:id="17"/>
      <w:bookmarkEnd w:id="18"/>
      <w:bookmarkEnd w:id="19"/>
      <w:bookmarkEnd w:id="20"/>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REGISTRATION STATEMENT PURSUANT TO SECTION 12(b) OR 12(g) OF THE SECURITIES EXCHANGE ACT OF 1934</w:t>
            </w:r>
          </w:p>
        </w:tc>
      </w:tr>
      <w:tr>
        <w:trPr/>
        <w:tc>
          <w:tcPr>
            <w:tcW w:w="331" w:type="dxa"/>
            <w:tcBorders/>
            <w:vAlign w:val="center"/>
          </w:tcPr>
          <w:p>
            <w:pPr>
              <w:pStyle w:val="TableContents"/>
              <w:bidi w:val="0"/>
              <w:spacing w:before="0" w:after="0"/>
              <w:ind w:left="0" w:right="0" w:hanging="0"/>
              <w:jc w:val="center"/>
              <w:rPr/>
            </w:pPr>
            <w:r>
              <w:rPr/>
              <w:t>​</w:t>
            </w:r>
          </w:p>
        </w:tc>
        <w:tc>
          <w:tcPr>
            <w:tcW w:w="9874" w:type="dxa"/>
            <w:tcBorders/>
            <w:vAlign w:val="center"/>
          </w:tcPr>
          <w:p>
            <w:pPr>
              <w:pStyle w:val="TableContents"/>
              <w:bidi w:val="0"/>
              <w:spacing w:before="0" w:after="0"/>
              <w:ind w:left="0" w:right="0" w:hanging="0"/>
              <w:jc w:val="center"/>
              <w:rPr/>
            </w:pPr>
            <w:r>
              <w:rPr/>
              <w:t>​</w:t>
            </w:r>
          </w:p>
        </w:tc>
      </w:tr>
      <w:tr>
        <w:trPr/>
        <w:tc>
          <w:tcPr>
            <w:tcW w:w="10205"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OR</w:t>
            </w:r>
          </w:p>
        </w:tc>
      </w:tr>
      <w:tr>
        <w:trPr/>
        <w:tc>
          <w:tcPr>
            <w:tcW w:w="331" w:type="dxa"/>
            <w:tcBorders/>
            <w:vAlign w:val="center"/>
          </w:tcPr>
          <w:p>
            <w:pPr>
              <w:pStyle w:val="TableContents"/>
              <w:bidi w:val="0"/>
              <w:spacing w:before="0" w:after="0"/>
              <w:ind w:left="0" w:right="0" w:hanging="0"/>
              <w:jc w:val="center"/>
              <w:rPr/>
            </w:pPr>
            <w:r>
              <w:rPr/>
              <w:t>​</w:t>
            </w:r>
          </w:p>
        </w:tc>
        <w:tc>
          <w:tcPr>
            <w:tcW w:w="9874" w:type="dxa"/>
            <w:tcBorders/>
            <w:vAlign w:val="center"/>
          </w:tcPr>
          <w:p>
            <w:pPr>
              <w:pStyle w:val="TableContents"/>
              <w:bidi w:val="0"/>
              <w:spacing w:before="0" w:after="0"/>
              <w:ind w:left="0" w:right="0" w:hanging="0"/>
              <w:jc w:val="center"/>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ANNUAL REPORT PURSUANT TO SECTION 13 OR 15(d) OF THE SECURITIES EXCHANGE ACT OF 1934</w:t>
            </w:r>
          </w:p>
        </w:tc>
      </w:tr>
      <w:tr>
        <w:trPr/>
        <w:tc>
          <w:tcPr>
            <w:tcW w:w="331" w:type="dxa"/>
            <w:tcBorders/>
            <w:vAlign w:val="center"/>
          </w:tcPr>
          <w:p>
            <w:pPr>
              <w:pStyle w:val="TableContents"/>
              <w:bidi w:val="0"/>
              <w:spacing w:before="0" w:after="0"/>
              <w:ind w:left="0" w:right="0" w:hanging="0"/>
              <w:jc w:val="center"/>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For the fiscal year ended December 31, 2023</w:t>
            </w:r>
          </w:p>
        </w:tc>
      </w:tr>
      <w:tr>
        <w:trPr/>
        <w:tc>
          <w:tcPr>
            <w:tcW w:w="331" w:type="dxa"/>
            <w:tcBorders/>
            <w:vAlign w:val="center"/>
          </w:tcPr>
          <w:p>
            <w:pPr>
              <w:pStyle w:val="TableContents"/>
              <w:bidi w:val="0"/>
              <w:spacing w:before="0" w:after="0"/>
              <w:ind w:left="0" w:right="0" w:hanging="0"/>
              <w:jc w:val="center"/>
              <w:rPr/>
            </w:pPr>
            <w:r>
              <w:rPr/>
              <w:t>​</w:t>
            </w:r>
          </w:p>
        </w:tc>
        <w:tc>
          <w:tcPr>
            <w:tcW w:w="9874" w:type="dxa"/>
            <w:tcBorders/>
            <w:vAlign w:val="center"/>
          </w:tcPr>
          <w:p>
            <w:pPr>
              <w:pStyle w:val="TableContents"/>
              <w:bidi w:val="0"/>
              <w:spacing w:before="0" w:after="0"/>
              <w:ind w:left="0" w:right="0" w:hanging="0"/>
              <w:jc w:val="center"/>
              <w:rPr/>
            </w:pPr>
            <w:r>
              <w:rPr/>
              <w:t>​</w:t>
            </w:r>
          </w:p>
        </w:tc>
      </w:tr>
      <w:tr>
        <w:trPr/>
        <w:tc>
          <w:tcPr>
            <w:tcW w:w="10205"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OR</w:t>
            </w:r>
          </w:p>
        </w:tc>
      </w:tr>
      <w:tr>
        <w:trPr/>
        <w:tc>
          <w:tcPr>
            <w:tcW w:w="331" w:type="dxa"/>
            <w:tcBorders/>
            <w:vAlign w:val="center"/>
          </w:tcPr>
          <w:p>
            <w:pPr>
              <w:pStyle w:val="TableContents"/>
              <w:bidi w:val="0"/>
              <w:spacing w:before="0" w:after="0"/>
              <w:ind w:left="0" w:right="0" w:hanging="0"/>
              <w:jc w:val="center"/>
              <w:rPr/>
            </w:pPr>
            <w:r>
              <w:rPr/>
              <w:t>​</w:t>
            </w:r>
          </w:p>
        </w:tc>
        <w:tc>
          <w:tcPr>
            <w:tcW w:w="9874" w:type="dxa"/>
            <w:tcBorders/>
            <w:vAlign w:val="center"/>
          </w:tcPr>
          <w:p>
            <w:pPr>
              <w:pStyle w:val="TableContents"/>
              <w:bidi w:val="0"/>
              <w:spacing w:before="0" w:after="0"/>
              <w:ind w:left="0" w:right="0" w:hanging="0"/>
              <w:jc w:val="center"/>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TRANSITION REPORT PURSUANT TO SECTION 13 OR 15(d) OF THE SECURITIES EXCHANGE ACT OF 1934</w:t>
            </w:r>
          </w:p>
        </w:tc>
      </w:tr>
      <w:tr>
        <w:trPr/>
        <w:tc>
          <w:tcPr>
            <w:tcW w:w="331" w:type="dxa"/>
            <w:tcBorders/>
            <w:vAlign w:val="center"/>
          </w:tcPr>
          <w:p>
            <w:pPr>
              <w:pStyle w:val="TableContents"/>
              <w:bidi w:val="0"/>
              <w:spacing w:before="0" w:after="0"/>
              <w:ind w:left="0" w:right="0" w:hanging="0"/>
              <w:jc w:val="center"/>
              <w:rPr/>
            </w:pPr>
            <w:r>
              <w:rPr/>
              <w:t>​</w:t>
            </w:r>
          </w:p>
        </w:tc>
        <w:tc>
          <w:tcPr>
            <w:tcW w:w="9874" w:type="dxa"/>
            <w:tcBorders/>
            <w:vAlign w:val="center"/>
          </w:tcPr>
          <w:p>
            <w:pPr>
              <w:pStyle w:val="TableContents"/>
              <w:bidi w:val="0"/>
              <w:spacing w:before="0" w:after="0"/>
              <w:ind w:left="0" w:right="0" w:hanging="0"/>
              <w:jc w:val="left"/>
              <w:rPr/>
            </w:pPr>
            <w:r>
              <w:rPr/>
              <w:t>​</w:t>
            </w:r>
          </w:p>
        </w:tc>
      </w:tr>
      <w:tr>
        <w:trPr/>
        <w:tc>
          <w:tcPr>
            <w:tcW w:w="10205"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OR</w:t>
            </w:r>
          </w:p>
        </w:tc>
      </w:tr>
      <w:tr>
        <w:trPr/>
        <w:tc>
          <w:tcPr>
            <w:tcW w:w="331" w:type="dxa"/>
            <w:tcBorders/>
            <w:vAlign w:val="center"/>
          </w:tcPr>
          <w:p>
            <w:pPr>
              <w:pStyle w:val="TableContents"/>
              <w:bidi w:val="0"/>
              <w:spacing w:before="0" w:after="0"/>
              <w:ind w:left="0" w:right="0" w:hanging="0"/>
              <w:jc w:val="center"/>
              <w:rPr/>
            </w:pPr>
            <w:r>
              <w:rPr/>
              <w:t>​</w:t>
            </w:r>
          </w:p>
        </w:tc>
        <w:tc>
          <w:tcPr>
            <w:tcW w:w="9874" w:type="dxa"/>
            <w:tcBorders/>
            <w:vAlign w:val="center"/>
          </w:tcPr>
          <w:p>
            <w:pPr>
              <w:pStyle w:val="TableContents"/>
              <w:bidi w:val="0"/>
              <w:spacing w:before="0" w:after="0"/>
              <w:ind w:left="0" w:right="0" w:hanging="0"/>
              <w:jc w:val="center"/>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SHELL COMPANY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Date of event requiring this shell company report.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 the transition period from ___________ to __________</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Commission file number: 000-30666</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1" w:name="Tc_M9SEUSukik6RrYEuvZTFNA_14_0"/>
      <w:bookmarkStart w:id="22" w:name="Tc_zMJ52rN-M0Cf59_K07SSbw_13_0"/>
      <w:bookmarkStart w:id="23" w:name="Tc_P6kJUqDGHE6Vd1-8GByGtg_11_0"/>
      <w:bookmarkStart w:id="24" w:name="Tc_AK9RRuMivE2rEAhmjqHHYw_10_0"/>
      <w:bookmarkStart w:id="25" w:name="Tc_2acb_6-0S0OeHwDODqKh-g_8_0"/>
      <w:bookmarkStart w:id="26" w:name="Tc_JM3kNLX4Ck2pUO1ytWTRIA_5_0"/>
      <w:bookmarkStart w:id="27" w:name="Tc_ro_ktlaloUmvJ3vieOWd1g_4_0"/>
      <w:bookmarkStart w:id="28" w:name="Tc_RNkmF6o6BUCV_TmmD-SMXg_2_0"/>
      <w:bookmarkStart w:id="29" w:name="_02f1d25e_962a_4637_b88c_c70c7d0c6557"/>
      <w:bookmarkStart w:id="30" w:name="Tc_M9SEUSukik6RrYEuvZTFNA_14_0"/>
      <w:bookmarkStart w:id="31" w:name="Tc_zMJ52rN-M0Cf59_K07SSbw_13_0"/>
      <w:bookmarkStart w:id="32" w:name="Tc_P6kJUqDGHE6Vd1-8GByGtg_11_0"/>
      <w:bookmarkStart w:id="33" w:name="Tc_AK9RRuMivE2rEAhmjqHHYw_10_0"/>
      <w:bookmarkStart w:id="34" w:name="Tc_2acb_6-0S0OeHwDODqKh-g_8_0"/>
      <w:bookmarkStart w:id="35" w:name="Tc_JM3kNLX4Ck2pUO1ytWTRIA_5_0"/>
      <w:bookmarkStart w:id="36" w:name="Tc_ro_ktlaloUmvJ3vieOWd1g_4_0"/>
      <w:bookmarkStart w:id="37" w:name="Tc_RNkmF6o6BUCV_TmmD-SMXg_2_0"/>
      <w:bookmarkStart w:id="38" w:name="_02f1d25e_962a_4637_b88c_c70c7d0c6557"/>
      <w:bookmarkEnd w:id="30"/>
      <w:bookmarkEnd w:id="31"/>
      <w:bookmarkEnd w:id="32"/>
      <w:bookmarkEnd w:id="33"/>
      <w:bookmarkEnd w:id="34"/>
      <w:bookmarkEnd w:id="35"/>
      <w:bookmarkEnd w:id="36"/>
      <w:bookmarkEnd w:id="37"/>
      <w:bookmarkEnd w:id="38"/>
    </w:p>
    <w:tbl>
      <w:tblPr>
        <w:tblW w:w="6886" w:type="dxa"/>
        <w:jc w:val="left"/>
        <w:tblInd w:w="0" w:type="dxa"/>
        <w:tblLayout w:type="fixed"/>
        <w:tblCellMar>
          <w:top w:w="0" w:type="dxa"/>
          <w:left w:w="0" w:type="dxa"/>
          <w:bottom w:w="0" w:type="dxa"/>
          <w:right w:w="0" w:type="dxa"/>
        </w:tblCellMar>
      </w:tblPr>
      <w:tblGrid>
        <w:gridCol w:w="6886"/>
      </w:tblGrid>
      <w:tr>
        <w:trPr/>
        <w:tc>
          <w:tcPr>
            <w:tcW w:w="6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4372610" cy="175260"/>
                      <wp:effectExtent l="0" t="0" r="0" b="0"/>
                      <wp:wrapNone/>
                      <wp:docPr id="1" name="Frame1"/>
                      <a:graphic xmlns:a="http://schemas.openxmlformats.org/drawingml/2006/main">
                        <a:graphicData uri="http://schemas.microsoft.com/office/word/2010/wordprocessingShape">
                          <wps:wsp>
                            <wps:cNvSpPr txBox="1"/>
                            <wps:spPr>
                              <a:xfrm>
                                <a:off x="0" y="0"/>
                                <a:ext cx="437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NETEASE, INC.</w:t>
            </w:r>
          </w:p>
        </w:tc>
      </w:tr>
      <w:tr>
        <w:trPr/>
        <w:tc>
          <w:tcPr>
            <w:tcW w:w="688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(Exact name of Registrant as specified in its charter)</w:t>
            </w:r>
          </w:p>
        </w:tc>
      </w:tr>
      <w:tr>
        <w:trPr/>
        <w:tc>
          <w:tcPr>
            <w:tcW w:w="6886" w:type="dxa"/>
            <w:tcBorders/>
            <w:vAlign w:val="center"/>
          </w:tcPr>
          <w:p>
            <w:pPr>
              <w:pStyle w:val="TableContents"/>
              <w:bidi w:val="0"/>
              <w:spacing w:before="0" w:after="0"/>
              <w:ind w:left="0" w:right="0" w:hanging="0"/>
              <w:jc w:val="center"/>
              <w:rPr/>
            </w:pPr>
            <w:r>
              <w:rPr/>
              <w:t>​</w:t>
            </w:r>
          </w:p>
        </w:tc>
      </w:tr>
      <w:tr>
        <w:trPr/>
        <w:tc>
          <w:tcPr>
            <w:tcW w:w="6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w:t>
            </w:r>
          </w:p>
        </w:tc>
      </w:tr>
      <w:tr>
        <w:trPr/>
        <w:tc>
          <w:tcPr>
            <w:tcW w:w="688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(Translation of Registrant’s name into English)</w:t>
            </w:r>
          </w:p>
        </w:tc>
      </w:tr>
      <w:tr>
        <w:trPr/>
        <w:tc>
          <w:tcPr>
            <w:tcW w:w="6886" w:type="dxa"/>
            <w:tcBorders/>
            <w:vAlign w:val="center"/>
          </w:tcPr>
          <w:p>
            <w:pPr>
              <w:pStyle w:val="TableContents"/>
              <w:bidi w:val="0"/>
              <w:spacing w:before="0" w:after="0"/>
              <w:ind w:left="0" w:right="0" w:hanging="0"/>
              <w:jc w:val="center"/>
              <w:rPr/>
            </w:pPr>
            <w:r>
              <w:rPr/>
              <w:t>​</w:t>
            </w:r>
          </w:p>
        </w:tc>
      </w:tr>
      <w:tr>
        <w:trPr/>
        <w:tc>
          <w:tcPr>
            <w:tcW w:w="6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Cayman Islands</w:t>
            </w:r>
          </w:p>
        </w:tc>
      </w:tr>
      <w:tr>
        <w:trPr/>
        <w:tc>
          <w:tcPr>
            <w:tcW w:w="688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(Jurisdiction of incorporation or organization)</w:t>
            </w:r>
          </w:p>
        </w:tc>
      </w:tr>
      <w:tr>
        <w:trPr/>
        <w:tc>
          <w:tcPr>
            <w:tcW w:w="6886" w:type="dxa"/>
            <w:tcBorders/>
            <w:vAlign w:val="center"/>
          </w:tcPr>
          <w:p>
            <w:pPr>
              <w:pStyle w:val="TableContents"/>
              <w:bidi w:val="0"/>
              <w:spacing w:before="0" w:after="0"/>
              <w:ind w:left="0" w:right="0" w:hanging="0"/>
              <w:jc w:val="center"/>
              <w:rPr/>
            </w:pPr>
            <w:r>
              <w:rPr/>
              <w:t>​</w:t>
            </w:r>
          </w:p>
        </w:tc>
      </w:tr>
      <w:tr>
        <w:trPr/>
        <w:tc>
          <w:tcPr>
            <w:tcW w:w="6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NetEase Building, No. 599 Wangshang Road</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Binjiang District, Hangzhou, 310052</w:t>
            </w:r>
            <w:r>
              <w:rPr>
                <w:rFonts w:ascii="Times New Roman;Times;serif" w:hAnsi="Times New Roman;Times;serif"/>
                <w:sz w:val="20"/>
              </w:rPr>
              <w:t xml:space="preserve"> </w:t>
            </w:r>
          </w:p>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People’s Republic of China</w:t>
            </w:r>
          </w:p>
        </w:tc>
      </w:tr>
      <w:tr>
        <w:trPr/>
        <w:tc>
          <w:tcPr>
            <w:tcW w:w="688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w:t>
            </w:r>
          </w:p>
        </w:tc>
      </w:tr>
      <w:tr>
        <w:trPr/>
        <w:tc>
          <w:tcPr>
            <w:tcW w:w="6886" w:type="dxa"/>
            <w:tcBorders/>
            <w:vAlign w:val="center"/>
          </w:tcPr>
          <w:p>
            <w:pPr>
              <w:pStyle w:val="TableContents"/>
              <w:bidi w:val="0"/>
              <w:spacing w:before="0" w:after="0"/>
              <w:ind w:left="0" w:right="0" w:hanging="0"/>
              <w:jc w:val="center"/>
              <w:rPr/>
            </w:pPr>
            <w:r>
              <w:rPr/>
              <w:t>​</w:t>
            </w:r>
          </w:p>
        </w:tc>
      </w:tr>
      <w:tr>
        <w:trPr/>
        <w:tc>
          <w:tcPr>
            <w:tcW w:w="6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Paul W. Boltz, Jr., General Counsel</w:t>
            </w:r>
          </w:p>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Guoco Midtown #19-01</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128 Beach Road, Singapore</w:t>
            </w:r>
            <w:r>
              <w:rPr>
                <w:rFonts w:ascii="Times New Roman;Times;serif" w:hAnsi="Times New Roman;Times;serif"/>
                <w:sz w:val="20"/>
              </w:rPr>
              <w:t xml:space="preserve"> </w:t>
            </w:r>
            <w:r>
              <w:rPr>
                <w:rFonts w:ascii="Times New Roman;Times;serif" w:hAnsi="Times New Roman;Times;serif"/>
                <w:b/>
                <w:sz w:val="18"/>
              </w:rPr>
              <w:t>189773</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Phone +65</w:t>
            </w:r>
            <w:r>
              <w:rPr>
                <w:rFonts w:ascii="Times New Roman;Times;serif" w:hAnsi="Times New Roman;Times;serif"/>
                <w:sz w:val="20"/>
              </w:rPr>
              <w:t xml:space="preserve"> </w:t>
            </w:r>
            <w:r>
              <w:rPr>
                <w:rFonts w:ascii="Times New Roman;Times;serif" w:hAnsi="Times New Roman;Times;serif"/>
                <w:b/>
                <w:sz w:val="18"/>
              </w:rPr>
              <w:t>6980 0628</w:t>
            </w:r>
          </w:p>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Email ir@service.netease.com</w:t>
            </w:r>
          </w:p>
        </w:tc>
      </w:tr>
      <w:tr>
        <w:trPr/>
        <w:tc>
          <w:tcPr>
            <w:tcW w:w="688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(Name, Telephone, E-mail and/or Facsimile number and Address of Company Contact Person)</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Securities registered or to be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9" w:name="Tc_CRIYQzhDnkewfXxh5cxuxA_3_2"/>
      <w:bookmarkStart w:id="40" w:name="Tc_gkvkWwjGy0OG-csLm5Ok9w_3_1"/>
      <w:bookmarkStart w:id="41" w:name="Tc_AqDQUYhxl0KDGj29fTv-Cw_3_0"/>
      <w:bookmarkStart w:id="42" w:name="Tc_8bTyYgDJUkivgJpCfNULmg_2_2"/>
      <w:bookmarkStart w:id="43" w:name="Tc_2JXc-NONeUWWHW24YljDRw_2_0"/>
      <w:bookmarkStart w:id="44" w:name="Tc_QZ6yHdTODkqZna2975LHLg_1_2"/>
      <w:bookmarkStart w:id="45" w:name="Tc_BkpIGEpNEkWpOVXXaNmeAg_0_2"/>
      <w:bookmarkStart w:id="46" w:name="Tc_lDtJmSjTW0qq9SX-7OXRaw_0_1"/>
      <w:bookmarkStart w:id="47" w:name="Tc_k8ANCnE_x0SmSQabxVMrFg_0_0"/>
      <w:bookmarkStart w:id="48" w:name="_e06e1d0c_92b0_412d_a49b_692729ba6a5c"/>
      <w:bookmarkStart w:id="49" w:name="Tc_CRIYQzhDnkewfXxh5cxuxA_3_2"/>
      <w:bookmarkStart w:id="50" w:name="Tc_gkvkWwjGy0OG-csLm5Ok9w_3_1"/>
      <w:bookmarkStart w:id="51" w:name="Tc_AqDQUYhxl0KDGj29fTv-Cw_3_0"/>
      <w:bookmarkStart w:id="52" w:name="Tc_8bTyYgDJUkivgJpCfNULmg_2_2"/>
      <w:bookmarkStart w:id="53" w:name="Tc_2JXc-NONeUWWHW24YljDRw_2_0"/>
      <w:bookmarkStart w:id="54" w:name="Tc_QZ6yHdTODkqZna2975LHLg_1_2"/>
      <w:bookmarkStart w:id="55" w:name="Tc_BkpIGEpNEkWpOVXXaNmeAg_0_2"/>
      <w:bookmarkStart w:id="56" w:name="Tc_lDtJmSjTW0qq9SX-7OXRaw_0_1"/>
      <w:bookmarkStart w:id="57" w:name="Tc_k8ANCnE_x0SmSQabxVMrFg_0_0"/>
      <w:bookmarkStart w:id="58" w:name="_e06e1d0c_92b0_412d_a49b_692729ba6a5c"/>
      <w:bookmarkEnd w:id="49"/>
      <w:bookmarkEnd w:id="50"/>
      <w:bookmarkEnd w:id="51"/>
      <w:bookmarkEnd w:id="52"/>
      <w:bookmarkEnd w:id="53"/>
      <w:bookmarkEnd w:id="54"/>
      <w:bookmarkEnd w:id="55"/>
      <w:bookmarkEnd w:id="56"/>
      <w:bookmarkEnd w:id="57"/>
      <w:bookmarkEnd w:id="58"/>
    </w:p>
    <w:tbl>
      <w:tblPr>
        <w:tblW w:w="10205" w:type="dxa"/>
        <w:jc w:val="left"/>
        <w:tblInd w:w="0" w:type="dxa"/>
        <w:tblLayout w:type="fixed"/>
        <w:tblCellMar>
          <w:top w:w="0" w:type="dxa"/>
          <w:left w:w="0" w:type="dxa"/>
          <w:bottom w:w="28" w:type="dxa"/>
          <w:right w:w="0" w:type="dxa"/>
        </w:tblCellMar>
      </w:tblPr>
      <w:tblGrid>
        <w:gridCol w:w="6078"/>
        <w:gridCol w:w="1268"/>
        <w:gridCol w:w="2859"/>
      </w:tblGrid>
      <w:tr>
        <w:trPr/>
        <w:tc>
          <w:tcPr>
            <w:tcW w:w="6078"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Title of Each Class</w:t>
            </w:r>
          </w:p>
        </w:tc>
        <w:tc>
          <w:tcPr>
            <w:tcW w:w="1268"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Trading Symbol(s)</w:t>
            </w:r>
          </w:p>
        </w:tc>
        <w:tc>
          <w:tcPr>
            <w:tcW w:w="2859"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Name of Each Exchange On Which Registered</w:t>
            </w:r>
          </w:p>
        </w:tc>
      </w:tr>
      <w:tr>
        <w:trPr/>
        <w:tc>
          <w:tcPr>
            <w:tcW w:w="6078"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American Depositary Shares, each representing five ordinary shares, par value US$0.0001 per share</w:t>
            </w:r>
          </w:p>
        </w:tc>
        <w:tc>
          <w:tcPr>
            <w:tcW w:w="1268"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NTES</w:t>
            </w:r>
          </w:p>
        </w:tc>
        <w:tc>
          <w:tcPr>
            <w:tcW w:w="2859"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The Nasdaq Stock Market LLC</w:t>
              <w:br/>
              <w:t>(NASDAQ Global Select Market)</w:t>
            </w:r>
          </w:p>
        </w:tc>
      </w:tr>
      <w:tr>
        <w:trPr/>
        <w:tc>
          <w:tcPr>
            <w:tcW w:w="6078" w:type="dxa"/>
            <w:tcBorders/>
            <w:tcMar>
              <w:bottom w:w="0" w:type="dxa"/>
            </w:tcMar>
            <w:vAlign w:val="center"/>
          </w:tcPr>
          <w:p>
            <w:pPr>
              <w:pStyle w:val="TableContents"/>
              <w:bidi w:val="0"/>
              <w:spacing w:before="0" w:after="0"/>
              <w:ind w:left="0" w:right="0" w:hanging="0"/>
              <w:jc w:val="center"/>
              <w:rPr/>
            </w:pPr>
            <w:r>
              <w:rPr/>
              <w:t>​</w:t>
            </w:r>
            <w:r>
              <w:rPr>
                <w:rFonts w:ascii="Times New Roman;Times;serif" w:hAnsi="Times New Roman;Times;serif"/>
                <w:b/>
                <w:sz w:val="18"/>
              </w:rPr>
              <w:br/>
              <w:t>Ordinary shares, par value US$0.0001 per share*</w:t>
            </w:r>
          </w:p>
          <w:p>
            <w:pPr>
              <w:pStyle w:val="TableContents"/>
              <w:bidi w:val="0"/>
              <w:spacing w:before="0" w:after="0"/>
              <w:ind w:left="0" w:right="0" w:hanging="0"/>
              <w:jc w:val="center"/>
              <w:rPr/>
            </w:pPr>
            <w:r>
              <w:rPr/>
              <w:t>​</w:t>
            </w:r>
          </w:p>
        </w:tc>
        <w:tc>
          <w:tcPr>
            <w:tcW w:w="1268" w:type="dxa"/>
            <w:tcBorders/>
            <w:tcMar>
              <w:bottom w:w="0" w:type="dxa"/>
            </w:tcMar>
            <w:vAlign w:val="center"/>
          </w:tcPr>
          <w:p>
            <w:pPr>
              <w:pStyle w:val="TableContents"/>
              <w:bidi w:val="0"/>
              <w:spacing w:before="0" w:after="0"/>
              <w:ind w:left="0" w:right="0" w:hanging="0"/>
              <w:jc w:val="center"/>
              <w:rPr/>
            </w:pPr>
            <w:r>
              <w:rPr/>
              <w:t>​</w:t>
            </w:r>
          </w:p>
        </w:tc>
        <w:tc>
          <w:tcPr>
            <w:tcW w:w="2859" w:type="dxa"/>
            <w:tcBorders/>
            <w:tcMar>
              <w:bottom w:w="0" w:type="dxa"/>
            </w:tcMar>
            <w:vAlign w:val="center"/>
          </w:tcPr>
          <w:p>
            <w:pPr>
              <w:pStyle w:val="TableContents"/>
              <w:bidi w:val="0"/>
              <w:spacing w:before="0" w:after="0"/>
              <w:ind w:left="0" w:right="0" w:hanging="0"/>
              <w:jc w:val="center"/>
              <w:rPr/>
            </w:pPr>
            <w:r>
              <w:rPr/>
              <w:t>​</w:t>
            </w:r>
            <w:r>
              <w:rPr>
                <w:rFonts w:ascii="Times New Roman;Times;serif" w:hAnsi="Times New Roman;Times;serif"/>
                <w:b/>
                <w:sz w:val="18"/>
              </w:rPr>
              <w:br/>
              <w:t>NASDAQ Global Select Market*</w:t>
            </w:r>
          </w:p>
          <w:p>
            <w:pPr>
              <w:pStyle w:val="TableContents"/>
              <w:bidi w:val="0"/>
              <w:spacing w:before="0" w:after="0"/>
              <w:ind w:left="0" w:right="0" w:hanging="0"/>
              <w:jc w:val="center"/>
              <w:rPr/>
            </w:pPr>
            <w:r>
              <w:rPr/>
              <w:t>​</w:t>
            </w:r>
          </w:p>
        </w:tc>
      </w:tr>
      <w:tr>
        <w:trPr/>
        <w:tc>
          <w:tcPr>
            <w:tcW w:w="6078" w:type="dxa"/>
            <w:tcBorders/>
            <w:tcMar>
              <w:bottom w:w="0"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Ordinary shares, par value US$0.0001 per share</w:t>
            </w:r>
          </w:p>
        </w:tc>
        <w:tc>
          <w:tcPr>
            <w:tcW w:w="1268" w:type="dxa"/>
            <w:tcBorders/>
            <w:tcMar>
              <w:bottom w:w="0"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9999</w:t>
            </w:r>
          </w:p>
        </w:tc>
        <w:tc>
          <w:tcPr>
            <w:tcW w:w="2859" w:type="dxa"/>
            <w:tcBorders/>
            <w:tcMar>
              <w:bottom w:w="0"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The Stock Exchange of Hong Kong Limited</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*Not for trading, but only in connection with the listing of American depositary shares on the NASDAQ Global Select Market.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Securities registered or to be registered pursuant to Section 12(g) of the Act:</w:t>
      </w:r>
    </w:p>
    <w:p>
      <w:pPr>
        <w:pStyle w:val="TextBody"/>
        <w:bidi w:val="0"/>
        <w:spacing w:before="0" w:after="0"/>
        <w:ind w:left="0" w:right="0" w:hanging="0"/>
        <w:jc w:val="left"/>
        <w:rPr/>
      </w:pPr>
      <w:r>
        <w:rPr/>
        <w:t>​</w:t>
      </w:r>
    </w:p>
    <w:tbl>
      <w:tblPr>
        <w:tblW w:w="1231" w:type="dxa"/>
        <w:jc w:val="left"/>
        <w:tblInd w:w="0" w:type="dxa"/>
        <w:tblLayout w:type="fixed"/>
        <w:tblCellMar>
          <w:top w:w="0" w:type="dxa"/>
          <w:left w:w="0" w:type="dxa"/>
          <w:bottom w:w="28" w:type="dxa"/>
          <w:right w:w="0" w:type="dxa"/>
        </w:tblCellMar>
      </w:tblPr>
      <w:tblGrid>
        <w:gridCol w:w="1231"/>
      </w:tblGrid>
      <w:tr>
        <w:trPr/>
        <w:tc>
          <w:tcPr>
            <w:tcW w:w="123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NONE</w:t>
            </w:r>
          </w:p>
        </w:tc>
      </w:tr>
      <w:tr>
        <w:trPr/>
        <w:tc>
          <w:tcPr>
            <w:tcW w:w="123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(Title of Class)</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Securities for which there is a reporting obligation pursuant to Section 15(d) of the Act:</w:t>
      </w:r>
    </w:p>
    <w:p>
      <w:pPr>
        <w:pStyle w:val="TextBody"/>
        <w:bidi w:val="0"/>
        <w:spacing w:before="0" w:after="0"/>
        <w:ind w:left="0" w:right="0" w:hanging="0"/>
        <w:jc w:val="left"/>
        <w:rPr/>
      </w:pPr>
      <w:r>
        <w:rPr/>
        <w:t>​</w:t>
      </w:r>
    </w:p>
    <w:tbl>
      <w:tblPr>
        <w:tblW w:w="1231" w:type="dxa"/>
        <w:jc w:val="left"/>
        <w:tblInd w:w="0" w:type="dxa"/>
        <w:tblLayout w:type="fixed"/>
        <w:tblCellMar>
          <w:top w:w="0" w:type="dxa"/>
          <w:left w:w="0" w:type="dxa"/>
          <w:bottom w:w="0" w:type="dxa"/>
          <w:right w:w="0" w:type="dxa"/>
        </w:tblCellMar>
      </w:tblPr>
      <w:tblGrid>
        <w:gridCol w:w="1231"/>
      </w:tblGrid>
      <w:tr>
        <w:trPr/>
        <w:tc>
          <w:tcPr>
            <w:tcW w:w="1231"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r>
      <w:tr>
        <w:trPr/>
        <w:tc>
          <w:tcPr>
            <w:tcW w:w="12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NONE</w:t>
            </w:r>
          </w:p>
        </w:tc>
      </w:tr>
      <w:tr>
        <w:trPr/>
        <w:tc>
          <w:tcPr>
            <w:tcW w:w="123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(Title of Class)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Indicate the number of outstanding shares of each of the issuer’s classes of capital or common stock as of the close of the period covered by the annual report:</w:t>
      </w:r>
    </w:p>
    <w:tbl>
      <w:tblPr>
        <w:tblW w:w="4790" w:type="dxa"/>
        <w:jc w:val="left"/>
        <w:tblInd w:w="0" w:type="dxa"/>
        <w:tblLayout w:type="fixed"/>
        <w:tblCellMar>
          <w:top w:w="0" w:type="dxa"/>
          <w:left w:w="0" w:type="dxa"/>
          <w:bottom w:w="0" w:type="dxa"/>
          <w:right w:w="0" w:type="dxa"/>
        </w:tblCellMar>
      </w:tblPr>
      <w:tblGrid>
        <w:gridCol w:w="124"/>
        <w:gridCol w:w="4666"/>
      </w:tblGrid>
      <w:tr>
        <w:trPr/>
        <w:tc>
          <w:tcPr>
            <w:tcW w:w="124" w:type="dxa"/>
            <w:tcBorders/>
            <w:vAlign w:val="center"/>
          </w:tcPr>
          <w:p>
            <w:pPr>
              <w:pStyle w:val="TableContents"/>
              <w:bidi w:val="0"/>
              <w:spacing w:before="0" w:after="0"/>
              <w:ind w:left="0" w:right="0" w:hanging="0"/>
              <w:jc w:val="left"/>
              <w:rPr/>
            </w:pPr>
            <w:r>
              <w:rPr/>
              <w:t>​</w:t>
            </w:r>
          </w:p>
        </w:tc>
        <w:tc>
          <w:tcPr>
            <w:tcW w:w="46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3,210,783,141 ordinary shares, par value US$0.0001 per share.</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Indicate by check mark if the registrant is a well-known seasoned issuer, as defined in Rule 405 of the Securities Act.</w:t>
      </w:r>
    </w:p>
    <w:p>
      <w:pPr>
        <w:pStyle w:val="TextBody"/>
        <w:bidi w:val="0"/>
        <w:spacing w:before="0" w:after="0"/>
        <w:ind w:left="0" w:right="0" w:hanging="0"/>
        <w:jc w:val="left"/>
        <w:rPr/>
      </w:pPr>
      <w:r>
        <w:rPr/>
        <w:t>​</w:t>
      </w:r>
    </w:p>
    <w:p>
      <w:pPr>
        <w:pStyle w:val="TextBody"/>
        <w:bidi w:val="0"/>
        <w:spacing w:before="0" w:after="0"/>
        <w:ind w:left="0" w:right="0" w:hanging="0"/>
        <w:jc w:val="right"/>
        <w:rPr/>
      </w:pPr>
      <w:r>
        <w:rPr/>
        <w:t xml:space="preserve">☒ </w:t>
      </w:r>
      <w:r>
        <w:rPr>
          <w:rFonts w:ascii="Times New Roman;Times;serif" w:hAnsi="Times New Roman;Times;serif"/>
          <w:sz w:val="18"/>
        </w:rPr>
        <w:t>Yes</w:t>
      </w:r>
      <w:r>
        <w:rPr>
          <w:rFonts w:ascii="Times New Roman;Times;serif" w:hAnsi="Times New Roman;Times;serif"/>
          <w:sz w:val="20"/>
        </w:rPr>
        <w:t xml:space="preserve"> ☐ </w:t>
      </w:r>
      <w:r>
        <w:rPr>
          <w:rFonts w:ascii="Times New Roman;Times;serif" w:hAnsi="Times New Roman;Times;serif"/>
          <w:sz w:val="18"/>
        </w:rPr>
        <w:t>No</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If this report is an annual or transition report, indicate by check mark if the registrant is not required to file reports pursuant to Section 13 or 15(d) of the Securities Exchange Act of 1934.</w:t>
      </w:r>
    </w:p>
    <w:p>
      <w:pPr>
        <w:pStyle w:val="TextBody"/>
        <w:bidi w:val="0"/>
        <w:spacing w:before="0" w:after="0"/>
        <w:ind w:left="0" w:right="0" w:hanging="0"/>
        <w:jc w:val="left"/>
        <w:rPr/>
      </w:pPr>
      <w:r>
        <w:rPr/>
        <w:t>​</w:t>
      </w:r>
    </w:p>
    <w:p>
      <w:pPr>
        <w:pStyle w:val="TextBody"/>
        <w:bidi w:val="0"/>
        <w:spacing w:before="0" w:after="0"/>
        <w:ind w:left="0" w:right="0" w:hanging="0"/>
        <w:jc w:val="right"/>
        <w:rPr/>
      </w:pPr>
      <w:r>
        <w:rPr/>
        <w:t xml:space="preserve">☐ </w:t>
      </w:r>
      <w:r>
        <w:rPr>
          <w:rFonts w:ascii="Times New Roman;Times;serif" w:hAnsi="Times New Roman;Times;serif"/>
          <w:sz w:val="18"/>
        </w:rPr>
        <w:t xml:space="preserve">Yes </w:t>
      </w:r>
      <w:r>
        <w:rPr>
          <w:rFonts w:ascii="Times New Roman;Times;serif" w:hAnsi="Times New Roman;Times;serif"/>
          <w:sz w:val="20"/>
        </w:rPr>
        <w:t xml:space="preserve">☒ </w:t>
      </w:r>
      <w:r>
        <w:rPr>
          <w:rFonts w:ascii="Times New Roman;Times;serif" w:hAnsi="Times New Roman;Times;serif"/>
          <w:sz w:val="18"/>
        </w:rPr>
        <w:t>No</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ind w:left="0" w:right="0" w:hanging="0"/>
        <w:jc w:val="left"/>
        <w:rPr/>
      </w:pPr>
      <w:r>
        <w:rPr/>
        <w:t>​</w:t>
      </w:r>
    </w:p>
    <w:p>
      <w:pPr>
        <w:pStyle w:val="TextBody"/>
        <w:bidi w:val="0"/>
        <w:spacing w:before="0" w:after="0"/>
        <w:ind w:left="0" w:right="0" w:hanging="0"/>
        <w:jc w:val="right"/>
        <w:rPr/>
      </w:pPr>
      <w:r>
        <w:rPr/>
        <w:t xml:space="preserve">☒ </w:t>
      </w:r>
      <w:r>
        <w:rPr>
          <w:rFonts w:ascii="Times New Roman;Times;serif" w:hAnsi="Times New Roman;Times;serif"/>
          <w:sz w:val="18"/>
        </w:rPr>
        <w:t xml:space="preserve">Yes </w:t>
      </w:r>
      <w:r>
        <w:rPr>
          <w:rFonts w:ascii="Times New Roman;Times;serif" w:hAnsi="Times New Roman;Times;serif"/>
          <w:sz w:val="20"/>
        </w:rPr>
        <w:t xml:space="preserve">☐ </w:t>
      </w:r>
      <w:r>
        <w:rPr>
          <w:rFonts w:ascii="Times New Roman;Times;serif" w:hAnsi="Times New Roman;Times;serif"/>
          <w:sz w:val="18"/>
        </w:rPr>
        <w:t>No</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before="0" w:after="0"/>
        <w:ind w:left="0" w:right="0" w:hanging="0"/>
        <w:jc w:val="left"/>
        <w:rPr/>
      </w:pPr>
      <w:r>
        <w:rPr/>
        <w:t>​</w:t>
      </w:r>
    </w:p>
    <w:p>
      <w:pPr>
        <w:pStyle w:val="TextBody"/>
        <w:bidi w:val="0"/>
        <w:spacing w:before="0" w:after="0"/>
        <w:ind w:left="0" w:right="0" w:hanging="0"/>
        <w:jc w:val="right"/>
        <w:rPr/>
      </w:pPr>
      <w:r>
        <w:rPr/>
        <w:t xml:space="preserve">☒ </w:t>
      </w:r>
      <w:r>
        <w:rPr>
          <w:rFonts w:ascii="Times New Roman;Times;serif" w:hAnsi="Times New Roman;Times;serif"/>
          <w:sz w:val="18"/>
        </w:rPr>
        <w:t xml:space="preserve">Yes </w:t>
      </w:r>
      <w:r>
        <w:rPr>
          <w:rFonts w:ascii="Times New Roman;Times;serif" w:hAnsi="Times New Roman;Times;serif"/>
          <w:sz w:val="20"/>
        </w:rPr>
        <w:t xml:space="preserve">☐ </w:t>
      </w:r>
      <w:r>
        <w:rPr>
          <w:rFonts w:ascii="Times New Roman;Times;serif" w:hAnsi="Times New Roman;Times;serif"/>
          <w:sz w:val="18"/>
        </w:rPr>
        <w:t>No</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pStyle w:val="TextBody"/>
        <w:bidi w:val="0"/>
        <w:spacing w:before="0" w:after="0"/>
        <w:ind w:left="0" w:right="0" w:hanging="0"/>
        <w:jc w:val="left"/>
        <w:rPr/>
      </w:pPr>
      <w:r>
        <w:rPr/>
        <w:t>​</w:t>
      </w:r>
    </w:p>
    <w:tbl>
      <w:tblPr>
        <w:tblW w:w="7459" w:type="dxa"/>
        <w:jc w:val="left"/>
        <w:tblInd w:w="0" w:type="dxa"/>
        <w:tblLayout w:type="fixed"/>
        <w:tblCellMar>
          <w:top w:w="0" w:type="dxa"/>
          <w:left w:w="0" w:type="dxa"/>
          <w:bottom w:w="0" w:type="dxa"/>
          <w:right w:w="0" w:type="dxa"/>
        </w:tblCellMar>
      </w:tblPr>
      <w:tblGrid>
        <w:gridCol w:w="1891"/>
        <w:gridCol w:w="1471"/>
        <w:gridCol w:w="1786"/>
        <w:gridCol w:w="2311"/>
      </w:tblGrid>
      <w:tr>
        <w:trPr/>
        <w:tc>
          <w:tcPr>
            <w:tcW w:w="1891" w:type="dxa"/>
            <w:tcBorders/>
            <w:vAlign w:val="center"/>
          </w:tcPr>
          <w:p>
            <w:pPr>
              <w:pStyle w:val="TableContents"/>
              <w:bidi w:val="0"/>
              <w:spacing w:before="0" w:after="0"/>
              <w:ind w:left="0" w:right="0" w:hanging="0"/>
              <w:jc w:val="left"/>
              <w:rPr/>
            </w:pPr>
            <w:r>
              <w:rPr/>
              <w:t>​</w:t>
            </w:r>
          </w:p>
        </w:tc>
        <w:tc>
          <w:tcPr>
            <w:tcW w:w="1471" w:type="dxa"/>
            <w:tcBorders/>
            <w:vAlign w:val="center"/>
          </w:tcPr>
          <w:p>
            <w:pPr>
              <w:pStyle w:val="TableContents"/>
              <w:bidi w:val="0"/>
              <w:spacing w:before="0" w:after="0"/>
              <w:ind w:left="0" w:right="0" w:hanging="0"/>
              <w:jc w:val="left"/>
              <w:rPr/>
            </w:pPr>
            <w:r>
              <w:rPr/>
              <w:t>​</w:t>
            </w:r>
          </w:p>
        </w:tc>
        <w:tc>
          <w:tcPr>
            <w:tcW w:w="1786"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left"/>
              <w:rPr/>
            </w:pPr>
            <w:r>
              <w:rPr/>
              <w:t>​</w:t>
            </w:r>
          </w:p>
        </w:tc>
      </w:tr>
      <w:tr>
        <w:trPr/>
        <w:tc>
          <w:tcPr>
            <w:tcW w:w="18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Large accelerated filer</w:t>
            </w:r>
            <w:r>
              <w:rPr>
                <w:rFonts w:ascii="Times New Roman;Times;serif" w:hAnsi="Times New Roman;Times;serif"/>
                <w:sz w:val="20"/>
              </w:rPr>
              <w:t xml:space="preserve"> ☒</w:t>
            </w:r>
          </w:p>
        </w:tc>
        <w:tc>
          <w:tcPr>
            <w:tcW w:w="147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Accelerated filer ☐</w:t>
            </w:r>
          </w:p>
        </w:tc>
        <w:tc>
          <w:tcPr>
            <w:tcW w:w="178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Non-accelerated filer ☐</w:t>
            </w:r>
          </w:p>
        </w:tc>
        <w:tc>
          <w:tcPr>
            <w:tcW w:w="23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 xml:space="preserve">Emerging growth company </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bidi w:val="0"/>
        <w:spacing w:before="0" w:after="0"/>
        <w:ind w:left="0" w:right="0" w:hanging="0"/>
        <w:jc w:val="left"/>
        <w:rPr/>
      </w:pPr>
      <w:r>
        <w:rPr/>
        <w:t xml:space="preserve">† </w:t>
      </w:r>
      <w:r>
        <w:rPr>
          <w:rFonts w:ascii="Times New Roman;Times;serif" w:hAnsi="Times New Roman;Times;serif"/>
          <w:sz w:val="18"/>
        </w:rPr>
        <w:t>The term “new or revised financial accounting standard” refers to any update issued by the Financial Accounting Standards Board to its Accounting Standards Codification after April 5, 2012.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Times;serif" w:hAnsi="Times New Roman;Times;serif"/>
          <w:sz w:val="20"/>
        </w:rPr>
        <w:t xml:space="preserve">☒ </w:t>
      </w:r>
      <w:r>
        <w:rPr>
          <w:rFonts w:ascii="Times New Roman;Times;serif" w:hAnsi="Times New Roman;Times;serif"/>
          <w:sz w:val="18"/>
        </w:rPr>
        <w:t xml:space="preserve">Yes </w:t>
      </w:r>
      <w:r>
        <w:rPr>
          <w:rFonts w:ascii="Times New Roman;Times;serif" w:hAnsi="Times New Roman;Times;serif"/>
          <w:sz w:val="20"/>
        </w:rPr>
        <w:t xml:space="preserve">☐ </w:t>
      </w:r>
      <w:r>
        <w:rPr>
          <w:rFonts w:ascii="Times New Roman;Times;serif" w:hAnsi="Times New Roman;Times;serif"/>
          <w:sz w:val="18"/>
        </w:rPr>
        <w:t>No</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8"/>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Indicate by check mark which basis of accounting the registrant has used to prepare the financial statements included in this filing:</w:t>
      </w:r>
    </w:p>
    <w:p>
      <w:pPr>
        <w:pStyle w:val="TextBody"/>
        <w:bidi w:val="0"/>
        <w:spacing w:before="0" w:after="0"/>
        <w:ind w:left="0" w:right="0" w:hanging="0"/>
        <w:jc w:val="left"/>
        <w:rPr/>
      </w:pPr>
      <w:r>
        <w:rPr/>
        <w:t>​</w:t>
      </w:r>
    </w:p>
    <w:tbl>
      <w:tblPr>
        <w:tblW w:w="6520" w:type="dxa"/>
        <w:jc w:val="left"/>
        <w:tblInd w:w="0" w:type="dxa"/>
        <w:tblLayout w:type="fixed"/>
        <w:tblCellMar>
          <w:top w:w="0" w:type="dxa"/>
          <w:left w:w="0" w:type="dxa"/>
          <w:bottom w:w="0" w:type="dxa"/>
          <w:right w:w="0" w:type="dxa"/>
        </w:tblCellMar>
      </w:tblPr>
      <w:tblGrid>
        <w:gridCol w:w="1231"/>
        <w:gridCol w:w="326"/>
        <w:gridCol w:w="3871"/>
        <w:gridCol w:w="326"/>
        <w:gridCol w:w="766"/>
      </w:tblGrid>
      <w:tr>
        <w:trPr/>
        <w:tc>
          <w:tcPr>
            <w:tcW w:w="12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r>
      <w:tr>
        <w:trPr/>
        <w:tc>
          <w:tcPr>
            <w:tcW w:w="12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U.S. GAAP</w:t>
            </w:r>
            <w:r>
              <w:rPr>
                <w:rFonts w:ascii="Times New Roman;Times;serif" w:hAnsi="Times New Roman;Times;serif"/>
                <w:sz w:val="20"/>
              </w:rPr>
              <w:t xml:space="preserve"> ☒</w:t>
            </w:r>
          </w:p>
        </w:tc>
        <w:tc>
          <w:tcPr>
            <w:tcW w:w="326" w:type="dxa"/>
            <w:tcBorders/>
            <w:vAlign w:val="center"/>
          </w:tcPr>
          <w:p>
            <w:pPr>
              <w:pStyle w:val="TableContents"/>
              <w:bidi w:val="0"/>
              <w:spacing w:before="0" w:after="0"/>
              <w:ind w:left="0" w:right="0" w:hanging="0"/>
              <w:jc w:val="left"/>
              <w:rPr/>
            </w:pPr>
            <w:r>
              <w:rPr/>
              <w:t>    </w:t>
            </w:r>
          </w:p>
        </w:tc>
        <w:tc>
          <w:tcPr>
            <w:tcW w:w="387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International Financial Reporting Standards as issued</w:t>
              <w:br/>
              <w:t>by the International Accounting Standards Board ☐</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Other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If “Other” has been checked in response to the previous question, indicate by check mark which financial statement item the registrant has elected to follow:</w:t>
      </w:r>
    </w:p>
    <w:p>
      <w:pPr>
        <w:pStyle w:val="TextBody"/>
        <w:bidi w:val="0"/>
        <w:spacing w:before="0" w:after="0"/>
        <w:ind w:left="0" w:right="0" w:hanging="0"/>
        <w:jc w:val="left"/>
        <w:rPr/>
      </w:pPr>
      <w:r>
        <w:rPr/>
        <w:t>​</w:t>
      </w:r>
    </w:p>
    <w:p>
      <w:pPr>
        <w:pStyle w:val="TextBody"/>
        <w:bidi w:val="0"/>
        <w:spacing w:before="0" w:after="0"/>
        <w:ind w:left="0" w:right="0" w:hanging="0"/>
        <w:jc w:val="right"/>
        <w:rPr/>
      </w:pPr>
      <w:r>
        <w:rPr/>
        <w:t xml:space="preserve">☐ </w:t>
      </w:r>
      <w:r>
        <w:rPr>
          <w:rFonts w:ascii="Times New Roman;Times;serif" w:hAnsi="Times New Roman;Times;serif"/>
          <w:sz w:val="18"/>
        </w:rPr>
        <w:t>Item 17 ☐ Item 18</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If this is an annual report, indicate by check mark whether the registrant is a shell company (as defined in Rule 12b-2 of the Exchange Act).</w:t>
      </w:r>
    </w:p>
    <w:p>
      <w:pPr>
        <w:pStyle w:val="TextBody"/>
        <w:bidi w:val="0"/>
        <w:spacing w:before="0" w:after="0"/>
        <w:ind w:left="0" w:right="0" w:hanging="0"/>
        <w:jc w:val="left"/>
        <w:rPr/>
      </w:pPr>
      <w:r>
        <w:rPr/>
        <w:t>​</w:t>
      </w:r>
    </w:p>
    <w:p>
      <w:pPr>
        <w:pStyle w:val="TextBody"/>
        <w:bidi w:val="0"/>
        <w:spacing w:before="0" w:after="0"/>
        <w:ind w:left="0" w:right="0" w:hanging="0"/>
        <w:jc w:val="right"/>
        <w:rPr/>
      </w:pPr>
      <w:r>
        <w:rPr/>
        <w:t xml:space="preserve">☐ </w:t>
      </w:r>
      <w:r>
        <w:rPr>
          <w:rFonts w:ascii="Times New Roman;Times;serif" w:hAnsi="Times New Roman;Times;serif"/>
          <w:sz w:val="18"/>
        </w:rPr>
        <w:t>Yes</w:t>
      </w:r>
      <w:r>
        <w:rPr>
          <w:rFonts w:ascii="Times New Roman;Times;serif" w:hAnsi="Times New Roman;Times;serif"/>
          <w:sz w:val="20"/>
        </w:rPr>
        <w:t xml:space="preserve"> ☒ </w:t>
      </w:r>
      <w:r>
        <w:rPr>
          <w:rFonts w:ascii="Times New Roman;Times;serif" w:hAnsi="Times New Roman;Times;serif"/>
          <w:sz w:val="18"/>
        </w:rPr>
        <w:t>No</w:t>
      </w:r>
    </w:p>
    <w:p>
      <w:pPr>
        <w:pStyle w:val="TextBody"/>
        <w:bidi w:val="0"/>
        <w:spacing w:before="0" w:after="0"/>
        <w:ind w:left="0" w:right="0" w:hanging="0"/>
        <w:jc w:val="righ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(APPLICABLE ONLY TO ISSUERS INVOLVED IN BANKRUPTCY PROCEEDINGS DURING THE PAST FIVE YEARS)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Indicate by check mark whether the registrant has filed all documents and reports required to be filed by Sections 12, 13 or 15(d) of the Securities Exchange Act of 1934 subsequent to the distribution of securities under a plan confirmed by a court.</w:t>
      </w:r>
    </w:p>
    <w:p>
      <w:pPr>
        <w:pStyle w:val="TextBody"/>
        <w:bidi w:val="0"/>
        <w:spacing w:before="0" w:after="0"/>
        <w:ind w:left="0" w:right="0" w:hanging="0"/>
        <w:jc w:val="left"/>
        <w:rPr/>
      </w:pPr>
      <w:r>
        <w:rPr/>
        <w:t>​</w:t>
      </w:r>
    </w:p>
    <w:p>
      <w:pPr>
        <w:pStyle w:val="TextBody"/>
        <w:bidi w:val="0"/>
        <w:spacing w:before="0" w:after="0"/>
        <w:ind w:left="0" w:right="0" w:hanging="0"/>
        <w:jc w:val="right"/>
        <w:rPr/>
      </w:pPr>
      <w:r>
        <w:rPr/>
        <w:t xml:space="preserve">☐ </w:t>
      </w:r>
      <w:r>
        <w:rPr>
          <w:rFonts w:ascii="Times New Roman;Times;serif" w:hAnsi="Times New Roman;Times;serif"/>
          <w:sz w:val="18"/>
        </w:rPr>
        <w:t>Yes ☐ No</w:t>
      </w:r>
    </w:p>
    <w:p>
      <w:pPr>
        <w:pStyle w:val="TextBody"/>
        <w:bidi w:val="0"/>
        <w:spacing w:before="0" w:after="0"/>
        <w:ind w:left="0" w:right="0" w:hanging="0"/>
        <w:jc w:val="right"/>
        <w:rPr/>
      </w:pPr>
      <w:r>
        <w:rPr/>
        <w:t>​</w:t>
      </w:r>
    </w:p>
    <w:p>
      <w:pPr>
        <w:pStyle w:val="TextBody"/>
        <w:pBdr>
          <w:top w:val="single" w:sz="8" w:space="1" w:color="000000"/>
          <w:bottom w:val="single" w:sz="24" w:space="1" w:color="000000"/>
        </w:pBdr>
        <w:bidi w:val="0"/>
        <w:spacing w:before="0" w:after="0"/>
        <w:ind w:left="0" w:right="0" w:hanging="0"/>
        <w:jc w:val="righ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9" w:name="TOC"/>
      <w:bookmarkStart w:id="60" w:name="_59c7cd8f_df72_443f_a4ae_ec3b5fc548d1"/>
      <w:bookmarkEnd w:id="59"/>
      <w:bookmarkEnd w:id="60"/>
      <w:r>
        <w:rPr>
          <w:rFonts w:ascii="Times New Roman;Times;serif" w:hAnsi="Times New Roman;Times;serif"/>
          <w:b/>
          <w:sz w:val="20"/>
        </w:rPr>
        <w:t>TABLE OF CONTENTS</w:t>
      </w:r>
    </w:p>
    <w:tbl>
      <w:tblPr>
        <w:tblW w:w="7788" w:type="dxa"/>
        <w:jc w:val="left"/>
        <w:tblInd w:w="0" w:type="dxa"/>
        <w:tblLayout w:type="fixed"/>
        <w:tblCellMar>
          <w:top w:w="0" w:type="dxa"/>
          <w:left w:w="0" w:type="dxa"/>
          <w:bottom w:w="0" w:type="dxa"/>
          <w:right w:w="0" w:type="dxa"/>
        </w:tblCellMar>
      </w:tblPr>
      <w:tblGrid>
        <w:gridCol w:w="916"/>
        <w:gridCol w:w="6361"/>
        <w:gridCol w:w="511"/>
      </w:tblGrid>
      <w:tr>
        <w:trPr/>
        <w:tc>
          <w:tcPr>
            <w:tcW w:w="916"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324485" cy="29210"/>
                      <wp:effectExtent l="0" t="0" r="0" b="0"/>
                      <wp:wrapNone/>
                      <wp:docPr id="2" name="Frame2"/>
                      <a:graphic xmlns:a="http://schemas.openxmlformats.org/drawingml/2006/main">
                        <a:graphicData uri="http://schemas.microsoft.com/office/word/2010/wordprocessingShape">
                          <wps:wsp>
                            <wps:cNvSpPr txBox="1"/>
                            <wps:spPr>
                              <a:xfrm>
                                <a:off x="0" y="0"/>
                                <a:ext cx="3244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916"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7277" w:type="dxa"/>
            <w:gridSpan w:val="2"/>
            <w:tcBorders/>
            <w:shd w:fill="CCEEFF" w:val="clear"/>
            <w:vAlign w:val="center"/>
          </w:tcPr>
          <w:p>
            <w:pPr>
              <w:pStyle w:val="TableContents"/>
              <w:bidi w:val="0"/>
              <w:spacing w:before="0" w:after="0"/>
              <w:ind w:left="0" w:right="0" w:hanging="0"/>
              <w:jc w:val="left"/>
              <w:rPr/>
            </w:pPr>
            <w:hyperlink w:anchor="INTRODUCTION_439907">
              <w:r>
                <w:rPr>
                  <w:rStyle w:val="InternetLink"/>
                  <w:rFonts w:ascii="Times New Roman;Times;serif" w:hAnsi="Times New Roman;Times;serif"/>
                  <w:b w:val="false"/>
                  <w:i w:val="false"/>
                  <w:caps w:val="false"/>
                  <w:smallCaps w:val="false"/>
                  <w:sz w:val="20"/>
                </w:rPr>
                <w:t>INTRODUCTION</w:t>
              </w:r>
            </w:hyperlink>
          </w:p>
        </w:tc>
        <w:tc>
          <w:tcPr>
            <w:tcW w:w="51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916"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16" w:type="dxa"/>
            <w:tcBorders/>
            <w:shd w:fill="CCEEFF" w:val="clear"/>
            <w:vAlign w:val="center"/>
          </w:tcPr>
          <w:p>
            <w:pPr>
              <w:pStyle w:val="TableContents"/>
              <w:bidi w:val="0"/>
              <w:spacing w:before="0" w:after="0"/>
              <w:ind w:left="0" w:right="0" w:hanging="0"/>
              <w:jc w:val="left"/>
              <w:rPr/>
            </w:pPr>
            <w:hyperlink w:anchor="PARTI_501792">
              <w:r>
                <w:rPr>
                  <w:rStyle w:val="InternetLink"/>
                  <w:rFonts w:ascii="Times New Roman;Times;serif" w:hAnsi="Times New Roman;Times;serif"/>
                  <w:b w:val="false"/>
                  <w:i w:val="false"/>
                  <w:caps w:val="false"/>
                  <w:smallCaps w:val="false"/>
                  <w:sz w:val="20"/>
                </w:rPr>
                <w:t>PART I</w:t>
              </w:r>
            </w:hyperlink>
            <w:r>
              <w:rPr>
                <w:rFonts w:ascii="Times New Roman;Times;serif" w:hAnsi="Times New Roman;Times;serif"/>
                <w:sz w:val="20"/>
              </w:rPr>
              <w:t>.</w:t>
            </w:r>
          </w:p>
        </w:tc>
        <w:tc>
          <w:tcPr>
            <w:tcW w:w="636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16" w:type="dxa"/>
            <w:tcBorders/>
            <w:vAlign w:val="center"/>
          </w:tcPr>
          <w:p>
            <w:pPr>
              <w:pStyle w:val="TableContents"/>
              <w:pBdr/>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16" w:type="dxa"/>
            <w:tcBorders/>
            <w:shd w:fill="CCEEFF" w:val="clear"/>
            <w:vAlign w:val="center"/>
          </w:tcPr>
          <w:p>
            <w:pPr>
              <w:pStyle w:val="TableContents"/>
              <w:bidi w:val="0"/>
              <w:spacing w:before="0" w:after="0"/>
              <w:ind w:left="0" w:right="0" w:hanging="0"/>
              <w:jc w:val="left"/>
              <w:rPr/>
            </w:pPr>
            <w:hyperlink w:anchor="Item1IdentityofDirectorsSeniorManagement">
              <w:r>
                <w:rPr>
                  <w:rStyle w:val="InternetLink"/>
                  <w:rFonts w:ascii="Times New Roman;Times;serif" w:hAnsi="Times New Roman;Times;serif"/>
                  <w:b w:val="false"/>
                  <w:i w:val="false"/>
                  <w:caps w:val="false"/>
                  <w:smallCaps w:val="false"/>
                  <w:sz w:val="20"/>
                </w:rPr>
                <w:t>Item 1</w:t>
              </w:r>
            </w:hyperlink>
            <w:r>
              <w:rPr>
                <w:rFonts w:ascii="Times New Roman;Times;serif" w:hAnsi="Times New Roman;Times;serif"/>
                <w:sz w:val="20"/>
              </w:rPr>
              <w:t>.</w:t>
            </w:r>
          </w:p>
        </w:tc>
        <w:tc>
          <w:tcPr>
            <w:tcW w:w="6361" w:type="dxa"/>
            <w:tcBorders/>
            <w:shd w:fill="CCEEFF" w:val="clear"/>
            <w:vAlign w:val="center"/>
          </w:tcPr>
          <w:p>
            <w:pPr>
              <w:pStyle w:val="TableContents"/>
              <w:bidi w:val="0"/>
              <w:spacing w:before="0" w:after="0"/>
              <w:ind w:left="0" w:right="0" w:hanging="0"/>
              <w:jc w:val="left"/>
              <w:rPr/>
            </w:pPr>
            <w:hyperlink w:anchor="Item1IdentityofDirectorsSeniorManagement">
              <w:r>
                <w:rPr>
                  <w:rStyle w:val="InternetLink"/>
                  <w:rFonts w:ascii="Times New Roman;Times;serif" w:hAnsi="Times New Roman;Times;serif"/>
                  <w:b w:val="false"/>
                  <w:i w:val="false"/>
                  <w:caps w:val="false"/>
                  <w:smallCaps w:val="false"/>
                  <w:sz w:val="20"/>
                </w:rPr>
                <w:t>Identity of Directors, Senior Management and Advisors</w:t>
              </w:r>
            </w:hyperlink>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16" w:type="dxa"/>
            <w:tcBorders/>
            <w:vAlign w:val="center"/>
          </w:tcPr>
          <w:p>
            <w:pPr>
              <w:pStyle w:val="TableContents"/>
              <w:bidi w:val="0"/>
              <w:spacing w:before="0" w:after="0"/>
              <w:ind w:left="0" w:right="0" w:hanging="0"/>
              <w:jc w:val="left"/>
              <w:rPr/>
            </w:pPr>
            <w:hyperlink w:anchor="Item2OfferStatisticsandExpectedTimetable">
              <w:r>
                <w:rPr>
                  <w:rStyle w:val="InternetLink"/>
                  <w:rFonts w:ascii="Times New Roman;Times;serif" w:hAnsi="Times New Roman;Times;serif"/>
                  <w:b w:val="false"/>
                  <w:i w:val="false"/>
                  <w:caps w:val="false"/>
                  <w:smallCaps w:val="false"/>
                  <w:sz w:val="20"/>
                </w:rPr>
                <w:t>Item 2</w:t>
              </w:r>
            </w:hyperlink>
            <w:r>
              <w:rPr>
                <w:rFonts w:ascii="Times New Roman;Times;serif" w:hAnsi="Times New Roman;Times;serif"/>
                <w:sz w:val="20"/>
              </w:rPr>
              <w:t>.</w:t>
            </w:r>
          </w:p>
        </w:tc>
        <w:tc>
          <w:tcPr>
            <w:tcW w:w="6361" w:type="dxa"/>
            <w:tcBorders/>
            <w:vAlign w:val="center"/>
          </w:tcPr>
          <w:p>
            <w:pPr>
              <w:pStyle w:val="TableContents"/>
              <w:bidi w:val="0"/>
              <w:spacing w:before="0" w:after="0"/>
              <w:ind w:left="0" w:right="0" w:hanging="0"/>
              <w:jc w:val="left"/>
              <w:rPr/>
            </w:pPr>
            <w:hyperlink w:anchor="Item2OfferStatisticsandExpectedTimetable">
              <w:r>
                <w:rPr>
                  <w:rStyle w:val="InternetLink"/>
                  <w:rFonts w:ascii="Times New Roman;Times;serif" w:hAnsi="Times New Roman;Times;serif"/>
                  <w:b w:val="false"/>
                  <w:i w:val="false"/>
                  <w:caps w:val="false"/>
                  <w:smallCaps w:val="false"/>
                  <w:sz w:val="20"/>
                </w:rPr>
                <w:t>Offer Statistics and Expected Timetable</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16" w:type="dxa"/>
            <w:tcBorders/>
            <w:shd w:fill="CCEEFF" w:val="clear"/>
            <w:vAlign w:val="center"/>
          </w:tcPr>
          <w:p>
            <w:pPr>
              <w:pStyle w:val="TableContents"/>
              <w:bidi w:val="0"/>
              <w:spacing w:before="0" w:after="0"/>
              <w:ind w:left="0" w:right="0" w:hanging="0"/>
              <w:jc w:val="left"/>
              <w:rPr/>
            </w:pPr>
            <w:hyperlink w:anchor="Item3KeyInformation_2356">
              <w:r>
                <w:rPr>
                  <w:rStyle w:val="InternetLink"/>
                  <w:rFonts w:ascii="Times New Roman;Times;serif" w:hAnsi="Times New Roman;Times;serif"/>
                  <w:b w:val="false"/>
                  <w:i w:val="false"/>
                  <w:caps w:val="false"/>
                  <w:smallCaps w:val="false"/>
                  <w:sz w:val="20"/>
                </w:rPr>
                <w:t>Item 3</w:t>
              </w:r>
            </w:hyperlink>
            <w:r>
              <w:rPr>
                <w:rFonts w:ascii="Times New Roman;Times;serif" w:hAnsi="Times New Roman;Times;serif"/>
                <w:sz w:val="20"/>
              </w:rPr>
              <w:t>.</w:t>
            </w:r>
          </w:p>
        </w:tc>
        <w:tc>
          <w:tcPr>
            <w:tcW w:w="6361" w:type="dxa"/>
            <w:tcBorders/>
            <w:shd w:fill="CCEEFF" w:val="clear"/>
            <w:vAlign w:val="center"/>
          </w:tcPr>
          <w:p>
            <w:pPr>
              <w:pStyle w:val="TableContents"/>
              <w:bidi w:val="0"/>
              <w:spacing w:before="0" w:after="0"/>
              <w:ind w:left="0" w:right="0" w:hanging="0"/>
              <w:jc w:val="left"/>
              <w:rPr/>
            </w:pPr>
            <w:hyperlink w:anchor="Item3KeyInformation_2356">
              <w:r>
                <w:rPr>
                  <w:rStyle w:val="InternetLink"/>
                  <w:rFonts w:ascii="Times New Roman;Times;serif" w:hAnsi="Times New Roman;Times;serif"/>
                  <w:b w:val="false"/>
                  <w:i w:val="false"/>
                  <w:caps w:val="false"/>
                  <w:smallCaps w:val="false"/>
                  <w:sz w:val="20"/>
                </w:rPr>
                <w:t>Key Information</w:t>
              </w:r>
            </w:hyperlink>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16" w:type="dxa"/>
            <w:tcBorders/>
            <w:vAlign w:val="center"/>
          </w:tcPr>
          <w:p>
            <w:pPr>
              <w:pStyle w:val="TableContents"/>
              <w:bidi w:val="0"/>
              <w:spacing w:before="0" w:after="0"/>
              <w:ind w:left="0" w:right="0" w:hanging="0"/>
              <w:jc w:val="left"/>
              <w:rPr/>
            </w:pPr>
            <w:hyperlink w:anchor="Item4InformationontheCompany_628867">
              <w:r>
                <w:rPr>
                  <w:rStyle w:val="InternetLink"/>
                  <w:rFonts w:ascii="Times New Roman;Times;serif" w:hAnsi="Times New Roman;Times;serif"/>
                  <w:b w:val="false"/>
                  <w:i w:val="false"/>
                  <w:caps w:val="false"/>
                  <w:smallCaps w:val="false"/>
                  <w:sz w:val="20"/>
                </w:rPr>
                <w:t>Item 4.</w:t>
              </w:r>
            </w:hyperlink>
          </w:p>
        </w:tc>
        <w:tc>
          <w:tcPr>
            <w:tcW w:w="6361" w:type="dxa"/>
            <w:tcBorders/>
            <w:vAlign w:val="center"/>
          </w:tcPr>
          <w:p>
            <w:pPr>
              <w:pStyle w:val="TableContents"/>
              <w:bidi w:val="0"/>
              <w:spacing w:before="0" w:after="0"/>
              <w:ind w:left="0" w:right="0" w:hanging="0"/>
              <w:jc w:val="left"/>
              <w:rPr/>
            </w:pPr>
            <w:hyperlink w:anchor="Item4InformationontheCompany_628867">
              <w:r>
                <w:rPr>
                  <w:rStyle w:val="InternetLink"/>
                  <w:rFonts w:ascii="Times New Roman;Times;serif" w:hAnsi="Times New Roman;Times;serif"/>
                  <w:b w:val="false"/>
                  <w:i w:val="false"/>
                  <w:caps w:val="false"/>
                  <w:smallCaps w:val="false"/>
                  <w:sz w:val="20"/>
                </w:rPr>
                <w:t>Information on the Company</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r>
      <w:tr>
        <w:trPr/>
        <w:tc>
          <w:tcPr>
            <w:tcW w:w="916" w:type="dxa"/>
            <w:tcBorders/>
            <w:shd w:fill="CCEEFF" w:val="clear"/>
            <w:vAlign w:val="center"/>
          </w:tcPr>
          <w:p>
            <w:pPr>
              <w:pStyle w:val="TableContents"/>
              <w:bidi w:val="0"/>
              <w:spacing w:before="0" w:after="0"/>
              <w:ind w:left="0" w:right="0" w:hanging="0"/>
              <w:jc w:val="left"/>
              <w:rPr/>
            </w:pPr>
            <w:hyperlink w:anchor="Item4AUnresolvedStaffComments_34130">
              <w:r>
                <w:rPr>
                  <w:rStyle w:val="InternetLink"/>
                  <w:rFonts w:ascii="Times New Roman;Times;serif" w:hAnsi="Times New Roman;Times;serif"/>
                  <w:b w:val="false"/>
                  <w:i w:val="false"/>
                  <w:caps w:val="false"/>
                  <w:smallCaps w:val="false"/>
                  <w:sz w:val="20"/>
                </w:rPr>
                <w:t>Item 4A.</w:t>
              </w:r>
            </w:hyperlink>
          </w:p>
        </w:tc>
        <w:tc>
          <w:tcPr>
            <w:tcW w:w="6361" w:type="dxa"/>
            <w:tcBorders/>
            <w:shd w:fill="CCEEFF" w:val="clear"/>
            <w:vAlign w:val="center"/>
          </w:tcPr>
          <w:p>
            <w:pPr>
              <w:pStyle w:val="TableContents"/>
              <w:bidi w:val="0"/>
              <w:spacing w:before="0" w:after="0"/>
              <w:ind w:left="0" w:right="0" w:hanging="0"/>
              <w:jc w:val="left"/>
              <w:rPr/>
            </w:pPr>
            <w:hyperlink w:anchor="Item4AUnresolvedStaffComments_34130">
              <w:r>
                <w:rPr>
                  <w:rStyle w:val="InternetLink"/>
                  <w:rFonts w:ascii="Times New Roman;Times;serif" w:hAnsi="Times New Roman;Times;serif"/>
                  <w:b w:val="false"/>
                  <w:i w:val="false"/>
                  <w:caps w:val="false"/>
                  <w:smallCaps w:val="false"/>
                  <w:sz w:val="20"/>
                </w:rPr>
                <w:t>Unresolved Staff Comments</w:t>
              </w:r>
            </w:hyperlink>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r>
      <w:tr>
        <w:trPr/>
        <w:tc>
          <w:tcPr>
            <w:tcW w:w="916" w:type="dxa"/>
            <w:tcBorders/>
            <w:vAlign w:val="center"/>
          </w:tcPr>
          <w:p>
            <w:pPr>
              <w:pStyle w:val="TableContents"/>
              <w:bidi w:val="0"/>
              <w:spacing w:before="0" w:after="0"/>
              <w:ind w:left="0" w:right="0" w:hanging="0"/>
              <w:jc w:val="left"/>
              <w:rPr/>
            </w:pPr>
            <w:hyperlink w:anchor="Item5OperatingandFinancialReviewandProsp">
              <w:r>
                <w:rPr>
                  <w:rStyle w:val="InternetLink"/>
                  <w:rFonts w:ascii="Times New Roman;Times;serif" w:hAnsi="Times New Roman;Times;serif"/>
                  <w:b w:val="false"/>
                  <w:i w:val="false"/>
                  <w:caps w:val="false"/>
                  <w:smallCaps w:val="false"/>
                  <w:sz w:val="20"/>
                </w:rPr>
                <w:t>Item 5</w:t>
              </w:r>
            </w:hyperlink>
            <w:r>
              <w:rPr>
                <w:rFonts w:ascii="Times New Roman;Times;serif" w:hAnsi="Times New Roman;Times;serif"/>
                <w:sz w:val="20"/>
              </w:rPr>
              <w:t>.</w:t>
            </w:r>
          </w:p>
        </w:tc>
        <w:tc>
          <w:tcPr>
            <w:tcW w:w="6361" w:type="dxa"/>
            <w:tcBorders/>
            <w:vAlign w:val="center"/>
          </w:tcPr>
          <w:p>
            <w:pPr>
              <w:pStyle w:val="TableContents"/>
              <w:bidi w:val="0"/>
              <w:spacing w:before="0" w:after="0"/>
              <w:ind w:left="0" w:right="0" w:hanging="0"/>
              <w:jc w:val="left"/>
              <w:rPr/>
            </w:pPr>
            <w:hyperlink w:anchor="Item5OperatingandFinancialReviewandProsp">
              <w:r>
                <w:rPr>
                  <w:rStyle w:val="InternetLink"/>
                  <w:rFonts w:ascii="Times New Roman;Times;serif" w:hAnsi="Times New Roman;Times;serif"/>
                  <w:b w:val="false"/>
                  <w:i w:val="false"/>
                  <w:caps w:val="false"/>
                  <w:smallCaps w:val="false"/>
                  <w:sz w:val="20"/>
                </w:rPr>
                <w:t>Operating and Financial Review and Prospects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r>
      <w:tr>
        <w:trPr/>
        <w:tc>
          <w:tcPr>
            <w:tcW w:w="916" w:type="dxa"/>
            <w:tcBorders/>
            <w:shd w:fill="CCEEFF" w:val="clear"/>
            <w:vAlign w:val="center"/>
          </w:tcPr>
          <w:p>
            <w:pPr>
              <w:pStyle w:val="TableContents"/>
              <w:bidi w:val="0"/>
              <w:spacing w:before="0" w:after="0"/>
              <w:ind w:left="0" w:right="0" w:hanging="0"/>
              <w:jc w:val="left"/>
              <w:rPr/>
            </w:pPr>
            <w:hyperlink w:anchor="Item6DirectorsSeniorManagementandEmploye">
              <w:r>
                <w:rPr>
                  <w:rStyle w:val="InternetLink"/>
                  <w:rFonts w:ascii="Times New Roman;Times;serif" w:hAnsi="Times New Roman;Times;serif"/>
                  <w:b w:val="false"/>
                  <w:i w:val="false"/>
                  <w:caps w:val="false"/>
                  <w:smallCaps w:val="false"/>
                  <w:sz w:val="20"/>
                </w:rPr>
                <w:t>Item 6</w:t>
              </w:r>
            </w:hyperlink>
            <w:r>
              <w:rPr>
                <w:rFonts w:ascii="Times New Roman;Times;serif" w:hAnsi="Times New Roman;Times;serif"/>
                <w:sz w:val="20"/>
              </w:rPr>
              <w:t>.</w:t>
            </w:r>
          </w:p>
        </w:tc>
        <w:tc>
          <w:tcPr>
            <w:tcW w:w="6361" w:type="dxa"/>
            <w:tcBorders/>
            <w:shd w:fill="CCEEFF" w:val="clear"/>
            <w:vAlign w:val="center"/>
          </w:tcPr>
          <w:p>
            <w:pPr>
              <w:pStyle w:val="TableContents"/>
              <w:bidi w:val="0"/>
              <w:spacing w:before="0" w:after="0"/>
              <w:ind w:left="0" w:right="0" w:hanging="0"/>
              <w:jc w:val="left"/>
              <w:rPr/>
            </w:pPr>
            <w:hyperlink w:anchor="Item6DirectorsSeniorManagementandEmploye">
              <w:r>
                <w:rPr>
                  <w:rStyle w:val="InternetLink"/>
                  <w:rFonts w:ascii="Times New Roman;Times;serif" w:hAnsi="Times New Roman;Times;serif"/>
                  <w:b w:val="false"/>
                  <w:i w:val="false"/>
                  <w:caps w:val="false"/>
                  <w:smallCaps w:val="false"/>
                  <w:sz w:val="20"/>
                </w:rPr>
                <w:t>Directors, Senior Management and Employees</w:t>
              </w:r>
            </w:hyperlink>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r>
      <w:tr>
        <w:trPr/>
        <w:tc>
          <w:tcPr>
            <w:tcW w:w="916" w:type="dxa"/>
            <w:tcBorders/>
            <w:vAlign w:val="center"/>
          </w:tcPr>
          <w:p>
            <w:pPr>
              <w:pStyle w:val="TableContents"/>
              <w:bidi w:val="0"/>
              <w:spacing w:before="0" w:after="0"/>
              <w:ind w:left="0" w:right="0" w:hanging="0"/>
              <w:jc w:val="left"/>
              <w:rPr/>
            </w:pPr>
            <w:hyperlink w:anchor="Item7MajorShareholdersandRelatedPartyTra">
              <w:r>
                <w:rPr>
                  <w:rStyle w:val="InternetLink"/>
                  <w:rFonts w:ascii="Times New Roman;Times;serif" w:hAnsi="Times New Roman;Times;serif"/>
                  <w:b w:val="false"/>
                  <w:i w:val="false"/>
                  <w:caps w:val="false"/>
                  <w:smallCaps w:val="false"/>
                  <w:sz w:val="20"/>
                </w:rPr>
                <w:t>Item 7</w:t>
              </w:r>
            </w:hyperlink>
            <w:r>
              <w:rPr>
                <w:rFonts w:ascii="Times New Roman;Times;serif" w:hAnsi="Times New Roman;Times;serif"/>
                <w:sz w:val="20"/>
              </w:rPr>
              <w:t>.</w:t>
            </w:r>
          </w:p>
        </w:tc>
        <w:tc>
          <w:tcPr>
            <w:tcW w:w="6361" w:type="dxa"/>
            <w:tcBorders/>
            <w:vAlign w:val="center"/>
          </w:tcPr>
          <w:p>
            <w:pPr>
              <w:pStyle w:val="TableContents"/>
              <w:bidi w:val="0"/>
              <w:spacing w:before="0" w:after="0"/>
              <w:ind w:left="0" w:right="0" w:hanging="0"/>
              <w:jc w:val="left"/>
              <w:rPr/>
            </w:pPr>
            <w:hyperlink w:anchor="Item7MajorShareholdersandRelatedPartyTra">
              <w:r>
                <w:rPr>
                  <w:rStyle w:val="InternetLink"/>
                  <w:rFonts w:ascii="Times New Roman;Times;serif" w:hAnsi="Times New Roman;Times;serif"/>
                  <w:b w:val="false"/>
                  <w:i w:val="false"/>
                  <w:caps w:val="false"/>
                  <w:smallCaps w:val="false"/>
                  <w:sz w:val="20"/>
                </w:rPr>
                <w:t>Major Shareholders and Related Party Transactions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r>
      <w:tr>
        <w:trPr/>
        <w:tc>
          <w:tcPr>
            <w:tcW w:w="916" w:type="dxa"/>
            <w:tcBorders/>
            <w:shd w:fill="CCEEFF" w:val="clear"/>
            <w:vAlign w:val="center"/>
          </w:tcPr>
          <w:p>
            <w:pPr>
              <w:pStyle w:val="TableContents"/>
              <w:bidi w:val="0"/>
              <w:spacing w:before="0" w:after="0"/>
              <w:ind w:left="0" w:right="0" w:hanging="0"/>
              <w:jc w:val="left"/>
              <w:rPr/>
            </w:pPr>
            <w:hyperlink w:anchor="Item8FinancialInformation_197711">
              <w:r>
                <w:rPr>
                  <w:rStyle w:val="InternetLink"/>
                  <w:rFonts w:ascii="Times New Roman;Times;serif" w:hAnsi="Times New Roman;Times;serif"/>
                  <w:b w:val="false"/>
                  <w:i w:val="false"/>
                  <w:caps w:val="false"/>
                  <w:smallCaps w:val="false"/>
                  <w:sz w:val="20"/>
                </w:rPr>
                <w:t>Item 8</w:t>
              </w:r>
            </w:hyperlink>
            <w:r>
              <w:rPr>
                <w:rFonts w:ascii="Times New Roman;Times;serif" w:hAnsi="Times New Roman;Times;serif"/>
                <w:sz w:val="20"/>
              </w:rPr>
              <w:t>.</w:t>
            </w:r>
          </w:p>
        </w:tc>
        <w:tc>
          <w:tcPr>
            <w:tcW w:w="6361" w:type="dxa"/>
            <w:tcBorders/>
            <w:shd w:fill="CCEEFF" w:val="clear"/>
            <w:vAlign w:val="center"/>
          </w:tcPr>
          <w:p>
            <w:pPr>
              <w:pStyle w:val="TableContents"/>
              <w:bidi w:val="0"/>
              <w:spacing w:before="0" w:after="0"/>
              <w:ind w:left="0" w:right="0" w:hanging="0"/>
              <w:jc w:val="left"/>
              <w:rPr/>
            </w:pPr>
            <w:hyperlink w:anchor="Item8FinancialInformation_197711">
              <w:r>
                <w:rPr>
                  <w:rStyle w:val="InternetLink"/>
                  <w:rFonts w:ascii="Times New Roman;Times;serif" w:hAnsi="Times New Roman;Times;serif"/>
                  <w:b w:val="false"/>
                  <w:i w:val="false"/>
                  <w:caps w:val="false"/>
                  <w:smallCaps w:val="false"/>
                  <w:sz w:val="20"/>
                </w:rPr>
                <w:t>Financial Information</w:t>
              </w:r>
            </w:hyperlink>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w:t>
            </w:r>
          </w:p>
        </w:tc>
      </w:tr>
      <w:tr>
        <w:trPr/>
        <w:tc>
          <w:tcPr>
            <w:tcW w:w="916" w:type="dxa"/>
            <w:tcBorders/>
            <w:vAlign w:val="center"/>
          </w:tcPr>
          <w:p>
            <w:pPr>
              <w:pStyle w:val="TableContents"/>
              <w:bidi w:val="0"/>
              <w:spacing w:before="0" w:after="0"/>
              <w:ind w:left="0" w:right="0" w:hanging="0"/>
              <w:jc w:val="left"/>
              <w:rPr/>
            </w:pPr>
            <w:hyperlink w:anchor="Item9TheOfferandListing_212738">
              <w:r>
                <w:rPr>
                  <w:rStyle w:val="InternetLink"/>
                  <w:rFonts w:ascii="Times New Roman;Times;serif" w:hAnsi="Times New Roman;Times;serif"/>
                  <w:b w:val="false"/>
                  <w:i w:val="false"/>
                  <w:caps w:val="false"/>
                  <w:smallCaps w:val="false"/>
                  <w:sz w:val="20"/>
                </w:rPr>
                <w:t>Item 9</w:t>
              </w:r>
            </w:hyperlink>
            <w:r>
              <w:rPr>
                <w:rFonts w:ascii="Times New Roman;Times;serif" w:hAnsi="Times New Roman;Times;serif"/>
                <w:sz w:val="20"/>
              </w:rPr>
              <w:t>.</w:t>
            </w:r>
          </w:p>
        </w:tc>
        <w:tc>
          <w:tcPr>
            <w:tcW w:w="6361" w:type="dxa"/>
            <w:tcBorders/>
            <w:vAlign w:val="center"/>
          </w:tcPr>
          <w:p>
            <w:pPr>
              <w:pStyle w:val="TableContents"/>
              <w:bidi w:val="0"/>
              <w:spacing w:before="0" w:after="0"/>
              <w:ind w:left="0" w:right="0" w:hanging="0"/>
              <w:jc w:val="left"/>
              <w:rPr/>
            </w:pPr>
            <w:hyperlink w:anchor="Item9TheOfferandListing_212738">
              <w:r>
                <w:rPr>
                  <w:rStyle w:val="InternetLink"/>
                  <w:rFonts w:ascii="Times New Roman;Times;serif" w:hAnsi="Times New Roman;Times;serif"/>
                  <w:b w:val="false"/>
                  <w:i w:val="false"/>
                  <w:caps w:val="false"/>
                  <w:smallCaps w:val="false"/>
                  <w:sz w:val="20"/>
                </w:rPr>
                <w:t>The Offer and Listing</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r>
      <w:tr>
        <w:trPr/>
        <w:tc>
          <w:tcPr>
            <w:tcW w:w="916" w:type="dxa"/>
            <w:tcBorders/>
            <w:shd w:fill="CCEEFF" w:val="clear"/>
            <w:vAlign w:val="center"/>
          </w:tcPr>
          <w:p>
            <w:pPr>
              <w:pStyle w:val="TableContents"/>
              <w:bidi w:val="0"/>
              <w:spacing w:before="0" w:after="0"/>
              <w:ind w:left="0" w:right="0" w:hanging="0"/>
              <w:jc w:val="left"/>
              <w:rPr/>
            </w:pPr>
            <w:hyperlink w:anchor="Item10AdditionalInformation_69482">
              <w:r>
                <w:rPr>
                  <w:rStyle w:val="InternetLink"/>
                  <w:rFonts w:ascii="Times New Roman;Times;serif" w:hAnsi="Times New Roman;Times;serif"/>
                  <w:b w:val="false"/>
                  <w:i w:val="false"/>
                  <w:caps w:val="false"/>
                  <w:smallCaps w:val="false"/>
                  <w:sz w:val="20"/>
                </w:rPr>
                <w:t>Item 10</w:t>
              </w:r>
            </w:hyperlink>
            <w:r>
              <w:rPr>
                <w:rFonts w:ascii="Times New Roman;Times;serif" w:hAnsi="Times New Roman;Times;serif"/>
                <w:sz w:val="20"/>
              </w:rPr>
              <w:t>.</w:t>
            </w:r>
          </w:p>
        </w:tc>
        <w:tc>
          <w:tcPr>
            <w:tcW w:w="6361" w:type="dxa"/>
            <w:tcBorders/>
            <w:shd w:fill="CCEEFF" w:val="clear"/>
            <w:vAlign w:val="center"/>
          </w:tcPr>
          <w:p>
            <w:pPr>
              <w:pStyle w:val="TableContents"/>
              <w:bidi w:val="0"/>
              <w:spacing w:before="0" w:after="0"/>
              <w:ind w:left="0" w:right="0" w:hanging="0"/>
              <w:jc w:val="left"/>
              <w:rPr/>
            </w:pPr>
            <w:hyperlink w:anchor="Item10AdditionalInformation_69482">
              <w:r>
                <w:rPr>
                  <w:rStyle w:val="InternetLink"/>
                  <w:rFonts w:ascii="Times New Roman;Times;serif" w:hAnsi="Times New Roman;Times;serif"/>
                  <w:b w:val="false"/>
                  <w:i w:val="false"/>
                  <w:caps w:val="false"/>
                  <w:smallCaps w:val="false"/>
                  <w:sz w:val="20"/>
                </w:rPr>
                <w:t>Additional Information</w:t>
              </w:r>
            </w:hyperlink>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r>
      <w:tr>
        <w:trPr/>
        <w:tc>
          <w:tcPr>
            <w:tcW w:w="916" w:type="dxa"/>
            <w:tcBorders/>
            <w:vAlign w:val="center"/>
          </w:tcPr>
          <w:p>
            <w:pPr>
              <w:pStyle w:val="TableContents"/>
              <w:bidi w:val="0"/>
              <w:spacing w:before="0" w:after="0"/>
              <w:ind w:left="0" w:right="0" w:hanging="0"/>
              <w:jc w:val="left"/>
              <w:rPr/>
            </w:pPr>
            <w:hyperlink w:anchor="Item11QuantitativeandQualitativeDisclosu">
              <w:r>
                <w:rPr>
                  <w:rStyle w:val="InternetLink"/>
                  <w:rFonts w:ascii="Times New Roman;Times;serif" w:hAnsi="Times New Roman;Times;serif"/>
                  <w:b w:val="false"/>
                  <w:i w:val="false"/>
                  <w:caps w:val="false"/>
                  <w:smallCaps w:val="false"/>
                  <w:sz w:val="20"/>
                </w:rPr>
                <w:t>Item 11</w:t>
              </w:r>
            </w:hyperlink>
            <w:r>
              <w:rPr>
                <w:rFonts w:ascii="Times New Roman;Times;serif" w:hAnsi="Times New Roman;Times;serif"/>
                <w:sz w:val="20"/>
              </w:rPr>
              <w:t>.</w:t>
            </w:r>
          </w:p>
        </w:tc>
        <w:tc>
          <w:tcPr>
            <w:tcW w:w="6361" w:type="dxa"/>
            <w:tcBorders/>
            <w:vAlign w:val="center"/>
          </w:tcPr>
          <w:p>
            <w:pPr>
              <w:pStyle w:val="TableContents"/>
              <w:bidi w:val="0"/>
              <w:spacing w:before="0" w:after="0"/>
              <w:ind w:left="0" w:right="0" w:hanging="0"/>
              <w:jc w:val="left"/>
              <w:rPr/>
            </w:pPr>
            <w:hyperlink w:anchor="Item11QuantitativeandQualitativeDisclosu">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w:t>
            </w:r>
          </w:p>
        </w:tc>
      </w:tr>
      <w:tr>
        <w:trPr/>
        <w:tc>
          <w:tcPr>
            <w:tcW w:w="916" w:type="dxa"/>
            <w:tcBorders/>
            <w:shd w:fill="CCEEFF" w:val="clear"/>
            <w:vAlign w:val="center"/>
          </w:tcPr>
          <w:p>
            <w:pPr>
              <w:pStyle w:val="TableContents"/>
              <w:bidi w:val="0"/>
              <w:spacing w:before="0" w:after="0"/>
              <w:ind w:left="0" w:right="0" w:hanging="0"/>
              <w:jc w:val="left"/>
              <w:rPr/>
            </w:pPr>
            <w:hyperlink w:anchor="Item12DescriptionofSecuritiesOtherthanEq">
              <w:r>
                <w:rPr>
                  <w:rStyle w:val="InternetLink"/>
                  <w:rFonts w:ascii="Times New Roman;Times;serif" w:hAnsi="Times New Roman;Times;serif"/>
                  <w:b w:val="false"/>
                  <w:i w:val="false"/>
                  <w:caps w:val="false"/>
                  <w:smallCaps w:val="false"/>
                  <w:sz w:val="20"/>
                </w:rPr>
                <w:t>Item 12</w:t>
              </w:r>
            </w:hyperlink>
            <w:r>
              <w:rPr>
                <w:rFonts w:ascii="Times New Roman;Times;serif" w:hAnsi="Times New Roman;Times;serif"/>
                <w:sz w:val="20"/>
              </w:rPr>
              <w:t>.</w:t>
            </w:r>
          </w:p>
        </w:tc>
        <w:tc>
          <w:tcPr>
            <w:tcW w:w="6361" w:type="dxa"/>
            <w:tcBorders/>
            <w:shd w:fill="CCEEFF" w:val="clear"/>
            <w:vAlign w:val="center"/>
          </w:tcPr>
          <w:p>
            <w:pPr>
              <w:pStyle w:val="TableContents"/>
              <w:bidi w:val="0"/>
              <w:spacing w:before="0" w:after="0"/>
              <w:ind w:left="0" w:right="0" w:hanging="0"/>
              <w:jc w:val="left"/>
              <w:rPr/>
            </w:pPr>
            <w:hyperlink w:anchor="Item12DescriptionofSecuritiesOtherthanEq">
              <w:r>
                <w:rPr>
                  <w:rStyle w:val="InternetLink"/>
                  <w:rFonts w:ascii="Times New Roman;Times;serif" w:hAnsi="Times New Roman;Times;serif"/>
                  <w:b w:val="false"/>
                  <w:i w:val="false"/>
                  <w:caps w:val="false"/>
                  <w:smallCaps w:val="false"/>
                  <w:sz w:val="20"/>
                </w:rPr>
                <w:t>Description of Securities Other than Equity Securities</w:t>
              </w:r>
            </w:hyperlink>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w:t>
            </w:r>
          </w:p>
        </w:tc>
      </w:tr>
      <w:tr>
        <w:trPr/>
        <w:tc>
          <w:tcPr>
            <w:tcW w:w="916"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16" w:type="dxa"/>
            <w:tcBorders/>
            <w:shd w:fill="CCEEFF" w:val="clear"/>
            <w:vAlign w:val="center"/>
          </w:tcPr>
          <w:p>
            <w:pPr>
              <w:pStyle w:val="TableContents"/>
              <w:bidi w:val="0"/>
              <w:spacing w:before="0" w:after="0"/>
              <w:ind w:left="0" w:right="0" w:hanging="0"/>
              <w:jc w:val="left"/>
              <w:rPr/>
            </w:pPr>
            <w:hyperlink w:anchor="PARTII_489037">
              <w:r>
                <w:rPr>
                  <w:rStyle w:val="InternetLink"/>
                  <w:rFonts w:ascii="Times New Roman;Times;serif" w:hAnsi="Times New Roman;Times;serif"/>
                  <w:b w:val="false"/>
                  <w:i w:val="false"/>
                  <w:caps w:val="false"/>
                  <w:smallCaps w:val="false"/>
                  <w:sz w:val="20"/>
                </w:rPr>
                <w:t>PART II</w:t>
              </w:r>
            </w:hyperlink>
            <w:r>
              <w:rPr>
                <w:rFonts w:ascii="Times New Roman;Times;serif" w:hAnsi="Times New Roman;Times;serif"/>
                <w:sz w:val="20"/>
              </w:rPr>
              <w:t>.</w:t>
            </w:r>
          </w:p>
        </w:tc>
        <w:tc>
          <w:tcPr>
            <w:tcW w:w="636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w:t>
            </w:r>
          </w:p>
        </w:tc>
      </w:tr>
      <w:tr>
        <w:trPr/>
        <w:tc>
          <w:tcPr>
            <w:tcW w:w="916" w:type="dxa"/>
            <w:tcBorders/>
            <w:vAlign w:val="center"/>
          </w:tcPr>
          <w:p>
            <w:pPr>
              <w:pStyle w:val="TableContents"/>
              <w:pBdr/>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16" w:type="dxa"/>
            <w:tcBorders/>
            <w:shd w:fill="CCEEFF" w:val="clear"/>
            <w:vAlign w:val="center"/>
          </w:tcPr>
          <w:p>
            <w:pPr>
              <w:pStyle w:val="TableContents"/>
              <w:bidi w:val="0"/>
              <w:spacing w:before="0" w:after="0"/>
              <w:ind w:left="0" w:right="0" w:hanging="0"/>
              <w:jc w:val="left"/>
              <w:rPr/>
            </w:pPr>
            <w:hyperlink w:anchor="Item13DefaultsDividendArrearagesandDelin">
              <w:r>
                <w:rPr>
                  <w:rStyle w:val="InternetLink"/>
                  <w:rFonts w:ascii="Times New Roman;Times;serif" w:hAnsi="Times New Roman;Times;serif"/>
                  <w:b w:val="false"/>
                  <w:i w:val="false"/>
                  <w:caps w:val="false"/>
                  <w:smallCaps w:val="false"/>
                  <w:sz w:val="20"/>
                </w:rPr>
                <w:t>Item 13</w:t>
              </w:r>
            </w:hyperlink>
            <w:r>
              <w:rPr>
                <w:rFonts w:ascii="Times New Roman;Times;serif" w:hAnsi="Times New Roman;Times;serif"/>
                <w:sz w:val="20"/>
              </w:rPr>
              <w:t>.</w:t>
            </w:r>
          </w:p>
        </w:tc>
        <w:tc>
          <w:tcPr>
            <w:tcW w:w="6361" w:type="dxa"/>
            <w:tcBorders/>
            <w:shd w:fill="CCEEFF" w:val="clear"/>
            <w:vAlign w:val="center"/>
          </w:tcPr>
          <w:p>
            <w:pPr>
              <w:pStyle w:val="TableContents"/>
              <w:bidi w:val="0"/>
              <w:spacing w:before="0" w:after="0"/>
              <w:ind w:left="0" w:right="0" w:hanging="0"/>
              <w:jc w:val="left"/>
              <w:rPr/>
            </w:pPr>
            <w:hyperlink w:anchor="Item13DefaultsDividendArrearagesandDelin">
              <w:r>
                <w:rPr>
                  <w:rStyle w:val="InternetLink"/>
                  <w:rFonts w:ascii="Times New Roman;Times;serif" w:hAnsi="Times New Roman;Times;serif"/>
                  <w:b w:val="false"/>
                  <w:i w:val="false"/>
                  <w:caps w:val="false"/>
                  <w:smallCaps w:val="false"/>
                  <w:sz w:val="20"/>
                </w:rPr>
                <w:t>Defaults, Dividend Arrearages and Delinquencies</w:t>
              </w:r>
            </w:hyperlink>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w:t>
            </w:r>
          </w:p>
        </w:tc>
      </w:tr>
      <w:tr>
        <w:trPr/>
        <w:tc>
          <w:tcPr>
            <w:tcW w:w="916" w:type="dxa"/>
            <w:tcBorders/>
            <w:vAlign w:val="center"/>
          </w:tcPr>
          <w:p>
            <w:pPr>
              <w:pStyle w:val="TableContents"/>
              <w:bidi w:val="0"/>
              <w:spacing w:before="0" w:after="0"/>
              <w:ind w:left="0" w:right="0" w:hanging="0"/>
              <w:jc w:val="left"/>
              <w:rPr/>
            </w:pPr>
            <w:hyperlink w:anchor="Item14MaterialModificationstotheRightsof">
              <w:r>
                <w:rPr>
                  <w:rStyle w:val="InternetLink"/>
                  <w:rFonts w:ascii="Times New Roman;Times;serif" w:hAnsi="Times New Roman;Times;serif"/>
                  <w:b w:val="false"/>
                  <w:i w:val="false"/>
                  <w:caps w:val="false"/>
                  <w:smallCaps w:val="false"/>
                  <w:sz w:val="20"/>
                </w:rPr>
                <w:t>Item 14</w:t>
              </w:r>
            </w:hyperlink>
            <w:r>
              <w:rPr>
                <w:rFonts w:ascii="Times New Roman;Times;serif" w:hAnsi="Times New Roman;Times;serif"/>
                <w:sz w:val="20"/>
              </w:rPr>
              <w:t>.</w:t>
            </w:r>
          </w:p>
        </w:tc>
        <w:tc>
          <w:tcPr>
            <w:tcW w:w="6361" w:type="dxa"/>
            <w:tcBorders/>
            <w:vAlign w:val="center"/>
          </w:tcPr>
          <w:p>
            <w:pPr>
              <w:pStyle w:val="TableContents"/>
              <w:bidi w:val="0"/>
              <w:spacing w:before="0" w:after="0"/>
              <w:ind w:left="0" w:right="0" w:hanging="0"/>
              <w:jc w:val="left"/>
              <w:rPr/>
            </w:pPr>
            <w:hyperlink w:anchor="Item14MaterialModificationstotheRightsof">
              <w:r>
                <w:rPr>
                  <w:rStyle w:val="InternetLink"/>
                  <w:rFonts w:ascii="Times New Roman;Times;serif" w:hAnsi="Times New Roman;Times;serif"/>
                  <w:b w:val="false"/>
                  <w:i w:val="false"/>
                  <w:caps w:val="false"/>
                  <w:smallCaps w:val="false"/>
                  <w:sz w:val="20"/>
                </w:rPr>
                <w:t>Material Modifications to the Rights of Security Holders and Use of Proceeds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w:t>
            </w:r>
          </w:p>
        </w:tc>
      </w:tr>
      <w:tr>
        <w:trPr/>
        <w:tc>
          <w:tcPr>
            <w:tcW w:w="916" w:type="dxa"/>
            <w:tcBorders/>
            <w:shd w:fill="CCEEFF" w:val="clear"/>
            <w:vAlign w:val="center"/>
          </w:tcPr>
          <w:p>
            <w:pPr>
              <w:pStyle w:val="TableContents"/>
              <w:bidi w:val="0"/>
              <w:spacing w:before="0" w:after="0"/>
              <w:ind w:left="0" w:right="0" w:hanging="0"/>
              <w:jc w:val="left"/>
              <w:rPr/>
            </w:pPr>
            <w:hyperlink w:anchor="Item15ControlsandProcedures_447054">
              <w:r>
                <w:rPr>
                  <w:rStyle w:val="InternetLink"/>
                  <w:rFonts w:ascii="Times New Roman;Times;serif" w:hAnsi="Times New Roman;Times;serif"/>
                  <w:b w:val="false"/>
                  <w:i w:val="false"/>
                  <w:caps w:val="false"/>
                  <w:smallCaps w:val="false"/>
                  <w:sz w:val="20"/>
                </w:rPr>
                <w:t>Item 15</w:t>
              </w:r>
            </w:hyperlink>
            <w:r>
              <w:rPr>
                <w:rFonts w:ascii="Times New Roman;Times;serif" w:hAnsi="Times New Roman;Times;serif"/>
                <w:sz w:val="20"/>
              </w:rPr>
              <w:t>.</w:t>
            </w:r>
          </w:p>
        </w:tc>
        <w:tc>
          <w:tcPr>
            <w:tcW w:w="6361" w:type="dxa"/>
            <w:tcBorders/>
            <w:shd w:fill="CCEEFF" w:val="clear"/>
            <w:vAlign w:val="center"/>
          </w:tcPr>
          <w:p>
            <w:pPr>
              <w:pStyle w:val="TableContents"/>
              <w:bidi w:val="0"/>
              <w:spacing w:before="0" w:after="0"/>
              <w:ind w:left="0" w:right="0" w:hanging="0"/>
              <w:jc w:val="left"/>
              <w:rPr/>
            </w:pPr>
            <w:hyperlink w:anchor="Item15ControlsandProcedures_447054">
              <w:r>
                <w:rPr>
                  <w:rStyle w:val="InternetLink"/>
                  <w:rFonts w:ascii="Times New Roman;Times;serif" w:hAnsi="Times New Roman;Times;serif"/>
                  <w:b w:val="false"/>
                  <w:i w:val="false"/>
                  <w:caps w:val="false"/>
                  <w:smallCaps w:val="false"/>
                  <w:sz w:val="20"/>
                </w:rPr>
                <w:t>Controls and Procedures</w:t>
              </w:r>
            </w:hyperlink>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w:t>
            </w:r>
          </w:p>
        </w:tc>
      </w:tr>
      <w:tr>
        <w:trPr/>
        <w:tc>
          <w:tcPr>
            <w:tcW w:w="916" w:type="dxa"/>
            <w:tcBorders/>
            <w:vAlign w:val="center"/>
          </w:tcPr>
          <w:p>
            <w:pPr>
              <w:pStyle w:val="TableContents"/>
              <w:bidi w:val="0"/>
              <w:spacing w:before="0" w:after="0"/>
              <w:ind w:left="0" w:right="0" w:hanging="0"/>
              <w:jc w:val="left"/>
              <w:rPr/>
            </w:pPr>
            <w:hyperlink w:anchor="Item16AAuditCommitteeFinancialExpert_670">
              <w:r>
                <w:rPr>
                  <w:rStyle w:val="InternetLink"/>
                  <w:rFonts w:ascii="Times New Roman;Times;serif" w:hAnsi="Times New Roman;Times;serif"/>
                  <w:b w:val="false"/>
                  <w:i w:val="false"/>
                  <w:caps w:val="false"/>
                  <w:smallCaps w:val="false"/>
                  <w:sz w:val="20"/>
                </w:rPr>
                <w:t>Item 16A.</w:t>
              </w:r>
            </w:hyperlink>
          </w:p>
        </w:tc>
        <w:tc>
          <w:tcPr>
            <w:tcW w:w="6361" w:type="dxa"/>
            <w:tcBorders/>
            <w:vAlign w:val="center"/>
          </w:tcPr>
          <w:p>
            <w:pPr>
              <w:pStyle w:val="TableContents"/>
              <w:bidi w:val="0"/>
              <w:spacing w:before="0" w:after="0"/>
              <w:ind w:left="0" w:right="0" w:hanging="0"/>
              <w:jc w:val="left"/>
              <w:rPr/>
            </w:pPr>
            <w:hyperlink w:anchor="Item16AAuditCommitteeFinancialExpert_670">
              <w:r>
                <w:rPr>
                  <w:rStyle w:val="InternetLink"/>
                  <w:rFonts w:ascii="Times New Roman;Times;serif" w:hAnsi="Times New Roman;Times;serif"/>
                  <w:b w:val="false"/>
                  <w:i w:val="false"/>
                  <w:caps w:val="false"/>
                  <w:smallCaps w:val="false"/>
                  <w:sz w:val="20"/>
                </w:rPr>
                <w:t>Audit Committee Financial Expert</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w:t>
            </w:r>
          </w:p>
        </w:tc>
      </w:tr>
      <w:tr>
        <w:trPr/>
        <w:tc>
          <w:tcPr>
            <w:tcW w:w="916" w:type="dxa"/>
            <w:tcBorders/>
            <w:shd w:fill="CCEEFF" w:val="clear"/>
            <w:vAlign w:val="center"/>
          </w:tcPr>
          <w:p>
            <w:pPr>
              <w:pStyle w:val="TableContents"/>
              <w:bidi w:val="0"/>
              <w:spacing w:before="0" w:after="0"/>
              <w:ind w:left="0" w:right="0" w:hanging="0"/>
              <w:jc w:val="left"/>
              <w:rPr/>
            </w:pPr>
            <w:hyperlink w:anchor="Item16BCodeofEthics_580028">
              <w:r>
                <w:rPr>
                  <w:rStyle w:val="InternetLink"/>
                  <w:rFonts w:ascii="Times New Roman;Times;serif" w:hAnsi="Times New Roman;Times;serif"/>
                  <w:b w:val="false"/>
                  <w:i w:val="false"/>
                  <w:caps w:val="false"/>
                  <w:smallCaps w:val="false"/>
                  <w:sz w:val="20"/>
                </w:rPr>
                <w:t>Item 16B.</w:t>
              </w:r>
            </w:hyperlink>
          </w:p>
        </w:tc>
        <w:tc>
          <w:tcPr>
            <w:tcW w:w="6361" w:type="dxa"/>
            <w:tcBorders/>
            <w:shd w:fill="CCEEFF" w:val="clear"/>
            <w:vAlign w:val="center"/>
          </w:tcPr>
          <w:p>
            <w:pPr>
              <w:pStyle w:val="TableContents"/>
              <w:bidi w:val="0"/>
              <w:spacing w:before="0" w:after="0"/>
              <w:ind w:left="0" w:right="0" w:hanging="0"/>
              <w:jc w:val="left"/>
              <w:rPr/>
            </w:pPr>
            <w:hyperlink w:anchor="Item16BCodeofEthics_580028">
              <w:r>
                <w:rPr>
                  <w:rStyle w:val="InternetLink"/>
                  <w:rFonts w:ascii="Times New Roman;Times;serif" w:hAnsi="Times New Roman;Times;serif"/>
                  <w:b w:val="false"/>
                  <w:i w:val="false"/>
                  <w:caps w:val="false"/>
                  <w:smallCaps w:val="false"/>
                  <w:sz w:val="20"/>
                </w:rPr>
                <w:t>Code of Ethics</w:t>
              </w:r>
            </w:hyperlink>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w:t>
            </w:r>
          </w:p>
        </w:tc>
      </w:tr>
      <w:tr>
        <w:trPr/>
        <w:tc>
          <w:tcPr>
            <w:tcW w:w="916" w:type="dxa"/>
            <w:tcBorders/>
            <w:vAlign w:val="center"/>
          </w:tcPr>
          <w:p>
            <w:pPr>
              <w:pStyle w:val="TableContents"/>
              <w:bidi w:val="0"/>
              <w:spacing w:before="0" w:after="0"/>
              <w:ind w:left="0" w:right="0" w:hanging="0"/>
              <w:jc w:val="left"/>
              <w:rPr/>
            </w:pPr>
            <w:hyperlink w:anchor="Item16CPrincipalAccountantFeesandService">
              <w:r>
                <w:rPr>
                  <w:rStyle w:val="InternetLink"/>
                  <w:rFonts w:ascii="Times New Roman;Times;serif" w:hAnsi="Times New Roman;Times;serif"/>
                  <w:b w:val="false"/>
                  <w:i w:val="false"/>
                  <w:caps w:val="false"/>
                  <w:smallCaps w:val="false"/>
                  <w:sz w:val="20"/>
                </w:rPr>
                <w:t>Item 16C.</w:t>
              </w:r>
            </w:hyperlink>
          </w:p>
        </w:tc>
        <w:tc>
          <w:tcPr>
            <w:tcW w:w="6361" w:type="dxa"/>
            <w:tcBorders/>
            <w:vAlign w:val="center"/>
          </w:tcPr>
          <w:p>
            <w:pPr>
              <w:pStyle w:val="TableContents"/>
              <w:bidi w:val="0"/>
              <w:spacing w:before="0" w:after="0"/>
              <w:ind w:left="0" w:right="0" w:hanging="0"/>
              <w:jc w:val="left"/>
              <w:rPr/>
            </w:pPr>
            <w:hyperlink w:anchor="Item16CPrincipalAccountantFeesandService">
              <w:r>
                <w:rPr>
                  <w:rStyle w:val="InternetLink"/>
                  <w:rFonts w:ascii="Times New Roman;Times;serif" w:hAnsi="Times New Roman;Times;serif"/>
                  <w:b w:val="false"/>
                  <w:i w:val="false"/>
                  <w:caps w:val="false"/>
                  <w:smallCaps w:val="false"/>
                  <w:sz w:val="20"/>
                </w:rPr>
                <w:t>Principal Accountant Fees and Services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w:t>
            </w:r>
          </w:p>
        </w:tc>
      </w:tr>
      <w:tr>
        <w:trPr/>
        <w:tc>
          <w:tcPr>
            <w:tcW w:w="916" w:type="dxa"/>
            <w:tcBorders/>
            <w:shd w:fill="CCEEFF" w:val="clear"/>
            <w:vAlign w:val="center"/>
          </w:tcPr>
          <w:p>
            <w:pPr>
              <w:pStyle w:val="TableContents"/>
              <w:bidi w:val="0"/>
              <w:spacing w:before="0" w:after="0"/>
              <w:ind w:left="0" w:right="0" w:hanging="0"/>
              <w:jc w:val="left"/>
              <w:rPr/>
            </w:pPr>
            <w:hyperlink w:anchor="Item16DExemptionsfromtheListing_391120">
              <w:r>
                <w:rPr>
                  <w:rStyle w:val="InternetLink"/>
                  <w:rFonts w:ascii="Times New Roman;Times;serif" w:hAnsi="Times New Roman;Times;serif"/>
                  <w:b w:val="false"/>
                  <w:i w:val="false"/>
                  <w:caps w:val="false"/>
                  <w:smallCaps w:val="false"/>
                  <w:sz w:val="20"/>
                </w:rPr>
                <w:t>Item 16D.</w:t>
              </w:r>
            </w:hyperlink>
          </w:p>
        </w:tc>
        <w:tc>
          <w:tcPr>
            <w:tcW w:w="6361" w:type="dxa"/>
            <w:tcBorders/>
            <w:shd w:fill="CCEEFF" w:val="clear"/>
            <w:vAlign w:val="center"/>
          </w:tcPr>
          <w:p>
            <w:pPr>
              <w:pStyle w:val="TableContents"/>
              <w:bidi w:val="0"/>
              <w:spacing w:before="0" w:after="0"/>
              <w:ind w:left="0" w:right="0" w:hanging="0"/>
              <w:jc w:val="left"/>
              <w:rPr/>
            </w:pPr>
            <w:hyperlink w:anchor="Item16DExemptionsfromtheListing_391120">
              <w:r>
                <w:rPr>
                  <w:rStyle w:val="InternetLink"/>
                  <w:rFonts w:ascii="Times New Roman;Times;serif" w:hAnsi="Times New Roman;Times;serif"/>
                  <w:b w:val="false"/>
                  <w:i w:val="false"/>
                  <w:caps w:val="false"/>
                  <w:smallCaps w:val="false"/>
                  <w:sz w:val="20"/>
                </w:rPr>
                <w:t>Exemptions from the Listing Standards for Audit Committees</w:t>
              </w:r>
            </w:hyperlink>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w:t>
            </w:r>
          </w:p>
        </w:tc>
      </w:tr>
      <w:tr>
        <w:trPr/>
        <w:tc>
          <w:tcPr>
            <w:tcW w:w="916" w:type="dxa"/>
            <w:tcBorders/>
            <w:vAlign w:val="center"/>
          </w:tcPr>
          <w:p>
            <w:pPr>
              <w:pStyle w:val="TableContents"/>
              <w:bidi w:val="0"/>
              <w:spacing w:before="0" w:after="0"/>
              <w:ind w:left="0" w:right="0" w:hanging="0"/>
              <w:jc w:val="left"/>
              <w:rPr/>
            </w:pPr>
            <w:hyperlink w:anchor="Item16EPurchasesofEquitySecurities_37894">
              <w:r>
                <w:rPr>
                  <w:rStyle w:val="InternetLink"/>
                  <w:rFonts w:ascii="Times New Roman;Times;serif" w:hAnsi="Times New Roman;Times;serif"/>
                  <w:b w:val="false"/>
                  <w:i w:val="false"/>
                  <w:caps w:val="false"/>
                  <w:smallCaps w:val="false"/>
                  <w:sz w:val="20"/>
                </w:rPr>
                <w:t>Item 16E.</w:t>
              </w:r>
            </w:hyperlink>
          </w:p>
        </w:tc>
        <w:tc>
          <w:tcPr>
            <w:tcW w:w="6361" w:type="dxa"/>
            <w:tcBorders/>
            <w:vAlign w:val="center"/>
          </w:tcPr>
          <w:p>
            <w:pPr>
              <w:pStyle w:val="TableContents"/>
              <w:bidi w:val="0"/>
              <w:spacing w:before="0" w:after="0"/>
              <w:ind w:left="0" w:right="0" w:hanging="0"/>
              <w:jc w:val="left"/>
              <w:rPr/>
            </w:pPr>
            <w:hyperlink w:anchor="Item16EPurchasesofEquitySecurities_37894">
              <w:r>
                <w:rPr>
                  <w:rStyle w:val="InternetLink"/>
                  <w:rFonts w:ascii="Times New Roman;Times;serif" w:hAnsi="Times New Roman;Times;serif"/>
                  <w:b w:val="false"/>
                  <w:i w:val="false"/>
                  <w:caps w:val="false"/>
                  <w:smallCaps w:val="false"/>
                  <w:sz w:val="20"/>
                </w:rPr>
                <w:t>Purchases of Equity Securities by the Issuer and Affiliated Purchasers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w:t>
            </w:r>
          </w:p>
        </w:tc>
      </w:tr>
      <w:tr>
        <w:trPr/>
        <w:tc>
          <w:tcPr>
            <w:tcW w:w="916" w:type="dxa"/>
            <w:tcBorders/>
            <w:shd w:fill="CCEEFF" w:val="clear"/>
            <w:vAlign w:val="center"/>
          </w:tcPr>
          <w:p>
            <w:pPr>
              <w:pStyle w:val="TableContents"/>
              <w:bidi w:val="0"/>
              <w:spacing w:before="0" w:after="0"/>
              <w:ind w:left="0" w:right="0" w:hanging="0"/>
              <w:jc w:val="left"/>
              <w:rPr/>
            </w:pPr>
            <w:hyperlink w:anchor="Item16FChangeinRegistrantsCertifying_900">
              <w:r>
                <w:rPr>
                  <w:rStyle w:val="InternetLink"/>
                  <w:rFonts w:ascii="Times New Roman;Times;serif" w:hAnsi="Times New Roman;Times;serif"/>
                  <w:b w:val="false"/>
                  <w:i w:val="false"/>
                  <w:caps w:val="false"/>
                  <w:smallCaps w:val="false"/>
                  <w:sz w:val="20"/>
                </w:rPr>
                <w:t>Item 16F.</w:t>
              </w:r>
            </w:hyperlink>
          </w:p>
        </w:tc>
        <w:tc>
          <w:tcPr>
            <w:tcW w:w="6361" w:type="dxa"/>
            <w:tcBorders/>
            <w:shd w:fill="CCEEFF" w:val="clear"/>
            <w:vAlign w:val="center"/>
          </w:tcPr>
          <w:p>
            <w:pPr>
              <w:pStyle w:val="TableContents"/>
              <w:bidi w:val="0"/>
              <w:spacing w:before="0" w:after="0"/>
              <w:ind w:left="0" w:right="0" w:hanging="0"/>
              <w:jc w:val="left"/>
              <w:rPr/>
            </w:pPr>
            <w:hyperlink w:anchor="Item16FChangeinRegistrantsCertifying_900">
              <w:r>
                <w:rPr>
                  <w:rStyle w:val="InternetLink"/>
                  <w:rFonts w:ascii="Times New Roman;Times;serif" w:hAnsi="Times New Roman;Times;serif"/>
                  <w:b w:val="false"/>
                  <w:i w:val="false"/>
                  <w:caps w:val="false"/>
                  <w:smallCaps w:val="false"/>
                  <w:sz w:val="20"/>
                </w:rPr>
                <w:t>Change in Registrant’s Certifying Accountants</w:t>
              </w:r>
            </w:hyperlink>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w:t>
            </w:r>
          </w:p>
        </w:tc>
      </w:tr>
      <w:tr>
        <w:trPr/>
        <w:tc>
          <w:tcPr>
            <w:tcW w:w="916" w:type="dxa"/>
            <w:tcBorders/>
            <w:vAlign w:val="center"/>
          </w:tcPr>
          <w:p>
            <w:pPr>
              <w:pStyle w:val="TableContents"/>
              <w:bidi w:val="0"/>
              <w:spacing w:before="0" w:after="0"/>
              <w:ind w:left="0" w:right="0" w:hanging="0"/>
              <w:jc w:val="left"/>
              <w:rPr/>
            </w:pPr>
            <w:hyperlink w:anchor="Item16GCorporateGovernance_267373">
              <w:r>
                <w:rPr>
                  <w:rStyle w:val="InternetLink"/>
                  <w:rFonts w:ascii="Times New Roman;Times;serif" w:hAnsi="Times New Roman;Times;serif"/>
                  <w:b w:val="false"/>
                  <w:i w:val="false"/>
                  <w:caps w:val="false"/>
                  <w:smallCaps w:val="false"/>
                  <w:sz w:val="20"/>
                </w:rPr>
                <w:t>Item 16G.</w:t>
              </w:r>
            </w:hyperlink>
          </w:p>
        </w:tc>
        <w:tc>
          <w:tcPr>
            <w:tcW w:w="6361" w:type="dxa"/>
            <w:tcBorders/>
            <w:vAlign w:val="center"/>
          </w:tcPr>
          <w:p>
            <w:pPr>
              <w:pStyle w:val="TableContents"/>
              <w:bidi w:val="0"/>
              <w:spacing w:before="0" w:after="0"/>
              <w:ind w:left="0" w:right="0" w:hanging="0"/>
              <w:jc w:val="left"/>
              <w:rPr/>
            </w:pPr>
            <w:hyperlink w:anchor="Item16GCorporateGovernance_267373">
              <w:r>
                <w:rPr>
                  <w:rStyle w:val="InternetLink"/>
                  <w:rFonts w:ascii="Times New Roman;Times;serif" w:hAnsi="Times New Roman;Times;serif"/>
                  <w:b w:val="false"/>
                  <w:i w:val="false"/>
                  <w:caps w:val="false"/>
                  <w:smallCaps w:val="false"/>
                  <w:sz w:val="20"/>
                </w:rPr>
                <w:t>Corporate Governance</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w:t>
            </w:r>
          </w:p>
        </w:tc>
      </w:tr>
      <w:tr>
        <w:trPr/>
        <w:tc>
          <w:tcPr>
            <w:tcW w:w="916" w:type="dxa"/>
            <w:tcBorders/>
            <w:shd w:fill="CCEEFF" w:val="clear"/>
            <w:vAlign w:val="center"/>
          </w:tcPr>
          <w:p>
            <w:pPr>
              <w:pStyle w:val="TableContents"/>
              <w:bidi w:val="0"/>
              <w:spacing w:before="0" w:after="0"/>
              <w:ind w:left="0" w:right="0" w:hanging="0"/>
              <w:jc w:val="left"/>
              <w:rPr/>
            </w:pPr>
            <w:hyperlink w:anchor="Item16HMineSafetyDisclosure_744095">
              <w:r>
                <w:rPr>
                  <w:rStyle w:val="InternetLink"/>
                  <w:rFonts w:ascii="Times New Roman;Times;serif" w:hAnsi="Times New Roman;Times;serif"/>
                  <w:b w:val="false"/>
                  <w:i w:val="false"/>
                  <w:caps w:val="false"/>
                  <w:smallCaps w:val="false"/>
                  <w:sz w:val="20"/>
                </w:rPr>
                <w:t>Item 16H.</w:t>
              </w:r>
            </w:hyperlink>
          </w:p>
        </w:tc>
        <w:tc>
          <w:tcPr>
            <w:tcW w:w="6361" w:type="dxa"/>
            <w:tcBorders/>
            <w:shd w:fill="CCEEFF" w:val="clear"/>
            <w:vAlign w:val="center"/>
          </w:tcPr>
          <w:p>
            <w:pPr>
              <w:pStyle w:val="TableContents"/>
              <w:bidi w:val="0"/>
              <w:spacing w:before="0" w:after="0"/>
              <w:ind w:left="0" w:right="0" w:hanging="0"/>
              <w:jc w:val="left"/>
              <w:rPr/>
            </w:pPr>
            <w:hyperlink w:anchor="Item16HMineSafetyDisclosure_744095">
              <w:r>
                <w:rPr>
                  <w:rStyle w:val="InternetLink"/>
                  <w:rFonts w:ascii="Times New Roman;Times;serif" w:hAnsi="Times New Roman;Times;serif"/>
                  <w:b w:val="false"/>
                  <w:i w:val="false"/>
                  <w:caps w:val="false"/>
                  <w:smallCaps w:val="false"/>
                  <w:sz w:val="20"/>
                </w:rPr>
                <w:t>Mine Safety Disclosure</w:t>
              </w:r>
            </w:hyperlink>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w:t>
            </w:r>
          </w:p>
        </w:tc>
      </w:tr>
      <w:tr>
        <w:trPr/>
        <w:tc>
          <w:tcPr>
            <w:tcW w:w="916" w:type="dxa"/>
            <w:tcBorders/>
            <w:vAlign w:val="center"/>
          </w:tcPr>
          <w:p>
            <w:pPr>
              <w:pStyle w:val="TableContents"/>
              <w:bidi w:val="0"/>
              <w:spacing w:before="0" w:after="0"/>
              <w:ind w:left="0" w:right="0" w:hanging="0"/>
              <w:jc w:val="left"/>
              <w:rPr/>
            </w:pPr>
            <w:hyperlink w:anchor="Item16IDisclosureRegardingForeignJurisdi">
              <w:r>
                <w:rPr>
                  <w:rStyle w:val="InternetLink"/>
                  <w:rFonts w:ascii="Times New Roman;Times;serif" w:hAnsi="Times New Roman;Times;serif"/>
                  <w:b w:val="false"/>
                  <w:i w:val="false"/>
                  <w:caps w:val="false"/>
                  <w:smallCaps w:val="false"/>
                  <w:sz w:val="20"/>
                </w:rPr>
                <w:t>Item 16I.</w:t>
              </w:r>
            </w:hyperlink>
          </w:p>
        </w:tc>
        <w:tc>
          <w:tcPr>
            <w:tcW w:w="6361" w:type="dxa"/>
            <w:tcBorders/>
            <w:vAlign w:val="center"/>
          </w:tcPr>
          <w:p>
            <w:pPr>
              <w:pStyle w:val="TableContents"/>
              <w:bidi w:val="0"/>
              <w:spacing w:before="0" w:after="0"/>
              <w:ind w:left="0" w:right="0" w:hanging="0"/>
              <w:jc w:val="left"/>
              <w:rPr/>
            </w:pPr>
            <w:hyperlink w:anchor="Item16IDisclosureRegardingForeignJurisdi">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w:t>
            </w:r>
          </w:p>
        </w:tc>
      </w:tr>
      <w:tr>
        <w:trPr/>
        <w:tc>
          <w:tcPr>
            <w:tcW w:w="916" w:type="dxa"/>
            <w:tcBorders/>
            <w:shd w:fill="CCEEFF" w:val="clear"/>
            <w:vAlign w:val="center"/>
          </w:tcPr>
          <w:p>
            <w:pPr>
              <w:pStyle w:val="TableContents"/>
              <w:bidi w:val="0"/>
              <w:spacing w:before="0" w:after="0"/>
              <w:ind w:left="0" w:right="0" w:hanging="0"/>
              <w:jc w:val="left"/>
              <w:rPr/>
            </w:pPr>
            <w:hyperlink w:anchor="Item16JInsiderTradingPolicies_612586">
              <w:r>
                <w:rPr>
                  <w:rStyle w:val="InternetLink"/>
                  <w:rFonts w:ascii="Times New Roman;Times;serif" w:hAnsi="Times New Roman;Times;serif"/>
                  <w:b w:val="false"/>
                  <w:i w:val="false"/>
                  <w:caps w:val="false"/>
                  <w:smallCaps w:val="false"/>
                  <w:sz w:val="20"/>
                </w:rPr>
                <w:t>Item 16J</w:t>
              </w:r>
            </w:hyperlink>
          </w:p>
        </w:tc>
        <w:tc>
          <w:tcPr>
            <w:tcW w:w="6361" w:type="dxa"/>
            <w:tcBorders/>
            <w:shd w:fill="CCEEFF" w:val="clear"/>
            <w:vAlign w:val="center"/>
          </w:tcPr>
          <w:p>
            <w:pPr>
              <w:pStyle w:val="TableContents"/>
              <w:bidi w:val="0"/>
              <w:spacing w:before="0" w:after="0"/>
              <w:ind w:left="0" w:right="0" w:hanging="0"/>
              <w:jc w:val="left"/>
              <w:rPr/>
            </w:pPr>
            <w:hyperlink w:anchor="Item16JInsiderTradingPolicies_612586">
              <w:r>
                <w:rPr>
                  <w:rStyle w:val="InternetLink"/>
                  <w:rFonts w:ascii="Times New Roman;Times;serif" w:hAnsi="Times New Roman;Times;serif"/>
                  <w:b w:val="false"/>
                  <w:i w:val="false"/>
                  <w:caps w:val="false"/>
                  <w:smallCaps w:val="false"/>
                  <w:sz w:val="20"/>
                </w:rPr>
                <w:t>Insider Trading Policies</w:t>
              </w:r>
            </w:hyperlink>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w:t>
            </w:r>
          </w:p>
        </w:tc>
      </w:tr>
      <w:tr>
        <w:trPr/>
        <w:tc>
          <w:tcPr>
            <w:tcW w:w="916" w:type="dxa"/>
            <w:tcBorders/>
            <w:vAlign w:val="center"/>
          </w:tcPr>
          <w:p>
            <w:pPr>
              <w:pStyle w:val="TableContents"/>
              <w:bidi w:val="0"/>
              <w:spacing w:before="0" w:after="0"/>
              <w:ind w:left="0" w:right="0" w:hanging="0"/>
              <w:jc w:val="left"/>
              <w:rPr/>
            </w:pPr>
            <w:hyperlink w:anchor="Item16KCybersecurity_214482">
              <w:r>
                <w:rPr>
                  <w:rStyle w:val="InternetLink"/>
                  <w:rFonts w:ascii="Times New Roman;Times;serif" w:hAnsi="Times New Roman;Times;serif"/>
                  <w:b w:val="false"/>
                  <w:i w:val="false"/>
                  <w:caps w:val="false"/>
                  <w:smallCaps w:val="false"/>
                  <w:sz w:val="20"/>
                </w:rPr>
                <w:t>Item 16K</w:t>
              </w:r>
            </w:hyperlink>
          </w:p>
        </w:tc>
        <w:tc>
          <w:tcPr>
            <w:tcW w:w="6361" w:type="dxa"/>
            <w:tcBorders/>
            <w:vAlign w:val="center"/>
          </w:tcPr>
          <w:p>
            <w:pPr>
              <w:pStyle w:val="TableContents"/>
              <w:bidi w:val="0"/>
              <w:spacing w:before="0" w:after="0"/>
              <w:ind w:left="0" w:right="0" w:hanging="0"/>
              <w:jc w:val="left"/>
              <w:rPr/>
            </w:pPr>
            <w:hyperlink w:anchor="Item16KCybersecurity_214482">
              <w:r>
                <w:rPr>
                  <w:rStyle w:val="InternetLink"/>
                  <w:rFonts w:ascii="Times New Roman;Times;serif" w:hAnsi="Times New Roman;Times;serif"/>
                  <w:b w:val="false"/>
                  <w:i w:val="false"/>
                  <w:caps w:val="false"/>
                  <w:smallCaps w:val="false"/>
                  <w:sz w:val="20"/>
                </w:rPr>
                <w:t>Cybersecurity</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w:t>
            </w:r>
          </w:p>
        </w:tc>
      </w:tr>
      <w:tr>
        <w:trPr/>
        <w:tc>
          <w:tcPr>
            <w:tcW w:w="916" w:type="dxa"/>
            <w:tcBorders/>
            <w:shd w:fill="CCEEFF" w:val="clear"/>
            <w:vAlign w:val="center"/>
          </w:tcPr>
          <w:p>
            <w:pPr>
              <w:pStyle w:val="TableContents"/>
              <w:bidi w:val="0"/>
              <w:spacing w:before="0" w:after="0"/>
              <w:ind w:left="0" w:right="0" w:hanging="0"/>
              <w:jc w:val="left"/>
              <w:rPr/>
            </w:pPr>
            <w:r>
              <w:rPr/>
              <w:t>​</w:t>
            </w:r>
          </w:p>
        </w:tc>
        <w:tc>
          <w:tcPr>
            <w:tcW w:w="636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r>
      <w:tr>
        <w:trPr/>
        <w:tc>
          <w:tcPr>
            <w:tcW w:w="916" w:type="dxa"/>
            <w:tcBorders/>
            <w:vAlign w:val="center"/>
          </w:tcPr>
          <w:p>
            <w:pPr>
              <w:pStyle w:val="TableContents"/>
              <w:bidi w:val="0"/>
              <w:spacing w:before="0" w:after="0"/>
              <w:ind w:left="0" w:right="0" w:hanging="0"/>
              <w:jc w:val="left"/>
              <w:rPr/>
            </w:pPr>
            <w:hyperlink w:anchor="PARTIII_277948">
              <w:r>
                <w:rPr>
                  <w:rStyle w:val="InternetLink"/>
                  <w:rFonts w:ascii="Times New Roman;Times;serif" w:hAnsi="Times New Roman;Times;serif"/>
                  <w:b w:val="false"/>
                  <w:i w:val="false"/>
                  <w:caps w:val="false"/>
                  <w:smallCaps w:val="false"/>
                  <w:sz w:val="20"/>
                </w:rPr>
                <w:t>PART III</w:t>
              </w:r>
            </w:hyperlink>
            <w:r>
              <w:rPr>
                <w:rFonts w:ascii="Times New Roman;Times;serif" w:hAnsi="Times New Roman;Times;serif"/>
                <w:sz w:val="20"/>
              </w:rPr>
              <w:t>.</w:t>
            </w:r>
          </w:p>
        </w:tc>
        <w:tc>
          <w:tcPr>
            <w:tcW w:w="636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r>
      <w:tr>
        <w:trPr/>
        <w:tc>
          <w:tcPr>
            <w:tcW w:w="916" w:type="dxa"/>
            <w:tcBorders/>
            <w:shd w:fill="CCEEFF" w:val="clear"/>
            <w:vAlign w:val="center"/>
          </w:tcPr>
          <w:p>
            <w:pPr>
              <w:pStyle w:val="TableContents"/>
              <w:bidi w:val="0"/>
              <w:spacing w:before="0" w:after="0"/>
              <w:ind w:left="0" w:right="0" w:hanging="0"/>
              <w:jc w:val="left"/>
              <w:rPr/>
            </w:pPr>
            <w:r>
              <w:rPr/>
              <w:t>​</w:t>
            </w:r>
          </w:p>
        </w:tc>
        <w:tc>
          <w:tcPr>
            <w:tcW w:w="636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r>
      <w:tr>
        <w:trPr/>
        <w:tc>
          <w:tcPr>
            <w:tcW w:w="916" w:type="dxa"/>
            <w:tcBorders/>
            <w:vAlign w:val="center"/>
          </w:tcPr>
          <w:p>
            <w:pPr>
              <w:pStyle w:val="TableContents"/>
              <w:bidi w:val="0"/>
              <w:spacing w:before="0" w:after="0"/>
              <w:ind w:left="0" w:right="0" w:hanging="0"/>
              <w:jc w:val="left"/>
              <w:rPr/>
            </w:pPr>
            <w:hyperlink w:anchor="Item17FinancialStatements_687804">
              <w:r>
                <w:rPr>
                  <w:rStyle w:val="InternetLink"/>
                  <w:rFonts w:ascii="Times New Roman;Times;serif" w:hAnsi="Times New Roman;Times;serif"/>
                  <w:b w:val="false"/>
                  <w:i w:val="false"/>
                  <w:caps w:val="false"/>
                  <w:smallCaps w:val="false"/>
                  <w:sz w:val="20"/>
                </w:rPr>
                <w:t>Item 17.</w:t>
              </w:r>
            </w:hyperlink>
          </w:p>
        </w:tc>
        <w:tc>
          <w:tcPr>
            <w:tcW w:w="6361" w:type="dxa"/>
            <w:tcBorders/>
            <w:vAlign w:val="center"/>
          </w:tcPr>
          <w:p>
            <w:pPr>
              <w:pStyle w:val="TableContents"/>
              <w:bidi w:val="0"/>
              <w:spacing w:before="0" w:after="0"/>
              <w:ind w:left="0" w:right="0" w:hanging="0"/>
              <w:jc w:val="left"/>
              <w:rPr/>
            </w:pPr>
            <w:hyperlink w:anchor="Item17FinancialStatements_687804">
              <w:r>
                <w:rPr>
                  <w:rStyle w:val="InternetLink"/>
                  <w:rFonts w:ascii="Times New Roman;Times;serif" w:hAnsi="Times New Roman;Times;serif"/>
                  <w:b w:val="false"/>
                  <w:i w:val="false"/>
                  <w:caps w:val="false"/>
                  <w:smallCaps w:val="false"/>
                  <w:sz w:val="20"/>
                </w:rPr>
                <w:t>Financial Statements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r>
      <w:tr>
        <w:trPr/>
        <w:tc>
          <w:tcPr>
            <w:tcW w:w="916" w:type="dxa"/>
            <w:tcBorders/>
            <w:shd w:fill="CCEEFF" w:val="clear"/>
            <w:vAlign w:val="center"/>
          </w:tcPr>
          <w:p>
            <w:pPr>
              <w:pStyle w:val="TableContents"/>
              <w:bidi w:val="0"/>
              <w:spacing w:before="0" w:after="0"/>
              <w:ind w:left="0" w:right="0" w:hanging="0"/>
              <w:jc w:val="left"/>
              <w:rPr/>
            </w:pPr>
            <w:hyperlink w:anchor="Item18FinancialStatements_986144">
              <w:r>
                <w:rPr>
                  <w:rStyle w:val="InternetLink"/>
                  <w:rFonts w:ascii="Times New Roman;Times;serif" w:hAnsi="Times New Roman;Times;serif"/>
                  <w:b w:val="false"/>
                  <w:i w:val="false"/>
                  <w:caps w:val="false"/>
                  <w:smallCaps w:val="false"/>
                  <w:sz w:val="20"/>
                </w:rPr>
                <w:t>Item 18.</w:t>
              </w:r>
            </w:hyperlink>
          </w:p>
        </w:tc>
        <w:tc>
          <w:tcPr>
            <w:tcW w:w="6361" w:type="dxa"/>
            <w:tcBorders/>
            <w:shd w:fill="CCEEFF" w:val="clear"/>
            <w:vAlign w:val="center"/>
          </w:tcPr>
          <w:p>
            <w:pPr>
              <w:pStyle w:val="TableContents"/>
              <w:bidi w:val="0"/>
              <w:spacing w:before="0" w:after="0"/>
              <w:ind w:left="0" w:right="0" w:hanging="0"/>
              <w:jc w:val="left"/>
              <w:rPr/>
            </w:pPr>
            <w:hyperlink w:anchor="Item18FinancialStatements_986144">
              <w:r>
                <w:rPr>
                  <w:rStyle w:val="InternetLink"/>
                  <w:rFonts w:ascii="Times New Roman;Times;serif" w:hAnsi="Times New Roman;Times;serif"/>
                  <w:b w:val="false"/>
                  <w:i w:val="false"/>
                  <w:caps w:val="false"/>
                  <w:smallCaps w:val="false"/>
                  <w:sz w:val="20"/>
                </w:rPr>
                <w:t>Financial Statements</w:t>
              </w:r>
            </w:hyperlink>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r>
      <w:tr>
        <w:trPr/>
        <w:tc>
          <w:tcPr>
            <w:tcW w:w="916" w:type="dxa"/>
            <w:tcBorders/>
            <w:vAlign w:val="center"/>
          </w:tcPr>
          <w:p>
            <w:pPr>
              <w:pStyle w:val="TableContents"/>
              <w:bidi w:val="0"/>
              <w:spacing w:before="0" w:after="0"/>
              <w:ind w:left="0" w:right="0" w:hanging="0"/>
              <w:jc w:val="left"/>
              <w:rPr/>
            </w:pPr>
            <w:hyperlink w:anchor="Item19Exhibits_836195">
              <w:r>
                <w:rPr>
                  <w:rStyle w:val="InternetLink"/>
                  <w:rFonts w:ascii="Times New Roman;Times;serif" w:hAnsi="Times New Roman;Times;serif"/>
                  <w:b w:val="false"/>
                  <w:i w:val="false"/>
                  <w:caps w:val="false"/>
                  <w:smallCaps w:val="false"/>
                  <w:sz w:val="20"/>
                </w:rPr>
                <w:t>Item 19.</w:t>
              </w:r>
            </w:hyperlink>
          </w:p>
        </w:tc>
        <w:tc>
          <w:tcPr>
            <w:tcW w:w="6361" w:type="dxa"/>
            <w:tcBorders/>
            <w:vAlign w:val="center"/>
          </w:tcPr>
          <w:p>
            <w:pPr>
              <w:pStyle w:val="TableContents"/>
              <w:bidi w:val="0"/>
              <w:spacing w:before="0" w:after="0"/>
              <w:ind w:left="0" w:right="0" w:hanging="0"/>
              <w:jc w:val="left"/>
              <w:rPr/>
            </w:pPr>
            <w:hyperlink w:anchor="Item19Exhibits_836195">
              <w:r>
                <w:rPr>
                  <w:rStyle w:val="InternetLink"/>
                  <w:rFonts w:ascii="Times New Roman;Times;serif" w:hAnsi="Times New Roman;Times;serif"/>
                  <w:b w:val="false"/>
                  <w:i w:val="false"/>
                  <w:caps w:val="false"/>
                  <w:smallCaps w:val="false"/>
                  <w:sz w:val="20"/>
                </w:rPr>
                <w:t>Exhibits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61" w:name="INTRODUCTION_439907"/>
      <w:bookmarkStart w:id="62" w:name="_f26b3dea_464c_45d0_b44c_2e761606f97a"/>
      <w:bookmarkEnd w:id="61"/>
      <w:bookmarkEnd w:id="62"/>
      <w:r>
        <w:rPr>
          <w:rFonts w:ascii="Times New Roman;Times;serif" w:hAnsi="Times New Roman;Times;serif"/>
          <w:b/>
          <w:sz w:val="20"/>
        </w:rPr>
        <w:t>INTRODUCTION</w:t>
      </w:r>
    </w:p>
    <w:p>
      <w:pPr>
        <w:pStyle w:val="TextBody"/>
        <w:bidi w:val="0"/>
        <w:spacing w:before="0" w:after="220"/>
        <w:ind w:left="0" w:right="0" w:firstLine="720"/>
        <w:jc w:val="both"/>
        <w:rPr>
          <w:rFonts w:ascii="Times New Roman;Times;serif" w:hAnsi="Times New Roman;Times;serif"/>
          <w:sz w:val="20"/>
        </w:rPr>
      </w:pPr>
      <w:r>
        <w:rPr>
          <w:rFonts w:ascii="Times New Roman;Times;serif" w:hAnsi="Times New Roman;Times;serif"/>
          <w:sz w:val="20"/>
        </w:rPr>
        <w:t>This annual report on Form 20-F includes our audited consolidated financial statements as of December 31, 2022 and 2023 and for the years ended December 31, 2021, 2022 and 2023. Translations in this annual report of amounts from RMB into U.S. dollars for the convenience of the reader were calculated at the noon buying rate of US$1.00: RMB7.0999 on the last trading day of 2023 (December 29, 2023) as set forth in the H.10 statistical release of the U.S. Federal Reserve Board.</w:t>
      </w:r>
    </w:p>
    <w:p>
      <w:pPr>
        <w:pStyle w:val="TextBody"/>
        <w:bidi w:val="0"/>
        <w:spacing w:before="0" w:after="220"/>
        <w:ind w:left="0" w:right="0" w:hanging="0"/>
        <w:jc w:val="both"/>
        <w:rPr>
          <w:rFonts w:ascii="Times New Roman;Times;serif" w:hAnsi="Times New Roman;Times;serif"/>
          <w:b/>
          <w:sz w:val="20"/>
        </w:rPr>
      </w:pPr>
      <w:r>
        <w:rPr>
          <w:rFonts w:ascii="Times New Roman;Times;serif" w:hAnsi="Times New Roman;Times;serif"/>
          <w:b/>
          <w:sz w:val="20"/>
        </w:rPr>
        <w:t>Conventions that Apply to This Annual Report on Form 20-F</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Unless the context otherwise requires, references in this annual report on Form 20-F to:</w:t>
      </w:r>
    </w:p>
    <w:tbl>
      <w:tblPr>
        <w:tblW w:w="7637" w:type="dxa"/>
        <w:jc w:val="left"/>
        <w:tblInd w:w="0" w:type="dxa"/>
        <w:tblLayout w:type="fixed"/>
        <w:tblCellMar>
          <w:top w:w="0" w:type="dxa"/>
          <w:left w:w="0" w:type="dxa"/>
          <w:bottom w:w="0" w:type="dxa"/>
          <w:right w:w="0" w:type="dxa"/>
        </w:tblCellMar>
      </w:tblPr>
      <w:tblGrid>
        <w:gridCol w:w="271"/>
        <w:gridCol w:w="7366"/>
      </w:tblGrid>
      <w:tr>
        <w:trPr/>
        <w:tc>
          <w:tcPr>
            <w:tcW w:w="271" w:type="dxa"/>
            <w:tcBorders/>
            <w:vAlign w:val="center"/>
          </w:tcPr>
          <w:p>
            <w:pPr>
              <w:pStyle w:val="TableContents"/>
              <w:bidi w:val="0"/>
              <w:spacing w:before="0" w:after="283"/>
              <w:jc w:val="left"/>
              <w:rPr/>
            </w:pPr>
            <w:r>
              <w:rPr/>
              <w:t>●</w:t>
            </w:r>
          </w:p>
        </w:tc>
        <w:tc>
          <w:tcPr>
            <w:tcW w:w="736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2009 RSU Plan” are to our 2009 Restricted Share Unit Plan adopted in November 2009;</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2019 Share Plan” are to our Amended and Restated 2019 Share Incentive Plan adopted in October 2019 and amended and restated in February 2023;</w:t>
            </w:r>
          </w:p>
        </w:tc>
      </w:tr>
    </w:tbl>
    <w:tbl>
      <w:tblPr>
        <w:tblW w:w="7892" w:type="dxa"/>
        <w:jc w:val="left"/>
        <w:tblInd w:w="0" w:type="dxa"/>
        <w:tblLayout w:type="fixed"/>
        <w:tblCellMar>
          <w:top w:w="0" w:type="dxa"/>
          <w:left w:w="0" w:type="dxa"/>
          <w:bottom w:w="0" w:type="dxa"/>
          <w:right w:w="0" w:type="dxa"/>
        </w:tblCellMar>
      </w:tblPr>
      <w:tblGrid>
        <w:gridCol w:w="271"/>
        <w:gridCol w:w="7621"/>
      </w:tblGrid>
      <w:tr>
        <w:trPr/>
        <w:tc>
          <w:tcPr>
            <w:tcW w:w="271" w:type="dxa"/>
            <w:tcBorders/>
            <w:vAlign w:val="center"/>
          </w:tcPr>
          <w:p>
            <w:pPr>
              <w:pStyle w:val="TableContents"/>
              <w:bidi w:val="0"/>
              <w:spacing w:before="0" w:after="283"/>
              <w:jc w:val="left"/>
              <w:rPr/>
            </w:pPr>
            <w:r>
              <w:rPr/>
              <w:t>●</w:t>
            </w:r>
          </w:p>
        </w:tc>
        <w:tc>
          <w:tcPr>
            <w:tcW w:w="7621"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ADSs” are to the American depositary shares, each of which represents five ordinary shares;</w:t>
            </w:r>
          </w:p>
        </w:tc>
      </w:tr>
    </w:tbl>
    <w:tbl>
      <w:tblPr>
        <w:tblW w:w="9707" w:type="dxa"/>
        <w:jc w:val="left"/>
        <w:tblInd w:w="0" w:type="dxa"/>
        <w:tblLayout w:type="fixed"/>
        <w:tblCellMar>
          <w:top w:w="0" w:type="dxa"/>
          <w:left w:w="0" w:type="dxa"/>
          <w:bottom w:w="0" w:type="dxa"/>
          <w:right w:w="0" w:type="dxa"/>
        </w:tblCellMar>
      </w:tblPr>
      <w:tblGrid>
        <w:gridCol w:w="271"/>
        <w:gridCol w:w="9436"/>
      </w:tblGrid>
      <w:tr>
        <w:trPr/>
        <w:tc>
          <w:tcPr>
            <w:tcW w:w="271" w:type="dxa"/>
            <w:tcBorders/>
            <w:vAlign w:val="center"/>
          </w:tcPr>
          <w:p>
            <w:pPr>
              <w:pStyle w:val="TableContents"/>
              <w:bidi w:val="0"/>
              <w:spacing w:before="0" w:after="283"/>
              <w:jc w:val="left"/>
              <w:rPr/>
            </w:pPr>
            <w:r>
              <w:rPr/>
              <w:t>●</w:t>
            </w:r>
          </w:p>
        </w:tc>
        <w:tc>
          <w:tcPr>
            <w:tcW w:w="943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Blizzard” are to Blizzard Entertainment, Inc., a division of Activision Blizzard, which was acquired by Microsoft;</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Boguan” are to Guangzhou Boguan Telecommunication Technology Co., Ltd., a company established under PRC laws;</w:t>
            </w:r>
          </w:p>
        </w:tc>
      </w:tr>
    </w:tbl>
    <w:tbl>
      <w:tblPr>
        <w:tblW w:w="4892" w:type="dxa"/>
        <w:jc w:val="left"/>
        <w:tblInd w:w="0" w:type="dxa"/>
        <w:tblLayout w:type="fixed"/>
        <w:tblCellMar>
          <w:top w:w="0" w:type="dxa"/>
          <w:left w:w="0" w:type="dxa"/>
          <w:bottom w:w="0" w:type="dxa"/>
          <w:right w:w="0" w:type="dxa"/>
        </w:tblCellMar>
      </w:tblPr>
      <w:tblGrid>
        <w:gridCol w:w="271"/>
        <w:gridCol w:w="4621"/>
      </w:tblGrid>
      <w:tr>
        <w:trPr/>
        <w:tc>
          <w:tcPr>
            <w:tcW w:w="271" w:type="dxa"/>
            <w:tcBorders/>
            <w:vAlign w:val="center"/>
          </w:tcPr>
          <w:p>
            <w:pPr>
              <w:pStyle w:val="TableContents"/>
              <w:bidi w:val="0"/>
              <w:spacing w:before="0" w:after="283"/>
              <w:jc w:val="left"/>
              <w:rPr/>
            </w:pPr>
            <w:r>
              <w:rPr/>
              <w:t>●</w:t>
            </w:r>
          </w:p>
        </w:tc>
        <w:tc>
          <w:tcPr>
            <w:tcW w:w="4621"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CAC” are to the Cyberspace Administration of China;</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CCASS” are to the Central Clearing and Settlement System established and operated by Hong Kong Securities Clearing Company Limited, a wholly-owned subsidiary of Hong Kong Exchange and Clearing Limited;</w:t>
            </w:r>
          </w:p>
        </w:tc>
      </w:tr>
    </w:tbl>
    <w:tbl>
      <w:tblPr>
        <w:tblW w:w="3512" w:type="dxa"/>
        <w:jc w:val="left"/>
        <w:tblInd w:w="0" w:type="dxa"/>
        <w:tblLayout w:type="fixed"/>
        <w:tblCellMar>
          <w:top w:w="0" w:type="dxa"/>
          <w:left w:w="0" w:type="dxa"/>
          <w:bottom w:w="0" w:type="dxa"/>
          <w:right w:w="0" w:type="dxa"/>
        </w:tblCellMar>
      </w:tblPr>
      <w:tblGrid>
        <w:gridCol w:w="271"/>
        <w:gridCol w:w="3241"/>
      </w:tblGrid>
      <w:tr>
        <w:trPr/>
        <w:tc>
          <w:tcPr>
            <w:tcW w:w="271" w:type="dxa"/>
            <w:tcBorders/>
            <w:vAlign w:val="center"/>
          </w:tcPr>
          <w:p>
            <w:pPr>
              <w:pStyle w:val="TableContents"/>
              <w:bidi w:val="0"/>
              <w:spacing w:before="0" w:after="283"/>
              <w:jc w:val="left"/>
              <w:rPr/>
            </w:pPr>
            <w:r>
              <w:rPr/>
              <w:t>●</w:t>
            </w:r>
          </w:p>
        </w:tc>
        <w:tc>
          <w:tcPr>
            <w:tcW w:w="3241"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CCGs” are to collectible card games;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China” or the “PRC” are to the People’s Republic of China; and only in the context of describing PRC rules, laws, regulations, regulatory authority and other legal or tax matters in this annual report, excludes Taiwan, Hong Kong, and Macau (also referred to as “China mainland” or “Chinese mainland” in this annual report);</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Cloud Music” are to Cloud Music Inc. (formerly named Cloud Village Inc.), a company incorporated under Cayman Islands laws, and listed on the Hong Kong Stock Exchange under the stock code “9899” in December 2021 and a majority-controlled subsidiary of our company;</w:t>
            </w:r>
          </w:p>
        </w:tc>
      </w:tr>
    </w:tbl>
    <w:tbl>
      <w:tblPr>
        <w:tblW w:w="5387" w:type="dxa"/>
        <w:jc w:val="left"/>
        <w:tblInd w:w="0" w:type="dxa"/>
        <w:tblLayout w:type="fixed"/>
        <w:tblCellMar>
          <w:top w:w="0" w:type="dxa"/>
          <w:left w:w="0" w:type="dxa"/>
          <w:bottom w:w="0" w:type="dxa"/>
          <w:right w:w="0" w:type="dxa"/>
        </w:tblCellMar>
      </w:tblPr>
      <w:tblGrid>
        <w:gridCol w:w="271"/>
        <w:gridCol w:w="5116"/>
      </w:tblGrid>
      <w:tr>
        <w:trPr/>
        <w:tc>
          <w:tcPr>
            <w:tcW w:w="271" w:type="dxa"/>
            <w:tcBorders/>
            <w:vAlign w:val="center"/>
          </w:tcPr>
          <w:p>
            <w:pPr>
              <w:pStyle w:val="TableContents"/>
              <w:bidi w:val="0"/>
              <w:spacing w:before="0" w:after="283"/>
              <w:jc w:val="left"/>
              <w:rPr/>
            </w:pPr>
            <w:r>
              <w:rPr/>
              <w:t>●</w:t>
            </w:r>
          </w:p>
        </w:tc>
        <w:tc>
          <w:tcPr>
            <w:tcW w:w="511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CSRC” are to the China Securities Regulatory Commission;</w:t>
            </w:r>
          </w:p>
        </w:tc>
      </w:tr>
    </w:tbl>
    <w:tbl>
      <w:tblPr>
        <w:tblW w:w="9107" w:type="dxa"/>
        <w:jc w:val="left"/>
        <w:tblInd w:w="0" w:type="dxa"/>
        <w:tblLayout w:type="fixed"/>
        <w:tblCellMar>
          <w:top w:w="0" w:type="dxa"/>
          <w:left w:w="0" w:type="dxa"/>
          <w:bottom w:w="0" w:type="dxa"/>
          <w:right w:w="0" w:type="dxa"/>
        </w:tblCellMar>
      </w:tblPr>
      <w:tblGrid>
        <w:gridCol w:w="271"/>
        <w:gridCol w:w="8836"/>
      </w:tblGrid>
      <w:tr>
        <w:trPr/>
        <w:tc>
          <w:tcPr>
            <w:tcW w:w="271" w:type="dxa"/>
            <w:tcBorders/>
            <w:vAlign w:val="center"/>
          </w:tcPr>
          <w:p>
            <w:pPr>
              <w:pStyle w:val="TableContents"/>
              <w:bidi w:val="0"/>
              <w:spacing w:before="0" w:after="283"/>
              <w:jc w:val="left"/>
              <w:rPr/>
            </w:pPr>
            <w:r>
              <w:rPr/>
              <w:t>●</w:t>
            </w:r>
          </w:p>
        </w:tc>
        <w:tc>
          <w:tcPr>
            <w:tcW w:w="883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GAPP” are to the General Administration of Press and Publication of China, currently known as the NPPA;</w:t>
            </w:r>
          </w:p>
        </w:tc>
      </w:tr>
    </w:tbl>
    <w:tbl>
      <w:tblPr>
        <w:tblW w:w="10067" w:type="dxa"/>
        <w:jc w:val="left"/>
        <w:tblInd w:w="0" w:type="dxa"/>
        <w:tblLayout w:type="fixed"/>
        <w:tblCellMar>
          <w:top w:w="0" w:type="dxa"/>
          <w:left w:w="0" w:type="dxa"/>
          <w:bottom w:w="0" w:type="dxa"/>
          <w:right w:w="0" w:type="dxa"/>
        </w:tblCellMar>
      </w:tblPr>
      <w:tblGrid>
        <w:gridCol w:w="271"/>
        <w:gridCol w:w="9796"/>
      </w:tblGrid>
      <w:tr>
        <w:trPr/>
        <w:tc>
          <w:tcPr>
            <w:tcW w:w="271" w:type="dxa"/>
            <w:tcBorders/>
            <w:vAlign w:val="center"/>
          </w:tcPr>
          <w:p>
            <w:pPr>
              <w:pStyle w:val="TableContents"/>
              <w:bidi w:val="0"/>
              <w:spacing w:before="0" w:after="283"/>
              <w:jc w:val="left"/>
              <w:rPr/>
            </w:pPr>
            <w:r>
              <w:rPr/>
              <w:t>●</w:t>
            </w:r>
          </w:p>
        </w:tc>
        <w:tc>
          <w:tcPr>
            <w:tcW w:w="979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Guangzhou NetEase” are to Guangzhou NetEase Computer System Co., Ltd., a company established under PRC laws;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Hangzhou Leihuo” are to Hangzhou NetEase Leihuo Technology Co., Ltd. (formerly named Hangzhou NetEase Leihuo Network Co., Ltd.), a company established under PRC laws;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Hangzhou NetEase Cloud Music” are to Hangzhou NetEase Cloud Music Technology Co., Ltd., a company established under PRC laws;</w:t>
            </w:r>
          </w:p>
        </w:tc>
      </w:tr>
    </w:tbl>
    <w:tbl>
      <w:tblPr>
        <w:tblW w:w="9122" w:type="dxa"/>
        <w:jc w:val="left"/>
        <w:tblInd w:w="0" w:type="dxa"/>
        <w:tblLayout w:type="fixed"/>
        <w:tblCellMar>
          <w:top w:w="0" w:type="dxa"/>
          <w:left w:w="0" w:type="dxa"/>
          <w:bottom w:w="0" w:type="dxa"/>
          <w:right w:w="0" w:type="dxa"/>
        </w:tblCellMar>
      </w:tblPr>
      <w:tblGrid>
        <w:gridCol w:w="271"/>
        <w:gridCol w:w="8851"/>
      </w:tblGrid>
      <w:tr>
        <w:trPr/>
        <w:tc>
          <w:tcPr>
            <w:tcW w:w="271" w:type="dxa"/>
            <w:tcBorders/>
            <w:vAlign w:val="center"/>
          </w:tcPr>
          <w:p>
            <w:pPr>
              <w:pStyle w:val="TableContents"/>
              <w:bidi w:val="0"/>
              <w:spacing w:before="0" w:after="283"/>
              <w:jc w:val="left"/>
              <w:rPr/>
            </w:pPr>
            <w:r>
              <w:rPr/>
              <w:t>●</w:t>
            </w:r>
          </w:p>
        </w:tc>
        <w:tc>
          <w:tcPr>
            <w:tcW w:w="8851"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Hangzhou Yuedu” are to Hangzhou Yuedu Technology Co., Ltd., a company established under PRC laws;</w:t>
            </w:r>
          </w:p>
        </w:tc>
      </w:tr>
    </w:tbl>
    <w:tbl>
      <w:tblPr>
        <w:tblW w:w="5882" w:type="dxa"/>
        <w:jc w:val="left"/>
        <w:tblInd w:w="0" w:type="dxa"/>
        <w:tblLayout w:type="fixed"/>
        <w:tblCellMar>
          <w:top w:w="0" w:type="dxa"/>
          <w:left w:w="0" w:type="dxa"/>
          <w:bottom w:w="0" w:type="dxa"/>
          <w:right w:w="0" w:type="dxa"/>
        </w:tblCellMar>
      </w:tblPr>
      <w:tblGrid>
        <w:gridCol w:w="271"/>
        <w:gridCol w:w="5611"/>
      </w:tblGrid>
      <w:tr>
        <w:trPr/>
        <w:tc>
          <w:tcPr>
            <w:tcW w:w="271" w:type="dxa"/>
            <w:tcBorders/>
            <w:vAlign w:val="center"/>
          </w:tcPr>
          <w:p>
            <w:pPr>
              <w:pStyle w:val="TableContents"/>
              <w:bidi w:val="0"/>
              <w:spacing w:before="0" w:after="283"/>
              <w:jc w:val="left"/>
              <w:rPr/>
            </w:pPr>
            <w:r>
              <w:rPr/>
              <w:t>●</w:t>
            </w:r>
          </w:p>
        </w:tc>
        <w:tc>
          <w:tcPr>
            <w:tcW w:w="5611"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HFCAA” are to the Holding Foreign Companies Accountable Act;</w:t>
            </w:r>
          </w:p>
        </w:tc>
      </w:tr>
    </w:tbl>
    <w:tbl>
      <w:tblPr>
        <w:tblW w:w="5552" w:type="dxa"/>
        <w:jc w:val="left"/>
        <w:tblInd w:w="0" w:type="dxa"/>
        <w:tblLayout w:type="fixed"/>
        <w:tblCellMar>
          <w:top w:w="0" w:type="dxa"/>
          <w:left w:w="0" w:type="dxa"/>
          <w:bottom w:w="0" w:type="dxa"/>
          <w:right w:w="0" w:type="dxa"/>
        </w:tblCellMar>
      </w:tblPr>
      <w:tblGrid>
        <w:gridCol w:w="271"/>
        <w:gridCol w:w="5281"/>
      </w:tblGrid>
      <w:tr>
        <w:trPr/>
        <w:tc>
          <w:tcPr>
            <w:tcW w:w="271" w:type="dxa"/>
            <w:tcBorders/>
            <w:vAlign w:val="center"/>
          </w:tcPr>
          <w:p>
            <w:pPr>
              <w:pStyle w:val="TableContents"/>
              <w:bidi w:val="0"/>
              <w:spacing w:before="0" w:after="283"/>
              <w:jc w:val="left"/>
              <w:rPr/>
            </w:pPr>
            <w:r>
              <w:rPr/>
              <w:t>●</w:t>
            </w:r>
          </w:p>
        </w:tc>
        <w:tc>
          <w:tcPr>
            <w:tcW w:w="5281"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HK$” or “HK dollars” are to the legal currency of Hong Kong;</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4937" w:type="dxa"/>
        <w:jc w:val="left"/>
        <w:tblInd w:w="0" w:type="dxa"/>
        <w:tblLayout w:type="fixed"/>
        <w:tblCellMar>
          <w:top w:w="0" w:type="dxa"/>
          <w:left w:w="0" w:type="dxa"/>
          <w:bottom w:w="0" w:type="dxa"/>
          <w:right w:w="0" w:type="dxa"/>
        </w:tblCellMar>
      </w:tblPr>
      <w:tblGrid>
        <w:gridCol w:w="271"/>
        <w:gridCol w:w="4666"/>
      </w:tblGrid>
      <w:tr>
        <w:trPr/>
        <w:tc>
          <w:tcPr>
            <w:tcW w:w="271" w:type="dxa"/>
            <w:tcBorders/>
            <w:vAlign w:val="center"/>
          </w:tcPr>
          <w:p>
            <w:pPr>
              <w:pStyle w:val="TableContents"/>
              <w:bidi w:val="0"/>
              <w:spacing w:before="0" w:after="283"/>
              <w:jc w:val="left"/>
              <w:rPr/>
            </w:pPr>
            <w:r>
              <w:rPr/>
              <w:t>●</w:t>
            </w:r>
          </w:p>
        </w:tc>
        <w:tc>
          <w:tcPr>
            <w:tcW w:w="466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HNTEs” are to High and New Technology Enterprises;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Hong Kong Listing Rules” are to the Rules Governing the Listing of Securities on The Stock Exchange of Hong Kong Limited, as amended or supplemented from time to time;</w:t>
            </w:r>
          </w:p>
        </w:tc>
      </w:tr>
    </w:tbl>
    <w:tbl>
      <w:tblPr>
        <w:tblW w:w="7097" w:type="dxa"/>
        <w:jc w:val="left"/>
        <w:tblInd w:w="0" w:type="dxa"/>
        <w:tblLayout w:type="fixed"/>
        <w:tblCellMar>
          <w:top w:w="0" w:type="dxa"/>
          <w:left w:w="0" w:type="dxa"/>
          <w:bottom w:w="0" w:type="dxa"/>
          <w:right w:w="0" w:type="dxa"/>
        </w:tblCellMar>
      </w:tblPr>
      <w:tblGrid>
        <w:gridCol w:w="271"/>
        <w:gridCol w:w="6826"/>
      </w:tblGrid>
      <w:tr>
        <w:trPr/>
        <w:tc>
          <w:tcPr>
            <w:tcW w:w="271" w:type="dxa"/>
            <w:tcBorders/>
            <w:vAlign w:val="center"/>
          </w:tcPr>
          <w:p>
            <w:pPr>
              <w:pStyle w:val="TableContents"/>
              <w:bidi w:val="0"/>
              <w:spacing w:before="0" w:after="283"/>
              <w:jc w:val="left"/>
              <w:rPr/>
            </w:pPr>
            <w:r>
              <w:rPr/>
              <w:t>●</w:t>
            </w:r>
          </w:p>
        </w:tc>
        <w:tc>
          <w:tcPr>
            <w:tcW w:w="682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Hong Kong Stock Exchange” are to The Stock Exchange of Hong Kong Limited;</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Hong Kong NetEase” are to Hong Kong NetEase Interactive Entertainment Limited, a company incorporated under Hong Kong laws; </w:t>
            </w:r>
          </w:p>
        </w:tc>
      </w:tr>
    </w:tbl>
    <w:tbl>
      <w:tblPr>
        <w:tblW w:w="3977" w:type="dxa"/>
        <w:jc w:val="left"/>
        <w:tblInd w:w="0" w:type="dxa"/>
        <w:tblLayout w:type="fixed"/>
        <w:tblCellMar>
          <w:top w:w="0" w:type="dxa"/>
          <w:left w:w="0" w:type="dxa"/>
          <w:bottom w:w="0" w:type="dxa"/>
          <w:right w:w="0" w:type="dxa"/>
        </w:tblCellMar>
      </w:tblPr>
      <w:tblGrid>
        <w:gridCol w:w="271"/>
        <w:gridCol w:w="3706"/>
      </w:tblGrid>
      <w:tr>
        <w:trPr/>
        <w:tc>
          <w:tcPr>
            <w:tcW w:w="271" w:type="dxa"/>
            <w:tcBorders/>
            <w:vAlign w:val="center"/>
          </w:tcPr>
          <w:p>
            <w:pPr>
              <w:pStyle w:val="TableContents"/>
              <w:bidi w:val="0"/>
              <w:spacing w:before="0" w:after="283"/>
              <w:jc w:val="left"/>
              <w:rPr/>
            </w:pPr>
            <w:r>
              <w:rPr/>
              <w:t>●</w:t>
            </w:r>
          </w:p>
        </w:tc>
        <w:tc>
          <w:tcPr>
            <w:tcW w:w="370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ICP(s)” are to internet content provider(s);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in-house developed games” are primarily to games developed solely by our game development teams as well as, in some instances, games co-developed with our collaboration partners;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MAUs” for Cloud Music’s online music services are to the monthly average number of users in a given period that have accessed the NetEase Cloud Music application at least once in a given month through mobile devices or PC devices, as the case may be; duplicate access is eliminated from the calculation based on our estimates by user account;</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MAUs” for Youdao are to the average of the monthly number of unique mobile or PC devices, as the case may be, through which such product and service is accessed at least once in that month (duplicate access to different products and services is not eliminated from the calculation) for a specific period with respect to each of Youdao’s products and services (except for smart devices). MAUs for Youdao are calculated using internal company data, treating each distinguishable device as a separate MAU even though some users may access Youdao’s products and services using more than one device and multiple users may access our services using the same device; </w:t>
            </w:r>
          </w:p>
        </w:tc>
      </w:tr>
    </w:tbl>
    <w:tbl>
      <w:tblPr>
        <w:tblW w:w="6242" w:type="dxa"/>
        <w:jc w:val="left"/>
        <w:tblInd w:w="0" w:type="dxa"/>
        <w:tblLayout w:type="fixed"/>
        <w:tblCellMar>
          <w:top w:w="0" w:type="dxa"/>
          <w:left w:w="0" w:type="dxa"/>
          <w:bottom w:w="0" w:type="dxa"/>
          <w:right w:w="0" w:type="dxa"/>
        </w:tblCellMar>
      </w:tblPr>
      <w:tblGrid>
        <w:gridCol w:w="271"/>
        <w:gridCol w:w="5971"/>
      </w:tblGrid>
      <w:tr>
        <w:trPr/>
        <w:tc>
          <w:tcPr>
            <w:tcW w:w="271" w:type="dxa"/>
            <w:tcBorders/>
            <w:vAlign w:val="center"/>
          </w:tcPr>
          <w:p>
            <w:pPr>
              <w:pStyle w:val="TableContents"/>
              <w:bidi w:val="0"/>
              <w:spacing w:before="0" w:after="283"/>
              <w:jc w:val="left"/>
              <w:rPr/>
            </w:pPr>
            <w:r>
              <w:rPr/>
              <w:t>●</w:t>
            </w:r>
          </w:p>
        </w:tc>
        <w:tc>
          <w:tcPr>
            <w:tcW w:w="5971"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MMORPGs” are to massively multi-player online role-playing games;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MII” and later “MIIT” are to the Ministry of Information Industry of China, which later became the Ministry of Industry and Information Technology of China;</w:t>
            </w:r>
          </w:p>
        </w:tc>
      </w:tr>
    </w:tbl>
    <w:tbl>
      <w:tblPr>
        <w:tblW w:w="5642" w:type="dxa"/>
        <w:jc w:val="left"/>
        <w:tblInd w:w="0" w:type="dxa"/>
        <w:tblLayout w:type="fixed"/>
        <w:tblCellMar>
          <w:top w:w="0" w:type="dxa"/>
          <w:left w:w="0" w:type="dxa"/>
          <w:bottom w:w="0" w:type="dxa"/>
          <w:right w:w="0" w:type="dxa"/>
        </w:tblCellMar>
      </w:tblPr>
      <w:tblGrid>
        <w:gridCol w:w="271"/>
        <w:gridCol w:w="5371"/>
      </w:tblGrid>
      <w:tr>
        <w:trPr/>
        <w:tc>
          <w:tcPr>
            <w:tcW w:w="271" w:type="dxa"/>
            <w:tcBorders/>
            <w:vAlign w:val="center"/>
          </w:tcPr>
          <w:p>
            <w:pPr>
              <w:pStyle w:val="TableContents"/>
              <w:bidi w:val="0"/>
              <w:spacing w:before="0" w:after="283"/>
              <w:jc w:val="left"/>
              <w:rPr/>
            </w:pPr>
            <w:r>
              <w:rPr/>
              <w:t>●</w:t>
            </w:r>
          </w:p>
        </w:tc>
        <w:tc>
          <w:tcPr>
            <w:tcW w:w="5371"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MST” are to the Ministry of Science and Technology of China;</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MOC” and later “MOCT” are to the Ministry of Culture of China which later became the Ministry of Culture and Tourism of China;</w:t>
            </w:r>
          </w:p>
        </w:tc>
      </w:tr>
    </w:tbl>
    <w:tbl>
      <w:tblPr>
        <w:tblW w:w="4502" w:type="dxa"/>
        <w:jc w:val="left"/>
        <w:tblInd w:w="0" w:type="dxa"/>
        <w:tblLayout w:type="fixed"/>
        <w:tblCellMar>
          <w:top w:w="0" w:type="dxa"/>
          <w:left w:w="0" w:type="dxa"/>
          <w:bottom w:w="0" w:type="dxa"/>
          <w:right w:w="0" w:type="dxa"/>
        </w:tblCellMar>
      </w:tblPr>
      <w:tblGrid>
        <w:gridCol w:w="271"/>
        <w:gridCol w:w="4231"/>
      </w:tblGrid>
      <w:tr>
        <w:trPr/>
        <w:tc>
          <w:tcPr>
            <w:tcW w:w="271" w:type="dxa"/>
            <w:tcBorders/>
            <w:vAlign w:val="center"/>
          </w:tcPr>
          <w:p>
            <w:pPr>
              <w:pStyle w:val="TableContents"/>
              <w:bidi w:val="0"/>
              <w:spacing w:before="0" w:after="283"/>
              <w:jc w:val="left"/>
              <w:rPr/>
            </w:pPr>
            <w:r>
              <w:rPr/>
              <w:t>●</w:t>
            </w:r>
          </w:p>
        </w:tc>
        <w:tc>
          <w:tcPr>
            <w:tcW w:w="4231"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MOE” are to the Ministry of Education of China;</w:t>
            </w:r>
          </w:p>
        </w:tc>
      </w:tr>
    </w:tbl>
    <w:tbl>
      <w:tblPr>
        <w:tblW w:w="4967" w:type="dxa"/>
        <w:jc w:val="left"/>
        <w:tblInd w:w="0" w:type="dxa"/>
        <w:tblLayout w:type="fixed"/>
        <w:tblCellMar>
          <w:top w:w="0" w:type="dxa"/>
          <w:left w:w="0" w:type="dxa"/>
          <w:bottom w:w="0" w:type="dxa"/>
          <w:right w:w="0" w:type="dxa"/>
        </w:tblCellMar>
      </w:tblPr>
      <w:tblGrid>
        <w:gridCol w:w="271"/>
        <w:gridCol w:w="4696"/>
      </w:tblGrid>
      <w:tr>
        <w:trPr/>
        <w:tc>
          <w:tcPr>
            <w:tcW w:w="271" w:type="dxa"/>
            <w:tcBorders/>
            <w:vAlign w:val="center"/>
          </w:tcPr>
          <w:p>
            <w:pPr>
              <w:pStyle w:val="TableContents"/>
              <w:bidi w:val="0"/>
              <w:spacing w:before="0" w:after="283"/>
              <w:jc w:val="left"/>
              <w:rPr/>
            </w:pPr>
            <w:r>
              <w:rPr/>
              <w:t>●</w:t>
            </w:r>
          </w:p>
        </w:tc>
        <w:tc>
          <w:tcPr>
            <w:tcW w:w="469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MOFCOM” are to the Ministry of Commerce of China;</w:t>
            </w:r>
          </w:p>
        </w:tc>
      </w:tr>
    </w:tbl>
    <w:tbl>
      <w:tblPr>
        <w:tblW w:w="8807" w:type="dxa"/>
        <w:jc w:val="left"/>
        <w:tblInd w:w="0" w:type="dxa"/>
        <w:tblLayout w:type="fixed"/>
        <w:tblCellMar>
          <w:top w:w="0" w:type="dxa"/>
          <w:left w:w="0" w:type="dxa"/>
          <w:bottom w:w="0" w:type="dxa"/>
          <w:right w:w="0" w:type="dxa"/>
        </w:tblCellMar>
      </w:tblPr>
      <w:tblGrid>
        <w:gridCol w:w="271"/>
        <w:gridCol w:w="8536"/>
      </w:tblGrid>
      <w:tr>
        <w:trPr/>
        <w:tc>
          <w:tcPr>
            <w:tcW w:w="271" w:type="dxa"/>
            <w:tcBorders/>
            <w:vAlign w:val="center"/>
          </w:tcPr>
          <w:p>
            <w:pPr>
              <w:pStyle w:val="TableContents"/>
              <w:bidi w:val="0"/>
              <w:spacing w:before="0" w:after="283"/>
              <w:jc w:val="left"/>
              <w:rPr/>
            </w:pPr>
            <w:r>
              <w:rPr/>
              <w:t>●</w:t>
            </w:r>
          </w:p>
        </w:tc>
        <w:tc>
          <w:tcPr>
            <w:tcW w:w="853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NCIIC” are to the Ministry of Public Security’s National Citizen Identity Information Center of China;</w:t>
            </w:r>
          </w:p>
        </w:tc>
      </w:tr>
    </w:tbl>
    <w:tbl>
      <w:tblPr>
        <w:tblW w:w="6707" w:type="dxa"/>
        <w:jc w:val="left"/>
        <w:tblInd w:w="0" w:type="dxa"/>
        <w:tblLayout w:type="fixed"/>
        <w:tblCellMar>
          <w:top w:w="0" w:type="dxa"/>
          <w:left w:w="0" w:type="dxa"/>
          <w:bottom w:w="0" w:type="dxa"/>
          <w:right w:w="0" w:type="dxa"/>
        </w:tblCellMar>
      </w:tblPr>
      <w:tblGrid>
        <w:gridCol w:w="271"/>
        <w:gridCol w:w="6436"/>
      </w:tblGrid>
      <w:tr>
        <w:trPr/>
        <w:tc>
          <w:tcPr>
            <w:tcW w:w="271" w:type="dxa"/>
            <w:tcBorders/>
            <w:vAlign w:val="center"/>
          </w:tcPr>
          <w:p>
            <w:pPr>
              <w:pStyle w:val="TableContents"/>
              <w:bidi w:val="0"/>
              <w:spacing w:before="0" w:after="283"/>
              <w:jc w:val="left"/>
              <w:rPr/>
            </w:pPr>
            <w:r>
              <w:rPr/>
              <w:t>●</w:t>
            </w:r>
          </w:p>
        </w:tc>
        <w:tc>
          <w:tcPr>
            <w:tcW w:w="643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NDRC” are to the National Development and Reform Commission of China;</w:t>
            </w:r>
          </w:p>
        </w:tc>
      </w:tr>
    </w:tbl>
    <w:tbl>
      <w:tblPr>
        <w:tblW w:w="9182" w:type="dxa"/>
        <w:jc w:val="left"/>
        <w:tblInd w:w="0" w:type="dxa"/>
        <w:tblLayout w:type="fixed"/>
        <w:tblCellMar>
          <w:top w:w="0" w:type="dxa"/>
          <w:left w:w="0" w:type="dxa"/>
          <w:bottom w:w="0" w:type="dxa"/>
          <w:right w:w="0" w:type="dxa"/>
        </w:tblCellMar>
      </w:tblPr>
      <w:tblGrid>
        <w:gridCol w:w="271"/>
        <w:gridCol w:w="8911"/>
      </w:tblGrid>
      <w:tr>
        <w:trPr/>
        <w:tc>
          <w:tcPr>
            <w:tcW w:w="271" w:type="dxa"/>
            <w:tcBorders/>
            <w:vAlign w:val="center"/>
          </w:tcPr>
          <w:p>
            <w:pPr>
              <w:pStyle w:val="TableContents"/>
              <w:bidi w:val="0"/>
              <w:spacing w:before="0" w:after="283"/>
              <w:jc w:val="left"/>
              <w:rPr/>
            </w:pPr>
            <w:r>
              <w:rPr/>
              <w:t>●</w:t>
            </w:r>
          </w:p>
        </w:tc>
        <w:tc>
          <w:tcPr>
            <w:tcW w:w="8911"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NetEase Hangzhou” are to NetEase (Hangzhou) Network Co., Ltd., a company established under PRC laws;</w:t>
            </w:r>
          </w:p>
        </w:tc>
      </w:tr>
    </w:tbl>
    <w:tbl>
      <w:tblPr>
        <w:tblW w:w="3812" w:type="dxa"/>
        <w:jc w:val="left"/>
        <w:tblInd w:w="0" w:type="dxa"/>
        <w:tblLayout w:type="fixed"/>
        <w:tblCellMar>
          <w:top w:w="0" w:type="dxa"/>
          <w:left w:w="0" w:type="dxa"/>
          <w:bottom w:w="0" w:type="dxa"/>
          <w:right w:w="0" w:type="dxa"/>
        </w:tblCellMar>
      </w:tblPr>
      <w:tblGrid>
        <w:gridCol w:w="271"/>
        <w:gridCol w:w="3541"/>
      </w:tblGrid>
      <w:tr>
        <w:trPr/>
        <w:tc>
          <w:tcPr>
            <w:tcW w:w="271" w:type="dxa"/>
            <w:tcBorders/>
            <w:vAlign w:val="center"/>
          </w:tcPr>
          <w:p>
            <w:pPr>
              <w:pStyle w:val="TableContents"/>
              <w:bidi w:val="0"/>
              <w:spacing w:before="0" w:after="283"/>
              <w:jc w:val="left"/>
              <w:rPr/>
            </w:pPr>
            <w:r>
              <w:rPr/>
              <w:t>●</w:t>
            </w:r>
          </w:p>
        </w:tc>
        <w:tc>
          <w:tcPr>
            <w:tcW w:w="3541"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NMT” are to neural machine translation;</w:t>
            </w:r>
          </w:p>
        </w:tc>
      </w:tr>
    </w:tbl>
    <w:tbl>
      <w:tblPr>
        <w:tblW w:w="6557" w:type="dxa"/>
        <w:jc w:val="left"/>
        <w:tblInd w:w="0" w:type="dxa"/>
        <w:tblLayout w:type="fixed"/>
        <w:tblCellMar>
          <w:top w:w="0" w:type="dxa"/>
          <w:left w:w="0" w:type="dxa"/>
          <w:bottom w:w="0" w:type="dxa"/>
          <w:right w:w="0" w:type="dxa"/>
        </w:tblCellMar>
      </w:tblPr>
      <w:tblGrid>
        <w:gridCol w:w="271"/>
        <w:gridCol w:w="6286"/>
      </w:tblGrid>
      <w:tr>
        <w:trPr/>
        <w:tc>
          <w:tcPr>
            <w:tcW w:w="271" w:type="dxa"/>
            <w:tcBorders/>
            <w:vAlign w:val="center"/>
          </w:tcPr>
          <w:p>
            <w:pPr>
              <w:pStyle w:val="TableContents"/>
              <w:bidi w:val="0"/>
              <w:spacing w:before="0" w:after="283"/>
              <w:jc w:val="left"/>
              <w:rPr/>
            </w:pPr>
            <w:r>
              <w:rPr/>
              <w:t>●</w:t>
            </w:r>
          </w:p>
        </w:tc>
        <w:tc>
          <w:tcPr>
            <w:tcW w:w="628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NPPA” are to the National Press and Publication Administration of China; </w:t>
            </w:r>
          </w:p>
        </w:tc>
      </w:tr>
    </w:tbl>
    <w:tbl>
      <w:tblPr>
        <w:tblW w:w="6572" w:type="dxa"/>
        <w:jc w:val="left"/>
        <w:tblInd w:w="0" w:type="dxa"/>
        <w:tblLayout w:type="fixed"/>
        <w:tblCellMar>
          <w:top w:w="0" w:type="dxa"/>
          <w:left w:w="0" w:type="dxa"/>
          <w:bottom w:w="0" w:type="dxa"/>
          <w:right w:w="0" w:type="dxa"/>
        </w:tblCellMar>
      </w:tblPr>
      <w:tblGrid>
        <w:gridCol w:w="271"/>
        <w:gridCol w:w="6301"/>
      </w:tblGrid>
      <w:tr>
        <w:trPr/>
        <w:tc>
          <w:tcPr>
            <w:tcW w:w="271" w:type="dxa"/>
            <w:tcBorders/>
            <w:vAlign w:val="center"/>
          </w:tcPr>
          <w:p>
            <w:pPr>
              <w:pStyle w:val="TableContents"/>
              <w:bidi w:val="0"/>
              <w:spacing w:before="0" w:after="283"/>
              <w:jc w:val="left"/>
              <w:rPr/>
            </w:pPr>
            <w:r>
              <w:rPr/>
              <w:t>●</w:t>
            </w:r>
          </w:p>
        </w:tc>
        <w:tc>
          <w:tcPr>
            <w:tcW w:w="6301"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NRTA” are to the National Radio and Television Administration of China;</w:t>
            </w:r>
          </w:p>
        </w:tc>
      </w:tr>
    </w:tbl>
    <w:tbl>
      <w:tblPr>
        <w:tblW w:w="3962" w:type="dxa"/>
        <w:jc w:val="left"/>
        <w:tblInd w:w="0" w:type="dxa"/>
        <w:tblLayout w:type="fixed"/>
        <w:tblCellMar>
          <w:top w:w="0" w:type="dxa"/>
          <w:left w:w="0" w:type="dxa"/>
          <w:bottom w:w="0" w:type="dxa"/>
          <w:right w:w="0" w:type="dxa"/>
        </w:tblCellMar>
      </w:tblPr>
      <w:tblGrid>
        <w:gridCol w:w="271"/>
        <w:gridCol w:w="3691"/>
      </w:tblGrid>
      <w:tr>
        <w:trPr/>
        <w:tc>
          <w:tcPr>
            <w:tcW w:w="271" w:type="dxa"/>
            <w:tcBorders/>
            <w:vAlign w:val="center"/>
          </w:tcPr>
          <w:p>
            <w:pPr>
              <w:pStyle w:val="TableContents"/>
              <w:bidi w:val="0"/>
              <w:spacing w:before="0" w:after="283"/>
              <w:jc w:val="left"/>
              <w:rPr/>
            </w:pPr>
            <w:r>
              <w:rPr/>
              <w:t>●</w:t>
            </w:r>
          </w:p>
        </w:tc>
        <w:tc>
          <w:tcPr>
            <w:tcW w:w="3691"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OCR” are to optical character recognition;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z w:val="20"/>
              </w:rPr>
              <w:t>our company” are to NetEase, Inc., which is not a PRC operating company but a Cayman Islands holding company with operations primarily conducted through (i) our China mainland subsidiaries and (ii) contractual arrangements with the variable interest entities, or the VIEs, based in China mainland. This structure entails unique risks to investors, see Item 3.D. “Key Information</w:t>
            </w:r>
            <w:r>
              <w:rPr>
                <w:caps w:val="false"/>
                <w:smallCaps w:val="false"/>
              </w:rPr>
              <w:t>—</w:t>
            </w:r>
            <w:r>
              <w:rPr>
                <w:rFonts w:ascii="Times New Roman;Times;serif" w:hAnsi="Times New Roman;Times;serif"/>
                <w:b w:val="false"/>
                <w:i w:val="false"/>
                <w:caps w:val="false"/>
                <w:smallCaps w:val="false"/>
                <w:sz w:val="20"/>
              </w:rPr>
              <w:t>Risk Factors</w:t>
            </w:r>
            <w:r>
              <w:rPr>
                <w:caps w:val="false"/>
                <w:smallCaps w:val="false"/>
              </w:rPr>
              <w:t>—</w:t>
            </w:r>
            <w:r>
              <w:rPr>
                <w:rFonts w:ascii="Times New Roman;Times;serif" w:hAnsi="Times New Roman;Times;serif"/>
                <w:b w:val="false"/>
                <w:i w:val="false"/>
                <w:caps w:val="false"/>
                <w:smallCaps w:val="false"/>
                <w:sz w:val="20"/>
              </w:rPr>
              <w:t>Risks Related to Our Corporate Structure” for additional information;</w:t>
            </w:r>
          </w:p>
        </w:tc>
      </w:tr>
    </w:tbl>
    <w:tbl>
      <w:tblPr>
        <w:tblW w:w="3752" w:type="dxa"/>
        <w:jc w:val="left"/>
        <w:tblInd w:w="0" w:type="dxa"/>
        <w:tblLayout w:type="fixed"/>
        <w:tblCellMar>
          <w:top w:w="0" w:type="dxa"/>
          <w:left w:w="0" w:type="dxa"/>
          <w:bottom w:w="0" w:type="dxa"/>
          <w:right w:w="0" w:type="dxa"/>
        </w:tblCellMar>
      </w:tblPr>
      <w:tblGrid>
        <w:gridCol w:w="271"/>
        <w:gridCol w:w="3481"/>
      </w:tblGrid>
      <w:tr>
        <w:trPr/>
        <w:tc>
          <w:tcPr>
            <w:tcW w:w="271" w:type="dxa"/>
            <w:tcBorders/>
            <w:vAlign w:val="center"/>
          </w:tcPr>
          <w:p>
            <w:pPr>
              <w:pStyle w:val="TableContents"/>
              <w:bidi w:val="0"/>
              <w:spacing w:before="0" w:after="283"/>
              <w:jc w:val="left"/>
              <w:rPr/>
            </w:pPr>
            <w:r>
              <w:rPr/>
              <w:t>●</w:t>
            </w:r>
          </w:p>
        </w:tc>
        <w:tc>
          <w:tcPr>
            <w:tcW w:w="3481"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R&amp;D” are to research and development;</w:t>
            </w:r>
          </w:p>
        </w:tc>
      </w:tr>
    </w:tbl>
    <w:tbl>
      <w:tblPr>
        <w:tblW w:w="7157" w:type="dxa"/>
        <w:jc w:val="left"/>
        <w:tblInd w:w="0" w:type="dxa"/>
        <w:tblLayout w:type="fixed"/>
        <w:tblCellMar>
          <w:top w:w="0" w:type="dxa"/>
          <w:left w:w="0" w:type="dxa"/>
          <w:bottom w:w="0" w:type="dxa"/>
          <w:right w:w="0" w:type="dxa"/>
        </w:tblCellMar>
      </w:tblPr>
      <w:tblGrid>
        <w:gridCol w:w="271"/>
        <w:gridCol w:w="6886"/>
      </w:tblGrid>
      <w:tr>
        <w:trPr/>
        <w:tc>
          <w:tcPr>
            <w:tcW w:w="271" w:type="dxa"/>
            <w:tcBorders/>
            <w:vAlign w:val="center"/>
          </w:tcPr>
          <w:p>
            <w:pPr>
              <w:pStyle w:val="TableContents"/>
              <w:bidi w:val="0"/>
              <w:spacing w:before="0" w:after="283"/>
              <w:jc w:val="left"/>
              <w:rPr/>
            </w:pPr>
            <w:r>
              <w:rPr/>
              <w:t>●</w:t>
            </w:r>
          </w:p>
        </w:tc>
        <w:tc>
          <w:tcPr>
            <w:tcW w:w="688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RMB” or “Renminbi” are to the legal currency of the People’s Republic of China;</w:t>
            </w:r>
          </w:p>
        </w:tc>
      </w:tr>
    </w:tbl>
    <w:tbl>
      <w:tblPr>
        <w:tblW w:w="3227" w:type="dxa"/>
        <w:jc w:val="left"/>
        <w:tblInd w:w="0" w:type="dxa"/>
        <w:tblLayout w:type="fixed"/>
        <w:tblCellMar>
          <w:top w:w="0" w:type="dxa"/>
          <w:left w:w="0" w:type="dxa"/>
          <w:bottom w:w="0" w:type="dxa"/>
          <w:right w:w="0" w:type="dxa"/>
        </w:tblCellMar>
      </w:tblPr>
      <w:tblGrid>
        <w:gridCol w:w="271"/>
        <w:gridCol w:w="2956"/>
      </w:tblGrid>
      <w:tr>
        <w:trPr/>
        <w:tc>
          <w:tcPr>
            <w:tcW w:w="271" w:type="dxa"/>
            <w:tcBorders/>
            <w:vAlign w:val="center"/>
          </w:tcPr>
          <w:p>
            <w:pPr>
              <w:pStyle w:val="TableContents"/>
              <w:bidi w:val="0"/>
              <w:spacing w:before="0" w:after="283"/>
              <w:jc w:val="left"/>
              <w:rPr/>
            </w:pPr>
            <w:r>
              <w:rPr/>
              <w:t>●</w:t>
            </w:r>
          </w:p>
        </w:tc>
        <w:tc>
          <w:tcPr>
            <w:tcW w:w="295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RPGs” are to role-playing games;</w:t>
            </w:r>
          </w:p>
        </w:tc>
      </w:tr>
    </w:tbl>
    <w:tbl>
      <w:tblPr>
        <w:tblW w:w="3947" w:type="dxa"/>
        <w:jc w:val="left"/>
        <w:tblInd w:w="0" w:type="dxa"/>
        <w:tblLayout w:type="fixed"/>
        <w:tblCellMar>
          <w:top w:w="0" w:type="dxa"/>
          <w:left w:w="0" w:type="dxa"/>
          <w:bottom w:w="0" w:type="dxa"/>
          <w:right w:w="0" w:type="dxa"/>
        </w:tblCellMar>
      </w:tblPr>
      <w:tblGrid>
        <w:gridCol w:w="271"/>
        <w:gridCol w:w="3676"/>
      </w:tblGrid>
      <w:tr>
        <w:trPr/>
        <w:tc>
          <w:tcPr>
            <w:tcW w:w="271" w:type="dxa"/>
            <w:tcBorders/>
            <w:vAlign w:val="center"/>
          </w:tcPr>
          <w:p>
            <w:pPr>
              <w:pStyle w:val="TableContents"/>
              <w:bidi w:val="0"/>
              <w:spacing w:before="0" w:after="283"/>
              <w:jc w:val="left"/>
              <w:rPr/>
            </w:pPr>
            <w:r>
              <w:rPr/>
              <w:t>●</w:t>
            </w:r>
          </w:p>
        </w:tc>
        <w:tc>
          <w:tcPr>
            <w:tcW w:w="367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PBOC” are to the People’s Bank of China;</w:t>
            </w:r>
          </w:p>
        </w:tc>
      </w:tr>
    </w:tbl>
    <w:tbl>
      <w:tblPr>
        <w:tblW w:w="6287" w:type="dxa"/>
        <w:jc w:val="left"/>
        <w:tblInd w:w="0" w:type="dxa"/>
        <w:tblLayout w:type="fixed"/>
        <w:tblCellMar>
          <w:top w:w="0" w:type="dxa"/>
          <w:left w:w="0" w:type="dxa"/>
          <w:bottom w:w="0" w:type="dxa"/>
          <w:right w:w="0" w:type="dxa"/>
        </w:tblCellMar>
      </w:tblPr>
      <w:tblGrid>
        <w:gridCol w:w="271"/>
        <w:gridCol w:w="6016"/>
      </w:tblGrid>
      <w:tr>
        <w:trPr/>
        <w:tc>
          <w:tcPr>
            <w:tcW w:w="271" w:type="dxa"/>
            <w:tcBorders/>
            <w:vAlign w:val="center"/>
          </w:tcPr>
          <w:p>
            <w:pPr>
              <w:pStyle w:val="TableContents"/>
              <w:bidi w:val="0"/>
              <w:spacing w:before="0" w:after="283"/>
              <w:jc w:val="left"/>
              <w:rPr/>
            </w:pPr>
            <w:r>
              <w:rPr/>
              <w:t>●</w:t>
            </w:r>
          </w:p>
        </w:tc>
        <w:tc>
          <w:tcPr>
            <w:tcW w:w="601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PCAOB” are to the U.S. Public Company Accounting Oversight Board;</w:t>
            </w:r>
          </w:p>
        </w:tc>
      </w:tr>
    </w:tbl>
    <w:tbl>
      <w:tblPr>
        <w:tblW w:w="6152" w:type="dxa"/>
        <w:jc w:val="left"/>
        <w:tblInd w:w="0" w:type="dxa"/>
        <w:tblLayout w:type="fixed"/>
        <w:tblCellMar>
          <w:top w:w="0" w:type="dxa"/>
          <w:left w:w="0" w:type="dxa"/>
          <w:bottom w:w="0" w:type="dxa"/>
          <w:right w:w="0" w:type="dxa"/>
        </w:tblCellMar>
      </w:tblPr>
      <w:tblGrid>
        <w:gridCol w:w="271"/>
        <w:gridCol w:w="5881"/>
      </w:tblGrid>
      <w:tr>
        <w:trPr/>
        <w:tc>
          <w:tcPr>
            <w:tcW w:w="271" w:type="dxa"/>
            <w:tcBorders/>
            <w:vAlign w:val="center"/>
          </w:tcPr>
          <w:p>
            <w:pPr>
              <w:pStyle w:val="TableContents"/>
              <w:bidi w:val="0"/>
              <w:spacing w:before="0" w:after="283"/>
              <w:jc w:val="left"/>
              <w:rPr/>
            </w:pPr>
            <w:r>
              <w:rPr/>
              <w:t>●</w:t>
            </w:r>
          </w:p>
        </w:tc>
        <w:tc>
          <w:tcPr>
            <w:tcW w:w="5881"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SAFE” are to the State Administration of Foreign Exchange of China;</w:t>
            </w:r>
          </w:p>
        </w:tc>
      </w:tr>
    </w:tbl>
    <w:tbl>
      <w:tblPr>
        <w:tblW w:w="8912" w:type="dxa"/>
        <w:jc w:val="left"/>
        <w:tblInd w:w="0" w:type="dxa"/>
        <w:tblLayout w:type="fixed"/>
        <w:tblCellMar>
          <w:top w:w="0" w:type="dxa"/>
          <w:left w:w="0" w:type="dxa"/>
          <w:bottom w:w="0" w:type="dxa"/>
          <w:right w:w="0" w:type="dxa"/>
        </w:tblCellMar>
      </w:tblPr>
      <w:tblGrid>
        <w:gridCol w:w="271"/>
        <w:gridCol w:w="8641"/>
      </w:tblGrid>
      <w:tr>
        <w:trPr/>
        <w:tc>
          <w:tcPr>
            <w:tcW w:w="271" w:type="dxa"/>
            <w:tcBorders/>
            <w:vAlign w:val="center"/>
          </w:tcPr>
          <w:p>
            <w:pPr>
              <w:pStyle w:val="TableContents"/>
              <w:bidi w:val="0"/>
              <w:spacing w:before="0" w:after="283"/>
              <w:jc w:val="left"/>
              <w:rPr/>
            </w:pPr>
            <w:r>
              <w:rPr/>
              <w:t>●</w:t>
            </w:r>
          </w:p>
        </w:tc>
        <w:tc>
          <w:tcPr>
            <w:tcW w:w="8641"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SAIC” are to the State Administration for Industry and Commerce of China, currently known as SAMR; </w:t>
            </w:r>
          </w:p>
        </w:tc>
      </w:tr>
    </w:tbl>
    <w:tbl>
      <w:tblPr>
        <w:tblW w:w="6362" w:type="dxa"/>
        <w:jc w:val="left"/>
        <w:tblInd w:w="0" w:type="dxa"/>
        <w:tblLayout w:type="fixed"/>
        <w:tblCellMar>
          <w:top w:w="0" w:type="dxa"/>
          <w:left w:w="0" w:type="dxa"/>
          <w:bottom w:w="0" w:type="dxa"/>
          <w:right w:w="0" w:type="dxa"/>
        </w:tblCellMar>
      </w:tblPr>
      <w:tblGrid>
        <w:gridCol w:w="271"/>
        <w:gridCol w:w="6091"/>
      </w:tblGrid>
      <w:tr>
        <w:trPr/>
        <w:tc>
          <w:tcPr>
            <w:tcW w:w="271" w:type="dxa"/>
            <w:tcBorders/>
            <w:vAlign w:val="center"/>
          </w:tcPr>
          <w:p>
            <w:pPr>
              <w:pStyle w:val="TableContents"/>
              <w:bidi w:val="0"/>
              <w:spacing w:before="0" w:after="283"/>
              <w:jc w:val="left"/>
              <w:rPr/>
            </w:pPr>
            <w:r>
              <w:rPr/>
              <w:t>●</w:t>
            </w:r>
          </w:p>
        </w:tc>
        <w:tc>
          <w:tcPr>
            <w:tcW w:w="6091"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SAMR” are to the State Administration for Market Regulation of China;</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SAPPRFT” are to the State Administration of Press, Publication, Radio, Film and Television of China, formerly the General Administration of Press and Publication of China and the State Administration of Radio, Film and Television of China, and since March 2018 has been reformed and became the National Radio and Television Administration and the National Press and Publication Administration (National Copyright Administration); </w:t>
            </w:r>
          </w:p>
        </w:tc>
      </w:tr>
    </w:tbl>
    <w:tbl>
      <w:tblPr>
        <w:tblW w:w="7022" w:type="dxa"/>
        <w:jc w:val="left"/>
        <w:tblInd w:w="0" w:type="dxa"/>
        <w:tblLayout w:type="fixed"/>
        <w:tblCellMar>
          <w:top w:w="0" w:type="dxa"/>
          <w:left w:w="0" w:type="dxa"/>
          <w:bottom w:w="0" w:type="dxa"/>
          <w:right w:w="0" w:type="dxa"/>
        </w:tblCellMar>
      </w:tblPr>
      <w:tblGrid>
        <w:gridCol w:w="271"/>
        <w:gridCol w:w="6751"/>
      </w:tblGrid>
      <w:tr>
        <w:trPr/>
        <w:tc>
          <w:tcPr>
            <w:tcW w:w="271" w:type="dxa"/>
            <w:tcBorders/>
            <w:vAlign w:val="center"/>
          </w:tcPr>
          <w:p>
            <w:pPr>
              <w:pStyle w:val="TableContents"/>
              <w:bidi w:val="0"/>
              <w:spacing w:before="0" w:after="283"/>
              <w:jc w:val="left"/>
              <w:rPr/>
            </w:pPr>
            <w:r>
              <w:rPr/>
              <w:t>●</w:t>
            </w:r>
          </w:p>
        </w:tc>
        <w:tc>
          <w:tcPr>
            <w:tcW w:w="6751"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SARFT” are to the State Administration of Radio, Film and Television of China;</w:t>
            </w:r>
          </w:p>
        </w:tc>
      </w:tr>
    </w:tbl>
    <w:tbl>
      <w:tblPr>
        <w:tblW w:w="5357" w:type="dxa"/>
        <w:jc w:val="left"/>
        <w:tblInd w:w="0" w:type="dxa"/>
        <w:tblLayout w:type="fixed"/>
        <w:tblCellMar>
          <w:top w:w="0" w:type="dxa"/>
          <w:left w:w="0" w:type="dxa"/>
          <w:bottom w:w="0" w:type="dxa"/>
          <w:right w:w="0" w:type="dxa"/>
        </w:tblCellMar>
      </w:tblPr>
      <w:tblGrid>
        <w:gridCol w:w="271"/>
        <w:gridCol w:w="5086"/>
      </w:tblGrid>
      <w:tr>
        <w:trPr/>
        <w:tc>
          <w:tcPr>
            <w:tcW w:w="271" w:type="dxa"/>
            <w:tcBorders/>
            <w:vAlign w:val="center"/>
          </w:tcPr>
          <w:p>
            <w:pPr>
              <w:pStyle w:val="TableContents"/>
              <w:bidi w:val="0"/>
              <w:spacing w:before="0" w:after="283"/>
              <w:jc w:val="left"/>
              <w:rPr/>
            </w:pPr>
            <w:r>
              <w:rPr/>
              <w:t>●</w:t>
            </w:r>
          </w:p>
        </w:tc>
        <w:tc>
          <w:tcPr>
            <w:tcW w:w="508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SCIO” are to the State Council Information Office of China;</w:t>
            </w:r>
          </w:p>
        </w:tc>
      </w:tr>
    </w:tbl>
    <w:tbl>
      <w:tblPr>
        <w:tblW w:w="6062" w:type="dxa"/>
        <w:jc w:val="left"/>
        <w:tblInd w:w="0" w:type="dxa"/>
        <w:tblLayout w:type="fixed"/>
        <w:tblCellMar>
          <w:top w:w="0" w:type="dxa"/>
          <w:left w:w="0" w:type="dxa"/>
          <w:bottom w:w="0" w:type="dxa"/>
          <w:right w:w="0" w:type="dxa"/>
        </w:tblCellMar>
      </w:tblPr>
      <w:tblGrid>
        <w:gridCol w:w="271"/>
        <w:gridCol w:w="5791"/>
      </w:tblGrid>
      <w:tr>
        <w:trPr/>
        <w:tc>
          <w:tcPr>
            <w:tcW w:w="271" w:type="dxa"/>
            <w:tcBorders/>
            <w:vAlign w:val="center"/>
          </w:tcPr>
          <w:p>
            <w:pPr>
              <w:pStyle w:val="TableContents"/>
              <w:bidi w:val="0"/>
              <w:spacing w:before="0" w:after="283"/>
              <w:jc w:val="left"/>
              <w:rPr/>
            </w:pPr>
            <w:r>
              <w:rPr/>
              <w:t>●</w:t>
            </w:r>
          </w:p>
        </w:tc>
        <w:tc>
          <w:tcPr>
            <w:tcW w:w="5791"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SEC” are to the United States Securities and Exchange Commission;</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SFO” are to the Securities and Futures Ordinance (Chapter 571 of the Laws of Hong Kong), as amended or supplemented from time to time;</w:t>
            </w:r>
          </w:p>
        </w:tc>
      </w:tr>
    </w:tbl>
    <w:tbl>
      <w:tblPr>
        <w:tblW w:w="6932" w:type="dxa"/>
        <w:jc w:val="left"/>
        <w:tblInd w:w="0" w:type="dxa"/>
        <w:tblLayout w:type="fixed"/>
        <w:tblCellMar>
          <w:top w:w="0" w:type="dxa"/>
          <w:left w:w="0" w:type="dxa"/>
          <w:bottom w:w="0" w:type="dxa"/>
          <w:right w:w="0" w:type="dxa"/>
        </w:tblCellMar>
      </w:tblPr>
      <w:tblGrid>
        <w:gridCol w:w="271"/>
        <w:gridCol w:w="6661"/>
      </w:tblGrid>
      <w:tr>
        <w:trPr/>
        <w:tc>
          <w:tcPr>
            <w:tcW w:w="271" w:type="dxa"/>
            <w:tcBorders/>
            <w:vAlign w:val="center"/>
          </w:tcPr>
          <w:p>
            <w:pPr>
              <w:pStyle w:val="TableContents"/>
              <w:bidi w:val="0"/>
              <w:spacing w:before="0" w:after="283"/>
              <w:jc w:val="left"/>
              <w:rPr/>
            </w:pPr>
            <w:r>
              <w:rPr/>
              <w:t>●</w:t>
            </w:r>
          </w:p>
        </w:tc>
        <w:tc>
          <w:tcPr>
            <w:tcW w:w="6661"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shareholder(s)” are to holder(s) of shares and, where the context requires, ADSs;</w:t>
            </w:r>
          </w:p>
        </w:tc>
      </w:tr>
    </w:tbl>
    <w:tbl>
      <w:tblPr>
        <w:tblW w:w="9422" w:type="dxa"/>
        <w:jc w:val="left"/>
        <w:tblInd w:w="0" w:type="dxa"/>
        <w:tblLayout w:type="fixed"/>
        <w:tblCellMar>
          <w:top w:w="0" w:type="dxa"/>
          <w:left w:w="0" w:type="dxa"/>
          <w:bottom w:w="0" w:type="dxa"/>
          <w:right w:w="0" w:type="dxa"/>
        </w:tblCellMar>
      </w:tblPr>
      <w:tblGrid>
        <w:gridCol w:w="271"/>
        <w:gridCol w:w="9151"/>
      </w:tblGrid>
      <w:tr>
        <w:trPr/>
        <w:tc>
          <w:tcPr>
            <w:tcW w:w="271" w:type="dxa"/>
            <w:tcBorders/>
            <w:vAlign w:val="center"/>
          </w:tcPr>
          <w:p>
            <w:pPr>
              <w:pStyle w:val="TableContents"/>
              <w:bidi w:val="0"/>
              <w:spacing w:before="0" w:after="283"/>
              <w:jc w:val="left"/>
              <w:rPr/>
            </w:pPr>
            <w:r>
              <w:rPr/>
              <w:t>●</w:t>
            </w:r>
          </w:p>
        </w:tc>
        <w:tc>
          <w:tcPr>
            <w:tcW w:w="9151"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share(s)” or “ordinary share(s)” are to ordinary share(s) of our company with par value of US$0.0001 per share;</w:t>
            </w:r>
          </w:p>
        </w:tc>
      </w:tr>
    </w:tbl>
    <w:tbl>
      <w:tblPr>
        <w:tblW w:w="3077" w:type="dxa"/>
        <w:jc w:val="left"/>
        <w:tblInd w:w="0" w:type="dxa"/>
        <w:tblLayout w:type="fixed"/>
        <w:tblCellMar>
          <w:top w:w="0" w:type="dxa"/>
          <w:left w:w="0" w:type="dxa"/>
          <w:bottom w:w="0" w:type="dxa"/>
          <w:right w:w="0" w:type="dxa"/>
        </w:tblCellMar>
      </w:tblPr>
      <w:tblGrid>
        <w:gridCol w:w="271"/>
        <w:gridCol w:w="2806"/>
      </w:tblGrid>
      <w:tr>
        <w:trPr/>
        <w:tc>
          <w:tcPr>
            <w:tcW w:w="271" w:type="dxa"/>
            <w:tcBorders/>
            <w:vAlign w:val="center"/>
          </w:tcPr>
          <w:p>
            <w:pPr>
              <w:pStyle w:val="TableContents"/>
              <w:bidi w:val="0"/>
              <w:spacing w:before="0" w:after="283"/>
              <w:jc w:val="left"/>
              <w:rPr/>
            </w:pPr>
            <w:r>
              <w:rPr/>
              <w:t>●</w:t>
            </w:r>
          </w:p>
        </w:tc>
        <w:tc>
          <w:tcPr>
            <w:tcW w:w="280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SLGs” are to simulation games;</w:t>
            </w:r>
          </w:p>
        </w:tc>
      </w:tr>
    </w:tbl>
    <w:tbl>
      <w:tblPr>
        <w:tblW w:w="5087" w:type="dxa"/>
        <w:jc w:val="left"/>
        <w:tblInd w:w="0" w:type="dxa"/>
        <w:tblLayout w:type="fixed"/>
        <w:tblCellMar>
          <w:top w:w="0" w:type="dxa"/>
          <w:left w:w="0" w:type="dxa"/>
          <w:bottom w:w="0" w:type="dxa"/>
          <w:right w:w="0" w:type="dxa"/>
        </w:tblCellMar>
      </w:tblPr>
      <w:tblGrid>
        <w:gridCol w:w="271"/>
        <w:gridCol w:w="4816"/>
      </w:tblGrid>
      <w:tr>
        <w:trPr/>
        <w:tc>
          <w:tcPr>
            <w:tcW w:w="271" w:type="dxa"/>
            <w:tcBorders/>
            <w:vAlign w:val="center"/>
          </w:tcPr>
          <w:p>
            <w:pPr>
              <w:pStyle w:val="TableContents"/>
              <w:bidi w:val="0"/>
              <w:spacing w:before="0" w:after="283"/>
              <w:jc w:val="left"/>
              <w:rPr/>
            </w:pPr>
            <w:r>
              <w:rPr/>
              <w:t>●</w:t>
            </w:r>
          </w:p>
        </w:tc>
        <w:tc>
          <w:tcPr>
            <w:tcW w:w="481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STA” are to the State Taxation Administration of China;</w:t>
            </w:r>
          </w:p>
        </w:tc>
      </w:tr>
    </w:tbl>
    <w:tbl>
      <w:tblPr>
        <w:tblW w:w="4487" w:type="dxa"/>
        <w:jc w:val="left"/>
        <w:tblInd w:w="0" w:type="dxa"/>
        <w:tblLayout w:type="fixed"/>
        <w:tblCellMar>
          <w:top w:w="0" w:type="dxa"/>
          <w:left w:w="0" w:type="dxa"/>
          <w:bottom w:w="0" w:type="dxa"/>
          <w:right w:w="0" w:type="dxa"/>
        </w:tblCellMar>
      </w:tblPr>
      <w:tblGrid>
        <w:gridCol w:w="271"/>
        <w:gridCol w:w="4216"/>
      </w:tblGrid>
      <w:tr>
        <w:trPr/>
        <w:tc>
          <w:tcPr>
            <w:tcW w:w="271" w:type="dxa"/>
            <w:tcBorders/>
            <w:vAlign w:val="center"/>
          </w:tcPr>
          <w:p>
            <w:pPr>
              <w:pStyle w:val="TableContents"/>
              <w:bidi w:val="0"/>
              <w:spacing w:before="0" w:after="283"/>
              <w:jc w:val="left"/>
              <w:rPr/>
            </w:pPr>
            <w:r>
              <w:rPr/>
              <w:t>●</w:t>
            </w:r>
          </w:p>
        </w:tc>
        <w:tc>
          <w:tcPr>
            <w:tcW w:w="421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State Council” are to the State Council of China;</w:t>
            </w:r>
          </w:p>
        </w:tc>
      </w:tr>
    </w:tbl>
    <w:tbl>
      <w:tblPr>
        <w:tblW w:w="6977" w:type="dxa"/>
        <w:jc w:val="left"/>
        <w:tblInd w:w="0" w:type="dxa"/>
        <w:tblLayout w:type="fixed"/>
        <w:tblCellMar>
          <w:top w:w="0" w:type="dxa"/>
          <w:left w:w="0" w:type="dxa"/>
          <w:bottom w:w="0" w:type="dxa"/>
          <w:right w:w="0" w:type="dxa"/>
        </w:tblCellMar>
      </w:tblPr>
      <w:tblGrid>
        <w:gridCol w:w="271"/>
        <w:gridCol w:w="6706"/>
      </w:tblGrid>
      <w:tr>
        <w:trPr/>
        <w:tc>
          <w:tcPr>
            <w:tcW w:w="271" w:type="dxa"/>
            <w:tcBorders/>
            <w:vAlign w:val="center"/>
          </w:tcPr>
          <w:p>
            <w:pPr>
              <w:pStyle w:val="TableContents"/>
              <w:bidi w:val="0"/>
              <w:spacing w:before="0" w:after="283"/>
              <w:jc w:val="left"/>
              <w:rPr/>
            </w:pPr>
            <w:r>
              <w:rPr/>
              <w:t>●</w:t>
            </w:r>
          </w:p>
        </w:tc>
        <w:tc>
          <w:tcPr>
            <w:tcW w:w="670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US$,” “dollars” and “U.S. dollars” are to the legal currency of the United States;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U.S. Exchange Act” or “Exchange Act” are to the United States Securities Exchange Act of 1934, as amended, and the rules and regulations promulgated thereunder;</w:t>
            </w:r>
          </w:p>
        </w:tc>
      </w:tr>
    </w:tbl>
    <w:tbl>
      <w:tblPr>
        <w:tblW w:w="7082" w:type="dxa"/>
        <w:jc w:val="left"/>
        <w:tblInd w:w="0" w:type="dxa"/>
        <w:tblLayout w:type="fixed"/>
        <w:tblCellMar>
          <w:top w:w="0" w:type="dxa"/>
          <w:left w:w="0" w:type="dxa"/>
          <w:bottom w:w="0" w:type="dxa"/>
          <w:right w:w="0" w:type="dxa"/>
        </w:tblCellMar>
      </w:tblPr>
      <w:tblGrid>
        <w:gridCol w:w="271"/>
        <w:gridCol w:w="6811"/>
      </w:tblGrid>
      <w:tr>
        <w:trPr/>
        <w:tc>
          <w:tcPr>
            <w:tcW w:w="271" w:type="dxa"/>
            <w:tcBorders/>
            <w:vAlign w:val="center"/>
          </w:tcPr>
          <w:p>
            <w:pPr>
              <w:pStyle w:val="TableContents"/>
              <w:bidi w:val="0"/>
              <w:spacing w:before="0" w:after="283"/>
              <w:jc w:val="left"/>
              <w:rPr/>
            </w:pPr>
            <w:r>
              <w:rPr/>
              <w:t>●</w:t>
            </w:r>
          </w:p>
        </w:tc>
        <w:tc>
          <w:tcPr>
            <w:tcW w:w="6811"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U.S. GAAP” are to accounting principles generally accepted in the United States;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we,” “us,” “our,” “NetEase” or “NetEase group” are to NetEase, Inc., its subsidiaries, and, in the context of describing our operations and consolidated financial information, the VIEs in China mainland, including, but not limited to, Guangzhou NetEase, Hangzhou Leihuo, Youdao Computer and Hangzhou Yuedu; all of the VIEs are domestic companies incorporated in China mainland in which we do not have any equity ownership but whose financial results have been consolidated into our consolidated financial statements based solely on contractual arrangements in accordance with U.S. GAAP. See Item 4.B. “Information on the Company—Business Overview—Our Organizational Structure” for an illustrative diagram of our corporate structure;</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Youdao” are to Youdao, Inc., a company incorporated under Cayman Islands laws, and listed on The New York Stock Exchange under the symbol “DAO” in October 2019 and a majority-controlled subsidiary of our company;</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Youdao Computer” are to Beijing NetEase Youdao Computer System Co., Ltd., a company established under PRC laws; and</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Youdao Information” are to NetEase Youdao Information Technology (Beijing) Co., Ltd., a company established under PRC laws.</w:t>
            </w:r>
          </w:p>
        </w:tc>
      </w:tr>
    </w:tbl>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Trademarks and Service Marks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own or have been licensed the rights to trademarks, service marks and trade names for use in connection with the operation of our business. All other trademarks, service marks or trade names appearing in this annual report that are not identified as marks owned by us are the property of their respective owners.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Solely for convenience, some trademarks, service marks and trade names referred to in this annual report are listed without the ®, (TM) and (sm) symbols, but we will assert, to the fullest extent under applicable law, our applicable rights in these trademarks, service marks and trade names.</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Forward-Looking Information</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This annual report on Form 20-F contains statements of a forward-looking nature. These statements are made under the “safe harbor” provisions of the U.S. Private Securities Litigation Reform Act of 1995. You can identify these forward-looking statements by terminology such as “will,” “expects,” “anticipates,” “future,” “intends,” “plans,” “believes,” “estimates” and similar expressions. The accuracy of these statements may be impacted by a number of business risks and uncertainties that could cause actual results to differ materially from those projected or anticipated, including:</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the online game market, including mobile games and PC games, will not continue to grow or that we will not be able to maintain our leading position in that market, which could occur if, for example, our new online games or expansion packs and other improvements to such existing games do not become as popular as management anticipates;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we will not be successful in our product diversification efforts, including the expansion of our mobile and other games into overseas markets, our entry into strategic licensing arrangements and the expansion of our streaming music offerings and online education services;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of changes in Chinese government regulation of the online game, online education, online music, live streaming, e-commerce or online advertising markets that limit future growth of our revenues or cause our revenues to decline;</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we may not be able to continuously develop new and creative online services or that we will not be able to set, or follow in a timely manner, trends in the market;</w:t>
            </w:r>
          </w:p>
        </w:tc>
      </w:tr>
    </w:tbl>
    <w:tbl>
      <w:tblPr>
        <w:tblW w:w="6332" w:type="dxa"/>
        <w:jc w:val="left"/>
        <w:tblInd w:w="0" w:type="dxa"/>
        <w:tblLayout w:type="fixed"/>
        <w:tblCellMar>
          <w:top w:w="0" w:type="dxa"/>
          <w:left w:w="0" w:type="dxa"/>
          <w:bottom w:w="0" w:type="dxa"/>
          <w:right w:w="0" w:type="dxa"/>
        </w:tblCellMar>
      </w:tblPr>
      <w:tblGrid>
        <w:gridCol w:w="271"/>
        <w:gridCol w:w="6061"/>
      </w:tblGrid>
      <w:tr>
        <w:trPr/>
        <w:tc>
          <w:tcPr>
            <w:tcW w:w="271" w:type="dxa"/>
            <w:tcBorders/>
            <w:vAlign w:val="center"/>
          </w:tcPr>
          <w:p>
            <w:pPr>
              <w:pStyle w:val="TableContents"/>
              <w:bidi w:val="0"/>
              <w:spacing w:before="0" w:after="283"/>
              <w:jc w:val="left"/>
              <w:rPr/>
            </w:pPr>
            <w:r>
              <w:rPr/>
              <w:t>●</w:t>
            </w:r>
          </w:p>
        </w:tc>
        <w:tc>
          <w:tcPr>
            <w:tcW w:w="6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we will not be able to control our expenses in future periods;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risks related to governmental uncertainties (including possible changes in the effective tax rates applicable to us and our subsidiaries and affiliates and our ability to receive and maintain approvals of the preferential tax treatments), general competition and price pressures in the marketplace;</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risks related to economic uncertainty and capital market disruption, which are significantly impacted by rising inflation and geopolitical instability;</w:t>
            </w:r>
          </w:p>
        </w:tc>
      </w:tr>
    </w:tbl>
    <w:tbl>
      <w:tblPr>
        <w:tblW w:w="7082" w:type="dxa"/>
        <w:jc w:val="left"/>
        <w:tblInd w:w="0" w:type="dxa"/>
        <w:tblLayout w:type="fixed"/>
        <w:tblCellMar>
          <w:top w:w="0" w:type="dxa"/>
          <w:left w:w="0" w:type="dxa"/>
          <w:bottom w:w="0" w:type="dxa"/>
          <w:right w:w="0" w:type="dxa"/>
        </w:tblCellMar>
      </w:tblPr>
      <w:tblGrid>
        <w:gridCol w:w="271"/>
        <w:gridCol w:w="6811"/>
      </w:tblGrid>
      <w:tr>
        <w:trPr/>
        <w:tc>
          <w:tcPr>
            <w:tcW w:w="271" w:type="dxa"/>
            <w:tcBorders/>
            <w:vAlign w:val="center"/>
          </w:tcPr>
          <w:p>
            <w:pPr>
              <w:pStyle w:val="TableContents"/>
              <w:bidi w:val="0"/>
              <w:spacing w:before="0" w:after="283"/>
              <w:jc w:val="left"/>
              <w:rPr/>
            </w:pPr>
            <w:r>
              <w:rPr/>
              <w:t>●</w:t>
            </w:r>
          </w:p>
        </w:tc>
        <w:tc>
          <w:tcPr>
            <w:tcW w:w="68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risks related to the expansion of our businesses and operations internationally;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fluctuations in the value of the Renminbi with respect to other currencies could adversely affect our business and financial results; and</w:t>
            </w:r>
          </w:p>
        </w:tc>
      </w:tr>
    </w:tbl>
    <w:tbl>
      <w:tblPr>
        <w:tblW w:w="4247" w:type="dxa"/>
        <w:jc w:val="left"/>
        <w:tblInd w:w="0" w:type="dxa"/>
        <w:tblLayout w:type="fixed"/>
        <w:tblCellMar>
          <w:top w:w="0" w:type="dxa"/>
          <w:left w:w="0" w:type="dxa"/>
          <w:bottom w:w="0" w:type="dxa"/>
          <w:right w:w="0" w:type="dxa"/>
        </w:tblCellMar>
      </w:tblPr>
      <w:tblGrid>
        <w:gridCol w:w="271"/>
        <w:gridCol w:w="3976"/>
      </w:tblGrid>
      <w:tr>
        <w:trPr/>
        <w:tc>
          <w:tcPr>
            <w:tcW w:w="271" w:type="dxa"/>
            <w:tcBorders/>
            <w:vAlign w:val="center"/>
          </w:tcPr>
          <w:p>
            <w:pPr>
              <w:pStyle w:val="TableContents"/>
              <w:bidi w:val="0"/>
              <w:spacing w:before="0" w:after="283"/>
              <w:jc w:val="left"/>
              <w:rPr/>
            </w:pPr>
            <w:r>
              <w:rPr/>
              <w:t>●</w:t>
            </w:r>
          </w:p>
        </w:tc>
        <w:tc>
          <w:tcPr>
            <w:tcW w:w="39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risks outlined in our filings with the SEC.</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do not undertake any obligation to update this forward-looking information, except as required under applicable law.</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63" w:name="PARTI_501792"/>
      <w:bookmarkStart w:id="64" w:name="_b717f8a9_038e_4dc5_b8b6_d89a61f1a6a7"/>
      <w:bookmarkEnd w:id="63"/>
      <w:bookmarkEnd w:id="64"/>
      <w:r>
        <w:rPr>
          <w:rFonts w:ascii="Times New Roman;Times;serif" w:hAnsi="Times New Roman;Times;serif"/>
          <w:b/>
          <w:sz w:val="20"/>
        </w:rPr>
        <w:t>PART I.</w:t>
      </w:r>
    </w:p>
    <w:p>
      <w:pPr>
        <w:pStyle w:val="TextBody"/>
        <w:bidi w:val="0"/>
        <w:spacing w:before="0" w:after="240"/>
        <w:ind w:left="0" w:right="0" w:hanging="0"/>
        <w:jc w:val="left"/>
        <w:rPr>
          <w:rFonts w:ascii="Times New Roman;Times;serif" w:hAnsi="Times New Roman;Times;serif"/>
          <w:b/>
          <w:sz w:val="20"/>
        </w:rPr>
      </w:pPr>
      <w:bookmarkStart w:id="65" w:name="Item1IdentityofDirectorsSeniorManagement"/>
      <w:bookmarkEnd w:id="65"/>
      <w:r>
        <w:rPr>
          <w:rFonts w:ascii="Times New Roman;Times;serif" w:hAnsi="Times New Roman;Times;serif"/>
          <w:b/>
          <w:sz w:val="20"/>
        </w:rPr>
        <w:t>Item 1.   Identity of Directors, Senior Management and Advisors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66" w:name="Item2OfferStatisticsandExpectedTimetable"/>
      <w:bookmarkStart w:id="67" w:name="_c28c8e8a_1c67_4a3f_ac84_69615113f0aa"/>
      <w:bookmarkEnd w:id="66"/>
      <w:bookmarkEnd w:id="67"/>
      <w:r>
        <w:rPr>
          <w:rFonts w:ascii="Times New Roman;Times;serif" w:hAnsi="Times New Roman;Times;serif"/>
          <w:b/>
          <w:sz w:val="20"/>
        </w:rPr>
        <w:t>Item 2.   Offer Statistics and Expected Timetable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b/>
          <w:sz w:val="20"/>
        </w:rPr>
      </w:pPr>
      <w:bookmarkStart w:id="68" w:name="Item3KeyInformation_2356"/>
      <w:bookmarkStart w:id="69" w:name="_49a6f13f_f2fe_456a_a15c_176c8634adc3"/>
      <w:bookmarkEnd w:id="68"/>
      <w:bookmarkEnd w:id="69"/>
      <w:r>
        <w:rPr>
          <w:rFonts w:ascii="Times New Roman;Times;serif" w:hAnsi="Times New Roman;Times;serif"/>
          <w:b/>
          <w:sz w:val="20"/>
        </w:rPr>
        <w:t>Item 3.   Key Information</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Our Corporate Structure and Contractual Arrangements with the Variable Interest Entities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NetEase, Inc. is not a PRC operating company but a Cayman Islands holding company with operations primarily conducted through (i) our subsidiaries incorporated in China mainland, or China mainland subsidiaries, and (ii) contractual arrangements with the VIEs based in China mainland. Our online games, music streaming, online intelligent learning services and internet content services businesses in China mainland have been conducted through the applicable VIEs in order to comply with the laws and regulations of China mainland, which restrict and impose conditions on foreign direct investment in companies involved in the provision of such businesses. Accordingly, we operate these businesses in China mainland through the VIEs, and rely on contractual arrangements among NetEase, Inc., our China mainland subsidiaries, the VIEs and their nominee shareholders to control the business operations of the VIEs. In 2021, 2022 and 2023, the amount of revenues generated by the VIEs accounted for 85.9% and 86.4% and 87.7%, respectively, of our total net revenues. Total assets of the VIEs, excluding amounts due from other companies in the NetEase group, represented 7.1% of our consolidated total assets as of December 31, 2022 and 2023. As used in this annual report, “our company” refers to NetEase, Inc., whereas “we,” “us,” “our,” “NetEase” or “NetEase group” refers to NetEase, Inc., its subsidiaries, and, in the context of describing our operations and consolidated financial information, the VIEs in China mainland. All of the VIEs are domestic companies incorporated in China mainland in which we do not have any equity ownership, but their financial results have been consolidated into our consolidated financial statements based solely on contractual arrangements in accordance with U.S. GAAP. Investors in our ADSs or ordinary shares are not purchasing equity interests in the VIEs in China mainland but instead are purchasing equity interests in a holding company incorporated in the Cayman Islands. </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Our subsidiaries, the VIEs and their nominee shareholders have entered into a series of contractual agreements. These contractual arrangements: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enable us to receive the economic benefits that could potentially be significant to the VIEs in consideration for the services provided by our subsidiaries; and</w:t>
            </w:r>
          </w:p>
        </w:tc>
      </w:tr>
    </w:tbl>
    <w:tbl>
      <w:tblPr>
        <w:tblW w:w="9771" w:type="dxa"/>
        <w:jc w:val="left"/>
        <w:tblInd w:w="0" w:type="dxa"/>
        <w:tblLayout w:type="fixed"/>
        <w:tblCellMar>
          <w:top w:w="28" w:type="dxa"/>
          <w:left w:w="28" w:type="dxa"/>
          <w:bottom w:w="28" w:type="dxa"/>
          <w:right w:w="28" w:type="dxa"/>
        </w:tblCellMar>
      </w:tblPr>
      <w:tblGrid>
        <w:gridCol w:w="124"/>
        <w:gridCol w:w="256"/>
        <w:gridCol w:w="93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effectively assigned all of the voting rights underlying the nominee shareholders’ equity interest in the VIEs to us.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These contractual arrangements among NetEase, Inc., our subsidiaries, the VIEs and their nominee shareholders generally include shareholder voting rights trust agreements, loan agreements, operating agreements or cooperation agreements, license agreements and purchase and equity pledge agreements. For additional information on these contractual arrangements, see Item 7.B. “Major Shareholders and Related Party Transactions—Related Party Transactions—Material VIE Agreements.” As a result of the contractual arrangements, the shareholders of the VIEs effectively assigned all of their voting rights underlying their equity interests in the VIEs to the primary beneficiaries of these companies, which gives our company or its subsidiaries the power to direct the activities that most significantly impact the VIEs’ economic performance. However, the contractual arrangements may not be as effective as direct ownership in providing us with control over the VIEs, and we may incur substantial costs to enforce the terms of the arrangements. If the VIEs or the nominee shareholders fail to perform their respective obligations under the contractual arrangements, we could be limited in our ability to enforce the contractual arrangements that effectively assigned us the voting rights in the VIEs. As of the date of the filing of this annual report, to the best knowledge of NetEase, our directors and management, the contractual arrangements with the VIEs have not been tested in a court of law in China mainland. Furthermore, if we are unable to maintain such effective assignment, we would not be able to continue to consolidate the financial results of these entities in our financial statements. See Item 3.D. “Key Information—Risk Factors—Risks Related to Our Corporate Structure.”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are also substantial uncertainties regarding the interpretation and application of current and future laws, regulations and rules of China mainland regarding the status of the rights of our Cayman Islands holding company with respect to its contractual arrangements with the VIEs and their nominee shareholders. It is uncertain whether any new laws or regulations of China mainland relating to variable interest entity structures will be adopted or if adopted, what they would provide. If we or any of the VIEs are found to be in violation of any existing or future laws or regulations of China mainland, or fail to obtain or maintain any of the required permits or approvals, the relevant PRC regulatory authorities would have broad discretion in accordance with the applicable laws and regulations to take action in dealing with such violations or failures. See Item 3.D. “Key Information—Risk Factors—Risks Related to Our Corporate Structure—There are substantial uncertainties regarding the interpretation and application of current and future PRC laws, regulations, and rules relating to the agreements that establish the VIE structure for our operations in China, including potential future actions by the PRC government, which could affect the enforceability of our contractual arrangements with the VIEs and, consequently, significantly affect the financial condition and results of operations of NetEase. If the PRC government finds such agreements non-compliant with relevant PRC laws, regulations, and rules, or if these laws, regulations, and rules or the interpretation thereof change in the future, we could be subject to severe penalties or be forced to relinquish our interests in the VIEs.”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Although the Foreign Investment Law of the PRC does not explicitly classify contractual arrangements as a form of foreign investment, the definition of “foreign investment” thereunder is relatively wide and contains a catch-all provision which includes investments made by foreign investors through means stipulated in laws or administrative regulations or other methods prescribed by the State Council. Therefore, there is no assurance that foreign investment via contractual arrangement would not be interpreted as a type of indirect foreign investment activity in the future. If any of the VIEs were deemed a foreign invested enterprise under any such future laws, administrative regulations or provisions and any of our businesses would be included in any negative list or other form of restrictions on foreign investment, we may need to take further actions to comply with such future laws, administrative regulations or provisions. Such actions may have a material and adverse impact on our business, financial condition, result of operations and prospects. In addition, if the PRC regulatory authorities were to find our legal structure and contractual arrangements to be in violation of any laws, administrative regulations or provisions of China mainland, we are uncertain what impact any consequent PRC regulatory authorities’ actions would have on us and our ability to consolidate the VIEs in the consolidated financial statements. For more details, see Item 3.D. “Key Information—Risk Factors—Risks Related to Our Corporate Structure—Substantial uncertainties exist with respect to how the 2019 Foreign Investment Law may impact the viability of our current corporate structure, corporate governance and business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necessary licenses to conduct many of our businesses in China mainland, including to operate our online games, music streaming, online intelligent learning services and internet content services businesses, are held by the VIEs and, as noted above, a significant part of our revenues are generated by the VIEs. An event that results in the deconsolidation of the VIEs would have a material effect on our operations and result in the value of the securities of our company diminishing substantially or even become worthless. Our company, our China mainland subsidiaries, the VIEs and investors of our company face uncertainty about potential future actions by the PRC government that could affect the enforceability of the contractual arrangements with the VIEs and, consequently, significantly affect the financial performance of the VIEs and our company as a whole. NetEase, Inc. may not be able to repay its indebtedness and the ADSs or ordinary shares of our company may decline in value or become worthless if we are unable to assert our contractual control rights over the assets of our China mainland subsidiaries and the VIEs that conduct a major portion of our operations. For a detailed description of the risks associated with our corporate structure, please refer to risks disclosed under Item 3.D. “Key Information—Risk Factors—Risks Related to Our Corporate Structure.”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PRC government has significant authority to exert influence on the ability of a China-based company, like us, to conduct its business, accept foreign investments or be listed on a U.S. stock exchange. We also face risks associated with recent statements and regulatory actions by the PRC government, including those related to regulatory approvals of offshore securities offerings, anti-monopoly regulatory investigations and actions, cybersecurity and data privacy compliance. For example, the PRC government has recently indicated an intent to exert more oversight over overseas securities offerings and published a series of laws and regulations to regulate such transactions. If the CSRC, CAC or other PRC regulatory agencies determine that prior approval is required for any of our offerings of securities overseas or maintenance of the trading status of our ADSs or ordinary shares, we cannot guarantee that we will be able to obtain such approval in a timely manner, or at all. The CSRC, CAC or other PRC regulatory agencies may also take actions requiring us, or making it advisable for us, not to proceed with such offerings or maintain the trading status of our ADSs or ordinary shares. If we proceed with any of such offering or maintain the trading status of our ADSs or ordinary shares without obtaining the CSRC’s, CAC’s or other PRC regulatory agencies’ approval to the extent it is required, or if we are unable to comply with any new approval requirements which might be adopted for offerings that we have completed, we may face regulatory actions or other sanctions from the CSRC, CAC or other PRC regulatory agencies. These regulatory agencies may impose fines and penalties on our operations in China, limit our ability to pay dividends outside of China or accept foreign investments, delay or restrict the repatriation of the proceeds from offering of securities overseas into China or take other actions that could have a material adverse effect on our business, financial condition, results of operations and prospects, as well as the trading price of our ordinary shares or ADSs.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PRC government may also intervene with or influence our operations as it deems appropriate to further regulatory, political and societal goals. The PRC government has recently published new policies that affect various industries, including industries in which we operate, and we cannot rule out the possibility that it will in the future release regulations or policies regarding our industry that could adversely affect our business, financial condition and results of operations. Any such action, once taken by the PRC government, could cause the value of our securities to significantly decline or become worthless.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For more information on the permissions required from the PRC authorities for our operations and offerings, please also see Item 4.B. “Information on the Company—Business Overview—Permissions Required from the PRC Authorities for Our Operations and Offerings.”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information on transfers of funds within the NetEase group, certain financial information of NetEase, Inc., its subsidiaries and the VIEs and the restrictions on foreign exchange and the ability to transfer cash between entities, across borders and to U.S. investors, see Item 5.B. “Operating and Financial Review and Prospects—Liquidity and Capital Resources—Transfer of Funds” and “Operating and Financial Review and Prospects—Liquidity and Capital Resources—Management of Capital Resources,” Item 10.E. “Additional Information—Taxation” and Item 10.D. “Additional Information—Exchange Controls.”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The Holding Foreign Companies Accountable Act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HFCAA, if the SEC determines that we have filed audit reports issued by a registered public accounting firm that has not been subject to inspections by the PCAOB for two consecutive years, the SEC will prohibit our shares or the ADSs from being traded on a national securities exchange or in the over-the-counter trading market in the United States. On December 16, 2021, the PCAOB issued a report to notify the SEC of its determination that the PCAOB was unable to inspect or investigate completely registered public accounting firms headquartered in China mainland and Hong Kong, including our auditor. In May 2022, the SEC conclusively listed us as a Commission-Identified Issuer under the HFCAA following the filing of our annual report on Form 20-F for the fiscal year ended December 31, 2021. On December 15, 2022, the PCAOB issued a report that vacated its December 16, 2021 determination and removed China mainland and Hong Kong from the list of jurisdictions where it is unable to inspect or investigate completely registered public accounting firms. For this reason, we were not identified as a Commission-Identified Issuer under the HFCAA after we filed our annual report on Form 20-F for the fiscal year ended December 31, 2022, and do not expect to be so identified after we file this annual report on Form 20-F for the fiscal year ended December 31, 2023. Each year, the PCAOB will determine whether it can inspect and investigate completely audit firms in China mainland and Hong Kong, among other jurisdictions. If the PCAOB determines in the future that it no longer has full access to inspect and investigate completely accounting firms in China mainland and Hong Kong and we continue to use an accounting firm headquartered in one of these jurisdictions to issue an audit report on our financial statements filed with the SEC,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HFCAA. See Item 3.D. “Key Information—Risk Factors—Risks related to Our ADSs and Shares—The PCAOB had historically been unable to inspect our auditor in relation to their audit work performed for our financial statements and the inability of the PCAOB to conduct inspections of our auditor in the past has deprived our investors with the benefits of such inspections.” and Item 3.D. “Key Information—Risk Factors—Risks related to Our ADSs and Shares—Our ADSs may be prohibited from trading in the United States under the HFCAA in the future if the PCAOB is unable to inspect or fully investigate auditors located in China. The delisting of our ADSs, or the threat of their being delisted, may materially and adversely affect the value of your investment.”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               [Reserved]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B.               Capitalization and Indebtedness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               Reasons for the Offer and Use of Proceeds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D.               Risk Factors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Summary of Risk Factors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An investment in our ADSs or ordinary shares involves significant risks. Below is a summary of material risks we face, organized under relevant headings. All the operational risks associated with being based in and having operations in China mainland also apply to operations in Hong Kong. With respect to the legal risks associated with being based in and having operations in China mainland, the laws, regulations and the discretion of China mainland governmental authorities discussed in this annual report are expected to apply to China mainland entities and businesses, rather than entities or businesses in Hong Kong, which operate under a different set of laws from China mainland. These risks are discussed more fully in Item 3.D. “Key Information—Risk Factors.”</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Our Business and Industry</w:t>
      </w:r>
    </w:p>
    <w:tbl>
      <w:tblPr>
        <w:tblW w:w="5676" w:type="dxa"/>
        <w:jc w:val="left"/>
        <w:tblInd w:w="0" w:type="dxa"/>
        <w:tblLayout w:type="fixed"/>
        <w:tblCellMar>
          <w:top w:w="28" w:type="dxa"/>
          <w:left w:w="28" w:type="dxa"/>
          <w:bottom w:w="28" w:type="dxa"/>
          <w:right w:w="28" w:type="dxa"/>
        </w:tblCellMar>
      </w:tblPr>
      <w:tblGrid>
        <w:gridCol w:w="124"/>
        <w:gridCol w:w="256"/>
        <w:gridCol w:w="52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Our Games and Related Value-added Services;</w:t>
            </w:r>
          </w:p>
        </w:tc>
      </w:tr>
    </w:tbl>
    <w:tbl>
      <w:tblPr>
        <w:tblW w:w="8706" w:type="dxa"/>
        <w:jc w:val="left"/>
        <w:tblInd w:w="0" w:type="dxa"/>
        <w:tblLayout w:type="fixed"/>
        <w:tblCellMar>
          <w:top w:w="28" w:type="dxa"/>
          <w:left w:w="28" w:type="dxa"/>
          <w:bottom w:w="28" w:type="dxa"/>
          <w:right w:w="28" w:type="dxa"/>
        </w:tblCellMar>
      </w:tblPr>
      <w:tblGrid>
        <w:gridCol w:w="124"/>
        <w:gridCol w:w="256"/>
        <w:gridCol w:w="83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developing new online games and growing the popularity of existing online games;</w:t>
            </w:r>
          </w:p>
        </w:tc>
      </w:tr>
    </w:tbl>
    <w:tbl>
      <w:tblPr>
        <w:tblW w:w="9816" w:type="dxa"/>
        <w:jc w:val="left"/>
        <w:tblInd w:w="0" w:type="dxa"/>
        <w:tblLayout w:type="fixed"/>
        <w:tblCellMar>
          <w:top w:w="28" w:type="dxa"/>
          <w:left w:w="28" w:type="dxa"/>
          <w:bottom w:w="28" w:type="dxa"/>
          <w:right w:w="28" w:type="dxa"/>
        </w:tblCellMar>
      </w:tblPr>
      <w:tblGrid>
        <w:gridCol w:w="124"/>
        <w:gridCol w:w="256"/>
        <w:gridCol w:w="9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claims regarding our gaming contents resulting in negative publicity or a governmental response;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406" w:type="dxa"/>
        <w:jc w:val="left"/>
        <w:tblInd w:w="0" w:type="dxa"/>
        <w:tblLayout w:type="fixed"/>
        <w:tblCellMar>
          <w:top w:w="28" w:type="dxa"/>
          <w:left w:w="28" w:type="dxa"/>
          <w:bottom w:w="28" w:type="dxa"/>
          <w:right w:w="28" w:type="dxa"/>
        </w:tblCellMar>
      </w:tblPr>
      <w:tblGrid>
        <w:gridCol w:w="124"/>
        <w:gridCol w:w="256"/>
        <w:gridCol w:w="80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additional restrictions to limit online game playing by the Chinese government;</w:t>
            </w:r>
          </w:p>
        </w:tc>
      </w:tr>
    </w:tbl>
    <w:tbl>
      <w:tblPr>
        <w:tblW w:w="6036" w:type="dxa"/>
        <w:jc w:val="left"/>
        <w:tblInd w:w="0" w:type="dxa"/>
        <w:tblLayout w:type="fixed"/>
        <w:tblCellMar>
          <w:top w:w="28" w:type="dxa"/>
          <w:left w:w="28" w:type="dxa"/>
          <w:bottom w:w="28" w:type="dxa"/>
          <w:right w:w="28" w:type="dxa"/>
        </w:tblCellMar>
      </w:tblPr>
      <w:tblGrid>
        <w:gridCol w:w="124"/>
        <w:gridCol w:w="256"/>
        <w:gridCol w:w="56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uncertainties in obtaining approval for new games;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laws, regulations policies and guidelines applicable to the live streaming and online entertainment industries;</w:t>
            </w:r>
          </w:p>
        </w:tc>
      </w:tr>
    </w:tbl>
    <w:tbl>
      <w:tblPr>
        <w:tblW w:w="5571" w:type="dxa"/>
        <w:jc w:val="left"/>
        <w:tblInd w:w="0" w:type="dxa"/>
        <w:tblLayout w:type="fixed"/>
        <w:tblCellMar>
          <w:top w:w="28" w:type="dxa"/>
          <w:left w:w="28" w:type="dxa"/>
          <w:bottom w:w="28" w:type="dxa"/>
          <w:right w:w="28" w:type="dxa"/>
        </w:tblCellMar>
      </w:tblPr>
      <w:tblGrid>
        <w:gridCol w:w="124"/>
        <w:gridCol w:w="256"/>
        <w:gridCol w:w="5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international operations of our online games;</w:t>
            </w:r>
          </w:p>
        </w:tc>
      </w:tr>
    </w:tbl>
    <w:tbl>
      <w:tblPr>
        <w:tblW w:w="8091" w:type="dxa"/>
        <w:jc w:val="left"/>
        <w:tblInd w:w="0" w:type="dxa"/>
        <w:tblLayout w:type="fixed"/>
        <w:tblCellMar>
          <w:top w:w="28" w:type="dxa"/>
          <w:left w:w="28" w:type="dxa"/>
          <w:bottom w:w="28" w:type="dxa"/>
          <w:right w:w="28" w:type="dxa"/>
        </w:tblCellMar>
      </w:tblPr>
      <w:tblGrid>
        <w:gridCol w:w="124"/>
        <w:gridCol w:w="256"/>
        <w:gridCol w:w="77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third-party platforms that distribute our mobile games and collect payments;</w:t>
            </w:r>
          </w:p>
        </w:tc>
      </w:tr>
    </w:tbl>
    <w:tbl>
      <w:tblPr>
        <w:tblW w:w="7281" w:type="dxa"/>
        <w:jc w:val="left"/>
        <w:tblInd w:w="0" w:type="dxa"/>
        <w:tblLayout w:type="fixed"/>
        <w:tblCellMar>
          <w:top w:w="28" w:type="dxa"/>
          <w:left w:w="28" w:type="dxa"/>
          <w:bottom w:w="28" w:type="dxa"/>
          <w:right w:w="28" w:type="dxa"/>
        </w:tblCellMar>
      </w:tblPr>
      <w:tblGrid>
        <w:gridCol w:w="124"/>
        <w:gridCol w:w="256"/>
        <w:gridCol w:w="69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maintaining our existing licenses of game or intellectual property;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illegal game servers, acts of cheating by players and sales and purchases by players of our game accounts and virtual items through third-party auction websites;</w:t>
            </w:r>
          </w:p>
        </w:tc>
      </w:tr>
    </w:tbl>
    <w:tbl>
      <w:tblPr>
        <w:tblW w:w="3696" w:type="dxa"/>
        <w:jc w:val="left"/>
        <w:tblInd w:w="0" w:type="dxa"/>
        <w:tblLayout w:type="fixed"/>
        <w:tblCellMar>
          <w:top w:w="28" w:type="dxa"/>
          <w:left w:w="28" w:type="dxa"/>
          <w:bottom w:w="28" w:type="dxa"/>
          <w:right w:w="28" w:type="dxa"/>
        </w:tblCellMar>
      </w:tblPr>
      <w:tblGrid>
        <w:gridCol w:w="124"/>
        <w:gridCol w:w="256"/>
        <w:gridCol w:w="3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Our Other Businesses;</w:t>
            </w:r>
          </w:p>
        </w:tc>
      </w:tr>
    </w:tbl>
    <w:tbl>
      <w:tblPr>
        <w:tblW w:w="6321" w:type="dxa"/>
        <w:jc w:val="left"/>
        <w:tblInd w:w="0" w:type="dxa"/>
        <w:tblLayout w:type="fixed"/>
        <w:tblCellMar>
          <w:top w:w="28" w:type="dxa"/>
          <w:left w:w="28" w:type="dxa"/>
          <w:bottom w:w="28" w:type="dxa"/>
          <w:right w:w="28" w:type="dxa"/>
        </w:tblCellMar>
      </w:tblPr>
      <w:tblGrid>
        <w:gridCol w:w="124"/>
        <w:gridCol w:w="256"/>
        <w:gridCol w:w="59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changes in Youdao’s business strategies and offerings;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Youdao business’s compliance with the Opinions on Further Alleviating the Burden of Homework and After-School Tutoring for Students in Compulsory Education and the implementation measures;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changes in user acceptance of Youdao, and market trend of integration of technology and learning, and the development and application of Youdao’s technologies to support and expand its product and services;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obtaining legal and regulatory approvals, licenses or permits of our intelligent learning, music streaming, e-commerce, advertising and other innovative businesses;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obtaining licenses for the music content necessary to provide our music streaming services, and our ability to attract and retain users;</w:t>
            </w:r>
          </w:p>
        </w:tc>
      </w:tr>
    </w:tbl>
    <w:tbl>
      <w:tblPr>
        <w:tblW w:w="6786" w:type="dxa"/>
        <w:jc w:val="left"/>
        <w:tblInd w:w="0" w:type="dxa"/>
        <w:tblLayout w:type="fixed"/>
        <w:tblCellMar>
          <w:top w:w="28" w:type="dxa"/>
          <w:left w:w="28" w:type="dxa"/>
          <w:bottom w:w="28" w:type="dxa"/>
          <w:right w:w="28" w:type="dxa"/>
        </w:tblCellMar>
      </w:tblPr>
      <w:tblGrid>
        <w:gridCol w:w="124"/>
        <w:gridCol w:w="256"/>
        <w:gridCol w:w="64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generating and maintaining significant advertising revenue;</w:t>
            </w:r>
          </w:p>
        </w:tc>
      </w:tr>
    </w:tbl>
    <w:tbl>
      <w:tblPr>
        <w:tblW w:w="4716" w:type="dxa"/>
        <w:jc w:val="left"/>
        <w:tblInd w:w="0" w:type="dxa"/>
        <w:tblLayout w:type="fixed"/>
        <w:tblCellMar>
          <w:top w:w="28" w:type="dxa"/>
          <w:left w:w="28" w:type="dxa"/>
          <w:bottom w:w="28" w:type="dxa"/>
          <w:right w:w="28" w:type="dxa"/>
        </w:tblCellMar>
      </w:tblPr>
      <w:tblGrid>
        <w:gridCol w:w="124"/>
        <w:gridCol w:w="256"/>
        <w:gridCol w:w="43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growing our e-commerce business;</w:t>
            </w:r>
          </w:p>
        </w:tc>
      </w:tr>
    </w:tbl>
    <w:tbl>
      <w:tblPr>
        <w:tblW w:w="3846" w:type="dxa"/>
        <w:jc w:val="left"/>
        <w:tblInd w:w="0" w:type="dxa"/>
        <w:tblLayout w:type="fixed"/>
        <w:tblCellMar>
          <w:top w:w="28" w:type="dxa"/>
          <w:left w:w="28" w:type="dxa"/>
          <w:bottom w:w="28" w:type="dxa"/>
          <w:right w:w="28" w:type="dxa"/>
        </w:tblCellMar>
      </w:tblPr>
      <w:tblGrid>
        <w:gridCol w:w="124"/>
        <w:gridCol w:w="256"/>
        <w:gridCol w:w="34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Our Operations Overall;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competing successfully against new entrants and established industry competitors and keeping up with rapid changes in technologies and user behavior and innovating and exploring new areas of operations;</w:t>
            </w:r>
          </w:p>
        </w:tc>
      </w:tr>
    </w:tbl>
    <w:tbl>
      <w:tblPr>
        <w:tblW w:w="8391" w:type="dxa"/>
        <w:jc w:val="left"/>
        <w:tblInd w:w="0" w:type="dxa"/>
        <w:tblLayout w:type="fixed"/>
        <w:tblCellMar>
          <w:top w:w="28" w:type="dxa"/>
          <w:left w:w="28" w:type="dxa"/>
          <w:bottom w:w="28" w:type="dxa"/>
          <w:right w:w="28" w:type="dxa"/>
        </w:tblCellMar>
      </w:tblPr>
      <w:tblGrid>
        <w:gridCol w:w="124"/>
        <w:gridCol w:w="256"/>
        <w:gridCol w:w="80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gross profit margin and profitability affected by changes in our mix of revenues;</w:t>
            </w:r>
          </w:p>
        </w:tc>
      </w:tr>
    </w:tbl>
    <w:tbl>
      <w:tblPr>
        <w:tblW w:w="5001" w:type="dxa"/>
        <w:jc w:val="left"/>
        <w:tblInd w:w="0" w:type="dxa"/>
        <w:tblLayout w:type="fixed"/>
        <w:tblCellMar>
          <w:top w:w="28" w:type="dxa"/>
          <w:left w:w="28" w:type="dxa"/>
          <w:bottom w:w="28" w:type="dxa"/>
          <w:right w:w="28" w:type="dxa"/>
        </w:tblCellMar>
      </w:tblPr>
      <w:tblGrid>
        <w:gridCol w:w="124"/>
        <w:gridCol w:w="256"/>
        <w:gridCol w:w="46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credit risk on our accounts receivable;</w:t>
            </w:r>
          </w:p>
        </w:tc>
      </w:tr>
    </w:tbl>
    <w:tbl>
      <w:tblPr>
        <w:tblW w:w="6321" w:type="dxa"/>
        <w:jc w:val="left"/>
        <w:tblInd w:w="0" w:type="dxa"/>
        <w:tblLayout w:type="fixed"/>
        <w:tblCellMar>
          <w:top w:w="28" w:type="dxa"/>
          <w:left w:w="28" w:type="dxa"/>
          <w:bottom w:w="28" w:type="dxa"/>
          <w:right w:w="28" w:type="dxa"/>
        </w:tblCellMar>
      </w:tblPr>
      <w:tblGrid>
        <w:gridCol w:w="124"/>
        <w:gridCol w:w="256"/>
        <w:gridCol w:w="59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a prolonged slowdown in the PRC or global economy;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economic uncertainty and capital market disruptions caused by rising inflation and geopolitical instability;</w:t>
            </w:r>
          </w:p>
        </w:tc>
      </w:tr>
    </w:tbl>
    <w:tbl>
      <w:tblPr>
        <w:tblW w:w="10101" w:type="dxa"/>
        <w:jc w:val="left"/>
        <w:tblInd w:w="0" w:type="dxa"/>
        <w:tblLayout w:type="fixed"/>
        <w:tblCellMar>
          <w:top w:w="28" w:type="dxa"/>
          <w:left w:w="28" w:type="dxa"/>
          <w:bottom w:w="28" w:type="dxa"/>
          <w:right w:w="28" w:type="dxa"/>
        </w:tblCellMar>
      </w:tblPr>
      <w:tblGrid>
        <w:gridCol w:w="124"/>
        <w:gridCol w:w="256"/>
        <w:gridCol w:w="97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compliance with laws and other obligations regarding data protection in China and outside of China;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breaches of our information technology systems and system failure or performance inadequacy that causes interruptions of our services;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our ability to retain our existing key employees and to add and retain senior officers to our management;</w:t>
            </w:r>
          </w:p>
        </w:tc>
      </w:tr>
    </w:tbl>
    <w:tbl>
      <w:tblPr>
        <w:tblW w:w="10146" w:type="dxa"/>
        <w:jc w:val="left"/>
        <w:tblInd w:w="0" w:type="dxa"/>
        <w:tblLayout w:type="fixed"/>
        <w:tblCellMar>
          <w:top w:w="28" w:type="dxa"/>
          <w:left w:w="28" w:type="dxa"/>
          <w:bottom w:w="28" w:type="dxa"/>
          <w:right w:w="28" w:type="dxa"/>
        </w:tblCellMar>
      </w:tblPr>
      <w:tblGrid>
        <w:gridCol w:w="124"/>
        <w:gridCol w:w="256"/>
        <w:gridCol w:w="97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natural disasters, widespread public health problems, other outbreaks and epidemics and other events;</w:t>
            </w:r>
          </w:p>
        </w:tc>
      </w:tr>
    </w:tbl>
    <w:tbl>
      <w:tblPr>
        <w:tblW w:w="7041" w:type="dxa"/>
        <w:jc w:val="left"/>
        <w:tblInd w:w="0" w:type="dxa"/>
        <w:tblLayout w:type="fixed"/>
        <w:tblCellMar>
          <w:top w:w="28" w:type="dxa"/>
          <w:left w:w="28" w:type="dxa"/>
          <w:bottom w:w="28" w:type="dxa"/>
          <w:right w:w="28" w:type="dxa"/>
        </w:tblCellMar>
      </w:tblPr>
      <w:tblGrid>
        <w:gridCol w:w="124"/>
        <w:gridCol w:w="256"/>
        <w:gridCol w:w="66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the expansion of our businesses and operations internationally;</w:t>
            </w:r>
          </w:p>
        </w:tc>
      </w:tr>
    </w:tbl>
    <w:tbl>
      <w:tblPr>
        <w:tblW w:w="8901" w:type="dxa"/>
        <w:jc w:val="left"/>
        <w:tblInd w:w="0" w:type="dxa"/>
        <w:tblLayout w:type="fixed"/>
        <w:tblCellMar>
          <w:top w:w="28" w:type="dxa"/>
          <w:left w:w="28" w:type="dxa"/>
          <w:bottom w:w="28" w:type="dxa"/>
          <w:right w:w="28" w:type="dxa"/>
        </w:tblCellMar>
      </w:tblPr>
      <w:tblGrid>
        <w:gridCol w:w="124"/>
        <w:gridCol w:w="256"/>
        <w:gridCol w:w="85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being deemed an “Investment Company” under the Investment Company Act of 1940.</w:t>
            </w:r>
          </w:p>
        </w:tc>
      </w:tr>
    </w:tbl>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Our Corporate Structure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regulatory changes relating to the contractual arrangements with the VIEs and the viability of our current corporate structure, corporate governance and business operations;</w:t>
            </w:r>
          </w:p>
        </w:tc>
      </w:tr>
    </w:tbl>
    <w:tbl>
      <w:tblPr>
        <w:tblW w:w="8286" w:type="dxa"/>
        <w:jc w:val="left"/>
        <w:tblInd w:w="0" w:type="dxa"/>
        <w:tblLayout w:type="fixed"/>
        <w:tblCellMar>
          <w:top w:w="28" w:type="dxa"/>
          <w:left w:w="28" w:type="dxa"/>
          <w:bottom w:w="28" w:type="dxa"/>
          <w:right w:w="28" w:type="dxa"/>
        </w:tblCellMar>
      </w:tblPr>
      <w:tblGrid>
        <w:gridCol w:w="124"/>
        <w:gridCol w:w="256"/>
        <w:gridCol w:w="7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maintaining operational control of the VIEs through contractual arrangements;</w:t>
            </w:r>
          </w:p>
        </w:tc>
      </w:tr>
    </w:tbl>
    <w:tbl>
      <w:tblPr>
        <w:tblW w:w="8436" w:type="dxa"/>
        <w:jc w:val="left"/>
        <w:tblInd w:w="0" w:type="dxa"/>
        <w:tblLayout w:type="fixed"/>
        <w:tblCellMar>
          <w:top w:w="28" w:type="dxa"/>
          <w:left w:w="28" w:type="dxa"/>
          <w:bottom w:w="28" w:type="dxa"/>
          <w:right w:w="28" w:type="dxa"/>
        </w:tblCellMar>
      </w:tblPr>
      <w:tblGrid>
        <w:gridCol w:w="124"/>
        <w:gridCol w:w="256"/>
        <w:gridCol w:w="80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the shareholders who have significant influence over our company and the VIEs;</w:t>
            </w:r>
          </w:p>
        </w:tc>
      </w:tr>
    </w:tbl>
    <w:tbl>
      <w:tblPr>
        <w:tblW w:w="4491" w:type="dxa"/>
        <w:jc w:val="left"/>
        <w:tblInd w:w="0" w:type="dxa"/>
        <w:tblLayout w:type="fixed"/>
        <w:tblCellMar>
          <w:top w:w="28" w:type="dxa"/>
          <w:left w:w="28" w:type="dxa"/>
          <w:bottom w:w="28" w:type="dxa"/>
          <w:right w:w="28" w:type="dxa"/>
        </w:tblCellMar>
      </w:tblPr>
      <w:tblGrid>
        <w:gridCol w:w="124"/>
        <w:gridCol w:w="256"/>
        <w:gridCol w:w="41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our arrangements with the VIEs.</w:t>
            </w:r>
          </w:p>
        </w:tc>
      </w:tr>
    </w:tbl>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Doing Business in China</w:t>
      </w:r>
    </w:p>
    <w:tbl>
      <w:tblPr>
        <w:tblW w:w="5211" w:type="dxa"/>
        <w:jc w:val="left"/>
        <w:tblInd w:w="0" w:type="dxa"/>
        <w:tblLayout w:type="fixed"/>
        <w:tblCellMar>
          <w:top w:w="28" w:type="dxa"/>
          <w:left w:w="28" w:type="dxa"/>
          <w:bottom w:w="28" w:type="dxa"/>
          <w:right w:w="28" w:type="dxa"/>
        </w:tblCellMar>
      </w:tblPr>
      <w:tblGrid>
        <w:gridCol w:w="124"/>
        <w:gridCol w:w="256"/>
        <w:gridCol w:w="48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China’s political and economic policies;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compliance with and changes in PRC laws and regulations relating to telecommunications, internet, foreign investment, tax, online games, virtual asset property rights, consumer protection and financial transactions;</w:t>
            </w:r>
          </w:p>
        </w:tc>
      </w:tr>
    </w:tbl>
    <w:tbl>
      <w:tblPr>
        <w:tblW w:w="8121" w:type="dxa"/>
        <w:jc w:val="left"/>
        <w:tblInd w:w="0" w:type="dxa"/>
        <w:tblLayout w:type="fixed"/>
        <w:tblCellMar>
          <w:top w:w="28" w:type="dxa"/>
          <w:left w:w="28" w:type="dxa"/>
          <w:bottom w:w="28" w:type="dxa"/>
          <w:right w:w="28" w:type="dxa"/>
        </w:tblCellMar>
      </w:tblPr>
      <w:tblGrid>
        <w:gridCol w:w="124"/>
        <w:gridCol w:w="256"/>
        <w:gridCol w:w="77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claims and liabilities based on the information and content on our platforms;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uncertainties with respect to the interpretation and implementation of the anti-monopoly related laws in the field of internet platforms;</w:t>
            </w:r>
          </w:p>
        </w:tc>
      </w:tr>
    </w:tbl>
    <w:tbl>
      <w:tblPr>
        <w:tblW w:w="7401" w:type="dxa"/>
        <w:jc w:val="left"/>
        <w:tblInd w:w="0" w:type="dxa"/>
        <w:tblLayout w:type="fixed"/>
        <w:tblCellMar>
          <w:top w:w="28" w:type="dxa"/>
          <w:left w:w="28" w:type="dxa"/>
          <w:bottom w:w="28" w:type="dxa"/>
          <w:right w:w="28" w:type="dxa"/>
        </w:tblCellMar>
      </w:tblPr>
      <w:tblGrid>
        <w:gridCol w:w="124"/>
        <w:gridCol w:w="256"/>
        <w:gridCol w:w="70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our ability to protect our intellectual property from being infringed;</w:t>
            </w:r>
          </w:p>
        </w:tc>
      </w:tr>
    </w:tbl>
    <w:tbl>
      <w:tblPr>
        <w:tblW w:w="3906" w:type="dxa"/>
        <w:jc w:val="left"/>
        <w:tblInd w:w="0" w:type="dxa"/>
        <w:tblLayout w:type="fixed"/>
        <w:tblCellMar>
          <w:top w:w="28" w:type="dxa"/>
          <w:left w:w="28" w:type="dxa"/>
          <w:bottom w:w="28" w:type="dxa"/>
          <w:right w:w="28" w:type="dxa"/>
        </w:tblCellMar>
      </w:tblPr>
      <w:tblGrid>
        <w:gridCol w:w="124"/>
        <w:gridCol w:w="256"/>
        <w:gridCol w:w="3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currency exchange rates.</w:t>
            </w:r>
          </w:p>
        </w:tc>
      </w:tr>
    </w:tbl>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Our ADSs and Shares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being prohibited from trading on Nasdaq under the HFCAA if the PCAOB cannot continue to inspect our independent registered public accounting firm for two consecutive years;</w:t>
            </w:r>
          </w:p>
        </w:tc>
      </w:tr>
    </w:tbl>
    <w:tbl>
      <w:tblPr>
        <w:tblW w:w="6531" w:type="dxa"/>
        <w:jc w:val="left"/>
        <w:tblInd w:w="0" w:type="dxa"/>
        <w:tblLayout w:type="fixed"/>
        <w:tblCellMar>
          <w:top w:w="28" w:type="dxa"/>
          <w:left w:w="28" w:type="dxa"/>
          <w:bottom w:w="28" w:type="dxa"/>
          <w:right w:w="28" w:type="dxa"/>
        </w:tblCellMar>
      </w:tblPr>
      <w:tblGrid>
        <w:gridCol w:w="124"/>
        <w:gridCol w:w="256"/>
        <w:gridCol w:w="6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the volatility of the trading price of our ADSs and shares;</w:t>
            </w:r>
          </w:p>
        </w:tc>
      </w:tr>
    </w:tbl>
    <w:tbl>
      <w:tblPr>
        <w:tblW w:w="6576" w:type="dxa"/>
        <w:jc w:val="left"/>
        <w:tblInd w:w="0" w:type="dxa"/>
        <w:tblLayout w:type="fixed"/>
        <w:tblCellMar>
          <w:top w:w="28" w:type="dxa"/>
          <w:left w:w="28" w:type="dxa"/>
          <w:bottom w:w="28" w:type="dxa"/>
          <w:right w:w="28" w:type="dxa"/>
        </w:tblCellMar>
      </w:tblPr>
      <w:tblGrid>
        <w:gridCol w:w="124"/>
        <w:gridCol w:w="256"/>
        <w:gridCol w:w="61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the different listing rules and regulations that apply to us;</w:t>
            </w:r>
          </w:p>
        </w:tc>
      </w:tr>
    </w:tbl>
    <w:tbl>
      <w:tblPr>
        <w:tblW w:w="7986" w:type="dxa"/>
        <w:jc w:val="left"/>
        <w:tblInd w:w="0" w:type="dxa"/>
        <w:tblLayout w:type="fixed"/>
        <w:tblCellMar>
          <w:top w:w="28" w:type="dxa"/>
          <w:left w:w="28" w:type="dxa"/>
          <w:bottom w:w="28" w:type="dxa"/>
          <w:right w:w="28" w:type="dxa"/>
        </w:tblCellMar>
      </w:tblPr>
      <w:tblGrid>
        <w:gridCol w:w="124"/>
        <w:gridCol w:w="256"/>
        <w:gridCol w:w="76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the limitation of the voting, inspection and other rights of holders of ADSs.</w:t>
            </w:r>
          </w:p>
        </w:tc>
      </w:tr>
    </w:tbl>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You should carefully consider the following risk factors in addition to the other information set forth in this annual report. If any of the following risks were actually to occur, our business, financial condition and results of operations prospects could be adversely affected and the value of our ADSs and shares would likely suffer.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RISKS RELATED TO OUR BUSINESS AND INDUSTRY</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Risks Related to Our Games and Related Value-added Services</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If we fail to develop and introduce popular, high-quality online games in a timely and successful manner, we will not be able to compete effectively and our ability to generate revenues will suffer.</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operate in a highly competitive, quickly changing environment, and player preferences for online games are difficult to predict. Our future success depends not only on the popularity of our existing online games but also on our ability to develop new high-quality online games and expand our game portfolio with games in a variety of genres that are in line with market trends and to successfully monetize such games. The development of successful new online games can be challenging and requires high levels of innovation, a deep understanding of the online game industry in China and the other markets where our games are published (including with respect to evolving business models), and an ability to anticipate and effectively respond to changing interests and preferences of game players in a timely manner. Moreover, each of our new games requires long periods of time for R&amp;D and testing, and also typically experiences a long ramp-up period as players become familiar with the game. If we are unsuccessful at developing and introducing new online games that are appealing to players with acceptable pricing and terms, our business, financial condition and results of operations will be negatively impacted because we would not be able to compete effectively and our ability to generate revenues would suffer.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addition, new technologies in online game programming or operations could render our current online titles or games in development obsolete or unattractive to our players, thereby limiting our ability to recover development costs and potentially adversely affecting our future revenues and profitability. For example, in the past, when the gaming industry was transitioning to mobile games, we began devoting significant resources to developing games that can be operated on mobile devices. As of December 31, 2023, we had commercially launched over 100 mobile games, including the </w:t>
      </w:r>
      <w:r>
        <w:rPr>
          <w:rFonts w:ascii="Times New Roman;Times;serif" w:hAnsi="Times New Roman;Times;serif"/>
          <w:i/>
          <w:sz w:val="20"/>
        </w:rPr>
        <w:t xml:space="preserve">Fantasy Westward Journey </w:t>
      </w:r>
      <w:r>
        <w:rPr>
          <w:rFonts w:ascii="Times New Roman;Times;serif" w:hAnsi="Times New Roman;Times;serif"/>
          <w:sz w:val="20"/>
        </w:rPr>
        <w:t xml:space="preserve">mobile game, </w:t>
      </w:r>
      <w:r>
        <w:rPr>
          <w:rFonts w:ascii="Times New Roman;Times;serif" w:hAnsi="Times New Roman;Times;serif"/>
          <w:i/>
          <w:sz w:val="20"/>
        </w:rPr>
        <w:t>Westward Journey Online</w:t>
      </w:r>
      <w:r>
        <w:rPr>
          <w:rFonts w:ascii="Times New Roman;Times;serif" w:hAnsi="Times New Roman;Times;serif"/>
          <w:sz w:val="20"/>
        </w:rPr>
        <w:t xml:space="preserve"> mobile game, </w:t>
      </w:r>
      <w:r>
        <w:rPr>
          <w:rFonts w:ascii="Times New Roman;Times;serif" w:hAnsi="Times New Roman;Times;serif"/>
          <w:i/>
          <w:sz w:val="20"/>
        </w:rPr>
        <w:t xml:space="preserve">Infinite Borders </w:t>
      </w:r>
      <w:r>
        <w:rPr>
          <w:rFonts w:ascii="Times New Roman;Times;serif" w:hAnsi="Times New Roman;Times;serif"/>
          <w:sz w:val="20"/>
        </w:rPr>
        <w:t xml:space="preserve">(previously known as </w:t>
      </w:r>
      <w:r>
        <w:rPr>
          <w:rFonts w:ascii="Times New Roman;Times;serif" w:hAnsi="Times New Roman;Times;serif"/>
          <w:i/>
          <w:sz w:val="20"/>
        </w:rPr>
        <w:t>Invincible</w:t>
      </w:r>
      <w:r>
        <w:rPr>
          <w:rFonts w:ascii="Times New Roman;Times;serif" w:hAnsi="Times New Roman;Times;serif"/>
          <w:sz w:val="20"/>
        </w:rPr>
        <w:t xml:space="preserve">), </w:t>
      </w:r>
      <w:r>
        <w:rPr>
          <w:rFonts w:ascii="Times New Roman;Times;serif" w:hAnsi="Times New Roman;Times;serif"/>
          <w:i/>
          <w:sz w:val="20"/>
        </w:rPr>
        <w:t>Identity V</w:t>
      </w:r>
      <w:r>
        <w:rPr>
          <w:rFonts w:ascii="Times New Roman;Times;serif" w:hAnsi="Times New Roman;Times;serif"/>
          <w:sz w:val="20"/>
        </w:rPr>
        <w:t xml:space="preserve">, </w:t>
      </w:r>
      <w:r>
        <w:rPr>
          <w:rFonts w:ascii="Times New Roman;Times;serif" w:hAnsi="Times New Roman;Times;serif"/>
          <w:i/>
          <w:sz w:val="20"/>
        </w:rPr>
        <w:t>Eggy Party</w:t>
      </w:r>
      <w:r>
        <w:rPr>
          <w:rFonts w:ascii="Times New Roman;Times;serif" w:hAnsi="Times New Roman;Times;serif"/>
          <w:sz w:val="20"/>
        </w:rPr>
        <w:t xml:space="preserve"> and </w:t>
      </w:r>
      <w:r>
        <w:rPr>
          <w:rFonts w:ascii="Times New Roman;Times;serif" w:hAnsi="Times New Roman;Times;serif"/>
          <w:i/>
          <w:sz w:val="20"/>
        </w:rPr>
        <w:t xml:space="preserve">Justice </w:t>
      </w:r>
      <w:r>
        <w:rPr>
          <w:rFonts w:ascii="Times New Roman;Times;serif" w:hAnsi="Times New Roman;Times;serif"/>
          <w:sz w:val="20"/>
        </w:rPr>
        <w:t xml:space="preserve">mobile game. While we continue to invest in mobile games, the market for mobile games is rapidly evolving with games in an expanding range of genres being introduced by us and our competitors, and we cannot guarantee that we will be able to effectively compete in the mobile game market. In June 2022, we further launched </w:t>
      </w:r>
      <w:r>
        <w:rPr>
          <w:rFonts w:ascii="Times New Roman;Times;serif" w:hAnsi="Times New Roman;Times;serif"/>
          <w:i/>
          <w:sz w:val="20"/>
        </w:rPr>
        <w:t xml:space="preserve">Naraka: Bladepoint </w:t>
      </w:r>
      <w:r>
        <w:rPr>
          <w:rFonts w:ascii="Times New Roman;Times;serif" w:hAnsi="Times New Roman;Times;serif"/>
          <w:sz w:val="20"/>
        </w:rPr>
        <w:t>on Xbox Series X and S and plan to launch additional console games in the future. We will also need to continue investing in the development of new technologies, such as AI-generated content and virtual reality, and bring new features and functionalities to our games, as well as enhance the user experience on our various platforms.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not able to predict if or when we will commercially launch additional new games and the pace at which our new games will penetrate the online game market in China or elsewhere, if at all. A number of factors, including technical difficulties, lack of sufficient game development capabilities, personnel and other resources and failure to obtain or delays in obtaining relevant governmental authorities’ approvals could result in delayed launching of our new games or the cancellation of the development of our pipeline games. Any delays in product releases or problems arising following the commercial release of one or more new online games such as programming errors, or “bugs,” could negatively impact our business and reputation and could cause our results of operations to be materially different from expectations. We believe that expectations of players regarding the quality, performance and integrity of our online games and services are high, and if any of these issues occurs, players may stop playing our online games and may be less likely to return to such games as often in the future, which may negatively impact our business.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If we are unable to continue to extend the life of existing online games that will encourage continued engagement with the games through the addition of new features or functionalities, our business may be negatively impacted.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To prolong the lifespan of our online games, we need to continually improve and update them on a timely basis with new features and functionalities that appeal to existing game players, attract new game players and improve overall player loyalty to such games. As a result, we have devoted, and expect to continue to devote, significant resources to maintain and raise the popularity of our online games through the release of new versions and/or expansion packs on a periodic basis. Developing successful updates and expansion packs for our existing games depends on our ability to anticipate market trends in the online game industry. We must also collect and analyze player behavior data and feedback from our online community in a timely manner, and we must utilize this information to effectively incorporate features into our updates and expansion packs to improve the variety and attractiveness of our gameplay and any virtual items sold within the games.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In the course of operating online games, including the release of updates and expansion packs to existing games, certain game features may periodically be introduced, changed or removed. We cannot assure you that the introduction, change or removal of any game feature will be well received by our game players, who may decide to reduce or eliminate their playing time in response to any such introduction, change or removal. As a result, any introduction, change or removal of game features may adversely impact our business, financial condition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are unable to predict whether these activities will be successful or adversely affect our profitability given the significant resources required. Moreover, because of the rapidly evolving nature of the online games market in China and elsewhere, we cannot estimate the total life cycle of any of our games, particularly our more recently launched mobile or PC games, and changes in players’ tastes or in the overall market for online games in China and elsewhere could alter the life cycle of each version or upgrade or even cause our players to stop playing our games altogether.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The Chinese government has taken steps to limit online game playing time for all minors and to otherwise control the content and operation of online games. These and any other new restrictions on online games may materially and adversely impact our business, financial conditions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part of its anti-addiction online game policy, the Chinese government has taken several steps to discourage minors under the age of 18 from continuously playing online games once they exceed a set number of hours of continuous play. For a detailed description of these regulations, see Item 4.B. “Information on the Company—Business Overview—Government Regulations—Regulations on Online Games.”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Law of the PRC on the Protection of Minors, or the Minors Protection Law, issued by the National People’s Congress Standing Committee on September 4, 1991 was amended on October 17, 2020 and became effective on June 1, 2021, pursuant to which online game service providers are required to classify the game products in accordance with relevant regulations and standards, give age-appropriate tips and take technical measures to prevent minors from contacting improper game or game function. Violation of the Minors Protection Law could result in rectification, confiscation of illegal gains and penalties. In 2019, the GAPP restricted play of online gamers under 18 years old to 90 minutes on weekdays and three hours on weekends. In September 2021, the Chinese government and regulatory authorities further limited the play of online gamers under 18 by prohibiting play on weekdays and limiting playing for one hour a day on Fridays, Saturdays, Sundays and PRC statutory holidays. In addition, all online games must be connected to the real-name verification system for anti-addiction to online games operated by the NPPA, and online game operators may not provide game services in any form to any users without real-name registration and login. Furthermore, online transactions of minors in games are capped monthly at certain amounts, depending on a minor’s age.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updated our anti-addiction systems accordingly to comply with the above-mentioned requirements. We do not believe that the above-mentioned requirements have had or will have any material impact on our gaming operations because minors comprise only a small percentage of our total user base, but we cannot assure you that any future regulations or restrictive rules will not adversely affect our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December 22, 2023, the NPPA publicly solicited opinions on the Draft Administrative Measures for Online Games which, if adopted, would stipulate, among other requirements, that online game publishers and operators (i) may not publish and operate online games that make participation in battles compulsory; (ii) may not provide inducement rewards such as daily logins, first recharges, and continuous recharges, and must set user recharge limits and provide pop-up window warnings with respect to excessive consumption behavior by users; (iii) may not allow the payment of large monetary rewards in online games that are live streamed; (iv) may not provide random selection services to minors or allow minors to pay monetary rewards in online games that are live streamed; and (v) must submit annual reports to the local provincial publishing authorities regarding the publishers’ and operators’ compliance with these requirements and certain other specified information. For more information, see Item 4.B. “Information on the Company—Business Overview—Government Regulations—Regulations on Online Games.” As of the date of the filing of this annual report, the Draft Administrative Measures for Online Games have not been formally adopted. It remains unclear whether a formal version will be adopted in the future and whether the adopted formal version (if any) will have any further material changes, and it is uncertain how the measures will be enacted, interpreted or implemented and how they will affect us.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On October 16, 2023, the State Council promulgated the Regulation on the Protection of Minors in Cyberspace, which became effective on January 1, 2024. The Regulation on the Protection of Minors in Cyberspace establishes measures to be taken by online game service providers with respect to the protection of minors, such as verification of the identity information of minor users, reasonably restricting minors’ network service expenditure according to their age groups and setting and optimizing game rules for preventing minors from cyber addiction. As of the date of the filing of this annual report, we have implemented measures to comply with the requirements in the aforesaid regulation in all material aspects. Given that the Regulation on the Protection of Minors in Cyberspace is relatively new, there remain uncertainties as to its interpretation and application.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Any difficulties or delays in receiving approval from the relevant government authorities for our new games or new expansion packs for, or material changes to, our existing games could adversely affect such games’ popularity and profitability.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All games we release in China require government approvals. Moreover, even after certain games have received government approvals, certain expansion packs with material changes to the content and additions to the descriptions of those games may require further government approvals. We cannot be certain of the duration of any necessary approval processes, and any delay in receiving such government approvals may adversely affect the profitability and popularity of such games. In particular, game approvals experienced certain delays from March 29, 2018 to December 28, 2018 and again from July 23, 2021 to April 10, 2022 respectively, during which periods the PRC game regulatory authority, the NPPA, did not release any new domestic online game approvals. We are not certain of the cause of the delays. In addition, no laws, regulations or official clarifications had been promulgated or published in relation to such delay and resumption of the assessment and pre-approval procedures. The approval process returned to normal from April 11, 2022, but we cannot predict whether there will be any similar delays in the future, and the effect any future delay in approvals may have on our results of operations. Moreover, we are required to have an Online Publishing Service License issued by the NPPA in order to obtain any such approvals. Our current license has expired, and we are in the process of renewing it, although we cannot be certain if or when such renewal will be granted. During this renewal period, our operations have not been materially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According to several news reports in December 2018, PRC regulators established the Online Games Ethics Committee for the purpose of reviewing online games, and based on the assessment conducted by the Online Games Ethics Committee, PRC regulators reviewed and rejected nine of an initial batch of 20 games. As of the date of the filing of this annual report, no official laws and regulations had been promulgated or published in relation to the assessment criteria and procedures of the Online Games Ethics Committee. However, the formation of the Online Games Ethics Committee and its assessment criteria and procedures could impact our ability to launch and publish new games in China mainland going forward, and require us to spend more time and costs in preparing and receiving the approvals necessary to launch our games. In addition, our games that have already received the relevant pre-approval may also be subject to further review by the Online Games Ethics Committee, and we may be required to modify the content of our games, which will further add to our regulatory compliance costs and expenses.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We are subject to laws related to live streaming and online entertainment industries. Any failure to comply with or any changes in the applicable laws, regulations, policies and guidelines may adversely impact the prospects and results of operations of our services in such industries.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business and services of live streaming and online entertainment must comply with numerous laws, regulations, policies and guidelines promulgated by PRC authorities. For example, platforms providing show live streaming should have registered their information and business operations by November 30, 2020, and live streaming platforms that provide network audio-visual program services must hold an Audio and Video Service Permission, or AVSP, or complete the registration in the National Network Audio-visual Platform Information Registration Management System. For more information, see Item 4.B. “Information on the Company—Business Overview—Government Regulations—Regulations on Internet Live Streaming Services.”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Regulatory authorities in China have been heightening their oversight of live streaming businesses. Pursuant to applicable PRC laws and regulations, users who have not registered with their real names or who are minors are prohibited from engaging in virtual gifting. Also, live broadcasting service providers are not allowed to register online live broadcasting publisher accounts for minors under the age of 16, and must obtain the consent from parents or guardians and verify the identity of the minors before allowing minors aged 16 or above to register live broadcasting publisher accounts. On August 30, 2021, the MOCT published the Online Performance Brokerage Agencies Measures. According to the Online Performance Brokerage Agencies Measures, online performance brokerage agencies cannot provide online performance brokerage services to minors under the age of 16 and, if online performance brokerage services are provided to minors over the age of 16, identity information of the minors must be verified and written consent must be obtained from their guardians. On May 7, 2022, the Office of the Central Guidance Commission on Building Spiritual Civilization, MOCT, NRTA and CAC jointly issued the Opinions on Regulating Online Live Streaming Virtual Gifting and Strengthening the Protection of Minors, or the Live Streaming Opinions, which reiterate the requirements for live streaming platforms in respect of strengthening real-name registration, restrictions on minors from virtual gifting and prohibition on providing live streaming services to minors. The PRC government may further tighten the account registration and identity verification requirements for minors or impose a higher standard with respect to the registration and identity verification for all users on our platforms in the future, which may require us to upgrade our system, purchase additional services from third-party service providers and incur additional costs. Any such event may deter potential users from registering with our platforms, which may in turn adversely affect the growth of our user base and business prospects.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the Notice on Strengthening the Administration of Online Show Live and E-commerce Live Streaming, or Notice 78, Online Performance Brokerage Agencies Measures and the Live Streaming Opinions set forth certain restrictions on inducing users to spend or to promote performers on their platform. For detailed information, please refer to Item 4.B. “Information on the Company—Business Overview—Government Regulations —Regulations on Internet Live Streaming Services.” Notice 78, the Online Performance Brokerage Agencies Measures and the Live Streaming Opinions are relatively new, and the interpretation and enforcement of these regulations involve uncertainties. We cannot guarantee that new rules or regulations promulgated in the future will not impose any additional restrictions on live streaming, especially on virtual gifting. Any limits or restrictions on live streaming ultimately imposed may adversely affect our business, financial conditions and results of operations.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Reports of violence and crimes related to online games or any claims of our gaming contents to be, among others, obscene, superstitious, defamatory or impairing public interest, may result in negative publicity or a governmental response that could have a material and adverse impact on our business, financial conditions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media in China has reported incidents of violent crimes allegedly inspired by online games and theft of virtual items between users in online games. While we believe that such events were not related to our online games, it is possible that our reputation, as one of the leading online game providers in China, could be adversely affected by such behavior. In response to the media reports, in August 2005 the Chinese government enacted regulations to prohibit all minors under the age of 18 from playing online games in which players are allowed to kill other players, an activity that has been termed Player Kills, or PK. The Chinese government has also taken steps to limit online game playing time for all minors under the age of 18. See “—The Chinese government has taken steps to limit online game playing time for all minors and to otherwise control the content and operation of online games. These and any other new restrictions on online games may materially and adversely impact our business, financial conditions and results of operations” above. If the Chinese government determines that online games have a negative impact on society, it may impose certain additional restrictions on the online game industry, which could in turn have a material and adverse effect on our business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the Chinese government and regulatory authorities prohibit any internet content that, among other things, violates PRC laws and regulations, endangers the national security of China, or is obscene, superstitious, violent or defamatory. When ICPs and internet publishers, including online game operators, find that information falling within the above-mentioned scope is transmitted on their websites or is stored in their electronic bulletin service systems, they are required to terminate the transmission of such information or delete such information immediately, keep records, and report to relevant authorities. Failure to comply with these requirements could result in the revocation of our ICP license and other required licenses to operate our business. ICPs like us may also be held liable for prohibited information displayed on, retrieved from or linked to their websites. In addition, any claim of us failing to comply with these prohibitions may result in negative publicity and government actions, which in turn could have a material and adverse impact on our business.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Because our long-term growth strategy involves further expansion of our online games to players outside of China, our business will be susceptible to risks associated with international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An important component of our growth strategy involves the further expansion of our online games and game player base internationally. In particular, we have launched our popular games </w:t>
      </w:r>
      <w:r>
        <w:rPr>
          <w:rFonts w:ascii="Times New Roman;Times;serif" w:hAnsi="Times New Roman;Times;serif"/>
          <w:i/>
          <w:sz w:val="20"/>
        </w:rPr>
        <w:t>Knives Out</w:t>
      </w:r>
      <w:r>
        <w:rPr>
          <w:rFonts w:ascii="Times New Roman;Times;serif" w:hAnsi="Times New Roman;Times;serif"/>
          <w:sz w:val="20"/>
        </w:rPr>
        <w:t xml:space="preserve">, </w:t>
      </w:r>
      <w:r>
        <w:rPr>
          <w:rFonts w:ascii="Times New Roman;Times;serif" w:hAnsi="Times New Roman;Times;serif"/>
          <w:i/>
          <w:sz w:val="20"/>
        </w:rPr>
        <w:t>LifeAfter</w:t>
      </w:r>
      <w:r>
        <w:rPr>
          <w:rFonts w:ascii="Times New Roman;Times;serif" w:hAnsi="Times New Roman;Times;serif"/>
          <w:sz w:val="20"/>
        </w:rPr>
        <w:t xml:space="preserve"> and </w:t>
      </w:r>
      <w:r>
        <w:rPr>
          <w:rFonts w:ascii="Times New Roman;Times;serif" w:hAnsi="Times New Roman;Times;serif"/>
          <w:i/>
          <w:sz w:val="20"/>
        </w:rPr>
        <w:t>Identity V</w:t>
      </w:r>
      <w:r>
        <w:rPr>
          <w:rFonts w:ascii="Times New Roman;Times;serif" w:hAnsi="Times New Roman;Times;serif"/>
          <w:sz w:val="20"/>
        </w:rPr>
        <w:t xml:space="preserve"> in Japan, North America and other markets across the globe, </w:t>
      </w:r>
      <w:r>
        <w:rPr>
          <w:rFonts w:ascii="Times New Roman;Times;serif" w:hAnsi="Times New Roman;Times;serif"/>
          <w:i/>
          <w:sz w:val="20"/>
        </w:rPr>
        <w:t>The Lord of the Rings: Rise to War</w:t>
      </w:r>
      <w:r>
        <w:rPr>
          <w:rFonts w:ascii="Times New Roman;Times;serif" w:hAnsi="Times New Roman;Times;serif"/>
          <w:sz w:val="20"/>
        </w:rPr>
        <w:t xml:space="preserve"> in Europe, the Americas, Oceania and Southeast Asia, and </w:t>
      </w:r>
      <w:r>
        <w:rPr>
          <w:rFonts w:ascii="Times New Roman;Times;serif" w:hAnsi="Times New Roman;Times;serif"/>
          <w:i/>
          <w:sz w:val="20"/>
        </w:rPr>
        <w:t>Naraka: Bladepoint</w:t>
      </w:r>
      <w:r>
        <w:rPr>
          <w:rFonts w:ascii="Times New Roman;Times;serif" w:hAnsi="Times New Roman;Times;serif"/>
          <w:sz w:val="20"/>
        </w:rPr>
        <w:t xml:space="preserve"> globally. In the future, we plan to continue to launch our online games in various international markets. The expansion of our online games to markets outside of China will involve a variety of risks, including:</w:t>
      </w:r>
    </w:p>
    <w:p>
      <w:pPr>
        <w:pStyle w:val="TextBody"/>
        <w:bidi w:val="0"/>
        <w:spacing w:before="0" w:after="240"/>
        <w:ind w:left="720" w:right="0" w:hanging="0"/>
        <w:jc w:val="both"/>
        <w:rPr/>
      </w:pPr>
      <w:r>
        <w:rPr/>
        <w:t>●</w:t>
      </w:r>
      <w:r>
        <w:rPr>
          <w:rFonts w:ascii="Times New Roman;Times;serif" w:hAnsi="Times New Roman;Times;serif"/>
          <w:sz w:val="20"/>
        </w:rPr>
        <w:t>difficulties in anticipating the preferences of game players in markets outside of China;</w:t>
      </w:r>
    </w:p>
    <w:p>
      <w:pPr>
        <w:pStyle w:val="TextBody"/>
        <w:bidi w:val="0"/>
        <w:spacing w:before="0" w:after="240"/>
        <w:ind w:left="720" w:right="0" w:hanging="0"/>
        <w:jc w:val="both"/>
        <w:rPr/>
      </w:pPr>
      <w:r>
        <w:rPr/>
        <w:t>●</w:t>
      </w:r>
      <w:r>
        <w:rPr>
          <w:rFonts w:ascii="Times New Roman;Times;serif" w:hAnsi="Times New Roman;Times;serif"/>
          <w:sz w:val="20"/>
        </w:rPr>
        <w:t>challenges in formulating effective local sales and marketing strategies targeting users from various jurisdictions and cultures;</w:t>
      </w:r>
    </w:p>
    <w:p>
      <w:pPr>
        <w:pStyle w:val="TextBody"/>
        <w:bidi w:val="0"/>
        <w:spacing w:before="0" w:after="240"/>
        <w:ind w:left="720" w:right="0" w:hanging="0"/>
        <w:jc w:val="both"/>
        <w:rPr/>
      </w:pPr>
      <w:r>
        <w:rPr/>
        <w:t>●</w:t>
      </w:r>
      <w:r>
        <w:rPr>
          <w:rFonts w:ascii="Times New Roman;Times;serif" w:hAnsi="Times New Roman;Times;serif"/>
          <w:sz w:val="20"/>
        </w:rPr>
        <w:t>challenges in identifying appropriate local business partners, including local game operators, and establishing and maintaining good working relationships with them;</w:t>
      </w:r>
    </w:p>
    <w:p>
      <w:pPr>
        <w:pStyle w:val="TextBody"/>
        <w:bidi w:val="0"/>
        <w:spacing w:before="0" w:after="240"/>
        <w:ind w:left="720" w:right="0" w:hanging="0"/>
        <w:jc w:val="both"/>
        <w:rPr/>
      </w:pPr>
      <w:r>
        <w:rPr/>
        <w:t>●</w:t>
      </w:r>
      <w:r>
        <w:rPr>
          <w:rFonts w:ascii="Times New Roman;Times;serif" w:hAnsi="Times New Roman;Times;serif"/>
          <w:sz w:val="20"/>
        </w:rPr>
        <w:t>changes in a specific country’s or region’s political or economic conditions;</w:t>
      </w:r>
    </w:p>
    <w:p>
      <w:pPr>
        <w:pStyle w:val="TextBody"/>
        <w:bidi w:val="0"/>
        <w:spacing w:before="0" w:after="240"/>
        <w:ind w:left="720" w:right="0" w:hanging="0"/>
        <w:jc w:val="both"/>
        <w:rPr/>
      </w:pPr>
      <w:r>
        <w:rPr/>
        <w:t>●</w:t>
      </w:r>
      <w:r>
        <w:rPr>
          <w:rFonts w:ascii="Times New Roman;Times;serif" w:hAnsi="Times New Roman;Times;serif"/>
          <w:sz w:val="20"/>
        </w:rPr>
        <w:t>unexpected changes in regulatory requirements, taxes or trade laws;</w:t>
      </w:r>
    </w:p>
    <w:p>
      <w:pPr>
        <w:pStyle w:val="TextBody"/>
        <w:bidi w:val="0"/>
        <w:spacing w:before="0" w:after="240"/>
        <w:ind w:left="720" w:right="0" w:hanging="0"/>
        <w:jc w:val="both"/>
        <w:rPr/>
      </w:pPr>
      <w:r>
        <w:rPr/>
        <w:t>●</w:t>
      </w:r>
      <w:r>
        <w:rPr>
          <w:rFonts w:ascii="Times New Roman;Times;serif" w:hAnsi="Times New Roman;Times;serif"/>
          <w:sz w:val="20"/>
        </w:rPr>
        <w:t>difficulties in adapting and/or developing games which effectively address cultural differences and consumer preferences and are compliant with the local legal and regulatory environment;</w:t>
      </w:r>
    </w:p>
    <w:p>
      <w:pPr>
        <w:pStyle w:val="TextBody"/>
        <w:bidi w:val="0"/>
        <w:spacing w:before="0" w:after="240"/>
        <w:ind w:left="720" w:right="0" w:hanging="0"/>
        <w:jc w:val="both"/>
        <w:rPr/>
      </w:pPr>
      <w:r>
        <w:rPr/>
        <w:t>●</w:t>
      </w:r>
      <w:r>
        <w:rPr>
          <w:rFonts w:ascii="Times New Roman;Times;serif" w:hAnsi="Times New Roman;Times;serif"/>
          <w:sz w:val="20"/>
        </w:rPr>
        <w:t>difficulties in managing a business in international markets with diverse cultures, languages, customs, legal systems, alternative dispute systems and regulatory systems;</w:t>
      </w:r>
    </w:p>
    <w:p>
      <w:pPr>
        <w:pStyle w:val="TextBody"/>
        <w:bidi w:val="0"/>
        <w:spacing w:before="0" w:after="240"/>
        <w:ind w:left="720" w:right="0" w:hanging="0"/>
        <w:jc w:val="both"/>
        <w:rPr/>
      </w:pPr>
      <w:r>
        <w:rPr/>
        <w:t>●</w:t>
      </w:r>
      <w:r>
        <w:rPr>
          <w:rFonts w:ascii="Times New Roman;Times;serif" w:hAnsi="Times New Roman;Times;serif"/>
          <w:sz w:val="20"/>
        </w:rPr>
        <w:t>more stringent regulations relating to data security and the unauthorized use of, or access to, commercial and personal information;</w:t>
      </w:r>
    </w:p>
    <w:p>
      <w:pPr>
        <w:pStyle w:val="TextBody"/>
        <w:bidi w:val="0"/>
        <w:spacing w:before="0" w:after="240"/>
        <w:ind w:left="720" w:right="0" w:hanging="0"/>
        <w:jc w:val="both"/>
        <w:rPr/>
      </w:pPr>
      <w:r>
        <w:rPr/>
        <w:t>●</w:t>
      </w:r>
      <w:r>
        <w:rPr>
          <w:rFonts w:ascii="Times New Roman;Times;serif" w:hAnsi="Times New Roman;Times;serif"/>
          <w:sz w:val="20"/>
        </w:rPr>
        <w:t>currency exchange rate fluctuations and the resulting effect on our revenue and expenses, and the cost and risk of entering into hedging transactions if we choose to do so in the future;</w:t>
      </w:r>
    </w:p>
    <w:p>
      <w:pPr>
        <w:pStyle w:val="TextBody"/>
        <w:bidi w:val="0"/>
        <w:spacing w:before="0" w:after="240"/>
        <w:ind w:left="720" w:right="0" w:hanging="0"/>
        <w:jc w:val="both"/>
        <w:rPr/>
      </w:pPr>
      <w:r>
        <w:rPr/>
        <w:t>●</w:t>
      </w:r>
      <w:r>
        <w:rPr>
          <w:rFonts w:ascii="Times New Roman;Times;serif" w:hAnsi="Times New Roman;Times;serif"/>
          <w:sz w:val="20"/>
        </w:rPr>
        <w:t>laws and business practices favoring local competitors or general preferences for local vendors;</w:t>
      </w:r>
    </w:p>
    <w:p>
      <w:pPr>
        <w:pStyle w:val="TextBody"/>
        <w:bidi w:val="0"/>
        <w:spacing w:before="0" w:after="240"/>
        <w:ind w:left="720" w:right="0" w:hanging="0"/>
        <w:jc w:val="both"/>
        <w:rPr/>
      </w:pPr>
      <w:r>
        <w:rPr/>
        <w:t>●</w:t>
      </w:r>
      <w:r>
        <w:rPr>
          <w:rFonts w:ascii="Times New Roman;Times;serif" w:hAnsi="Times New Roman;Times;serif"/>
          <w:sz w:val="20"/>
        </w:rPr>
        <w:t>limited or insufficient intellectual property protection; and</w:t>
      </w:r>
    </w:p>
    <w:p>
      <w:pPr>
        <w:pStyle w:val="TextBody"/>
        <w:bidi w:val="0"/>
        <w:ind w:left="720" w:right="0" w:hanging="0"/>
        <w:jc w:val="both"/>
        <w:rPr/>
      </w:pPr>
      <w:r>
        <w:rPr/>
        <w:t>●</w:t>
      </w:r>
      <w:r>
        <w:rPr>
          <w:rFonts w:ascii="Times New Roman;Times;serif" w:hAnsi="Times New Roman;Times;serif"/>
          <w:sz w:val="20"/>
        </w:rPr>
        <w:t>adverse tax burdens and foreign exchange controls that could make it difficult to repatriate earnings and cash.</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addition, unlike a large portion of game players in China mainland who access games through PCs and mobile devices, many game players in international markets play games predominantly via consoles such as Xbox and PlayStation. We launched </w:t>
      </w:r>
      <w:r>
        <w:rPr>
          <w:rFonts w:ascii="Times New Roman;Times;serif" w:hAnsi="Times New Roman;Times;serif"/>
          <w:i/>
          <w:sz w:val="20"/>
        </w:rPr>
        <w:t>Naraka: Bladepoint</w:t>
      </w:r>
      <w:r>
        <w:rPr>
          <w:rFonts w:ascii="Times New Roman;Times;serif" w:hAnsi="Times New Roman;Times;serif"/>
          <w:sz w:val="20"/>
        </w:rPr>
        <w:t xml:space="preserve"> on console in June 2022 and plan to release numerous additional console game releases in the future. We have, however, limited experience developing and marketing console games, and the popularity of such games may not meet our expectations or be as profitable as our PC and mobile games.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limited experience in operating our business outside of China increases the risk that any potential future expansion efforts that we may undertake will not be successful. If we invest substantial time and resources to expand our international operations and are unable to do so successfully and in a timely manner, our business and results of operations will suffer.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We rely on third-party platforms to distribute our mobile games and collect payments. If we fail to maintain our relationships with these platforms, or if our revenue-sharing arrangements with these platforms change to our detriment, our mobile games business may be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to our proprietary platforms, we publish our mobile games through the Apple iOS app store and other mobile application stores or platforms owned and operated by third parties. We rely on these third parties to promote and distribute our mobile games, record gross billings, maintain the security of their platforms to prevent fraudulent activities, provide certain user services and, in some instances, process payments from users. Further, we believe that our games benefit from the strong brand recognition, large user base and the stickiness of these mobile platforms.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subject to these third parties’ standard terms and conditions for application developers, which govern the promotion, distribution and operation of games and other applications on their platforms. If we violate, or if a platform provider believes that we have violated, its terms and conditions in a material way and/or repeatedly, the particular platform provider may discontinue or limit our access to that platform, which could harm our business. Moreover, certain of such terms and conditions are subject to interpretation when applied in specific circumstances, and the platform providers may disagree with our interpretation. Our business could also be harmed if these platforms decline in popularity with users or modify their discovery mechanisms for games, the communication channels available to developers, their terms of service or other policies such as distribution fees, how they label free-to-play games or payment methods for in-app purchases. These platforms’ operators could also develop their own competitive offerings that could compete with our mobile games.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a few of these third-party platforms dominate the distribution of mobile applications. Any changes in the revenue-sharing, payment or other arrangements that we have with any of the major third-party application platforms may materially impact our revenue and profitability. Failure to renew any revenue-sharing agreement or any other material agreement with these major third-party application platforms may result in discontinued or limited access to such platforms, which could harm our business. In addition, changes in the credit period or the settlement cycle terms of these third-party platforms may materially and adversely affect our cash flow. Disputes with third-party platforms, such as disputes relating to intellectual property rights, distribution fee arrangements and billing issues, may also arise from time to time and we cannot assure you that we will be able to resolve such disputes in a timely manner or at all. If our collaboration with a major third-party platform terminates for any reason, we may not be able to find a replacement in a timely manner or at all and the distribution of our games may be adversely affected. Any failure on our part to maintain good relationships with a sufficient number of popular platforms for the distribution of our games could cause the number of our game downloads and activations to decrease, which will have a material adverse effect on our business, financial condition and results of operations.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Our business, financial condition and results of operations depend in part on the overall growth of the online game industry in China and the other markets where our games are operated, the growth of which is subject to a number of factors that are beyond our control.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business, financial condition and results of operations depend in part on continued growth of the online game industry in China and other markets where our games are published, particularly the Asia-Pacific region and North America. The online game industry is affected by a number of factors that are beyond our control, including:</w:t>
      </w:r>
    </w:p>
    <w:p>
      <w:pPr>
        <w:pStyle w:val="TextBody"/>
        <w:bidi w:val="0"/>
        <w:spacing w:before="0" w:after="240"/>
        <w:ind w:left="720" w:right="0" w:hanging="0"/>
        <w:jc w:val="both"/>
        <w:rPr/>
      </w:pPr>
      <w:r>
        <w:rPr/>
        <w:t>●</w:t>
      </w:r>
      <w:r>
        <w:rPr>
          <w:rFonts w:ascii="Times New Roman;Times;serif" w:hAnsi="Times New Roman;Times;serif"/>
          <w:sz w:val="20"/>
        </w:rPr>
        <w:t>general economic conditions and the level of discretionary spending devoted by players to non-essentials such as acquiring in-game virtual items;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and popularity of other forms of interactive entertainment, particularly games on console systems which are more popular in North America, Europe and Japan but which we have only recently begun offering, and other leisure activities;</w:t>
            </w:r>
          </w:p>
        </w:tc>
      </w:tr>
    </w:tbl>
    <w:p>
      <w:pPr>
        <w:pStyle w:val="TextBody"/>
        <w:bidi w:val="0"/>
        <w:spacing w:before="0" w:after="240"/>
        <w:ind w:left="720" w:right="0" w:hanging="0"/>
        <w:jc w:val="both"/>
        <w:rPr/>
      </w:pPr>
      <w:r>
        <w:rPr/>
        <w:t>●</w:t>
      </w:r>
      <w:r>
        <w:rPr>
          <w:rFonts w:ascii="Times New Roman;Times;serif" w:hAnsi="Times New Roman;Times;serif"/>
          <w:sz w:val="20"/>
        </w:rPr>
        <w:t>the availability of reliable telecommunication and internet infrastructure and sufficient server bandwidth in the markets where we operate;</w:t>
      </w:r>
    </w:p>
    <w:tbl>
      <w:tblPr>
        <w:tblW w:w="4596" w:type="dxa"/>
        <w:jc w:val="left"/>
        <w:tblInd w:w="0" w:type="dxa"/>
        <w:tblLayout w:type="fixed"/>
        <w:tblCellMar>
          <w:top w:w="28" w:type="dxa"/>
          <w:left w:w="28" w:type="dxa"/>
          <w:bottom w:w="28" w:type="dxa"/>
          <w:right w:w="28" w:type="dxa"/>
        </w:tblCellMar>
      </w:tblPr>
      <w:tblGrid>
        <w:gridCol w:w="124"/>
        <w:gridCol w:w="256"/>
        <w:gridCol w:w="42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evolving PC, smartphone and tablet technologies;</w:t>
            </w:r>
          </w:p>
        </w:tc>
      </w:tr>
    </w:tbl>
    <w:tbl>
      <w:tblPr>
        <w:tblW w:w="6441" w:type="dxa"/>
        <w:jc w:val="left"/>
        <w:tblInd w:w="0" w:type="dxa"/>
        <w:tblLayout w:type="fixed"/>
        <w:tblCellMar>
          <w:top w:w="28" w:type="dxa"/>
          <w:left w:w="28" w:type="dxa"/>
          <w:bottom w:w="28" w:type="dxa"/>
          <w:right w:w="28" w:type="dxa"/>
        </w:tblCellMar>
      </w:tblPr>
      <w:tblGrid>
        <w:gridCol w:w="124"/>
        <w:gridCol w:w="256"/>
        <w:gridCol w:w="60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game player demographics and public tastes and preferences; </w:t>
            </w:r>
          </w:p>
        </w:tc>
      </w:tr>
    </w:tbl>
    <w:tbl>
      <w:tblPr>
        <w:tblW w:w="5766" w:type="dxa"/>
        <w:jc w:val="left"/>
        <w:tblInd w:w="0" w:type="dxa"/>
        <w:tblLayout w:type="fixed"/>
        <w:tblCellMar>
          <w:top w:w="28" w:type="dxa"/>
          <w:left w:w="28" w:type="dxa"/>
          <w:bottom w:w="28" w:type="dxa"/>
          <w:right w:w="28" w:type="dxa"/>
        </w:tblCellMar>
      </w:tblPr>
      <w:tblGrid>
        <w:gridCol w:w="124"/>
        <w:gridCol w:w="256"/>
        <w:gridCol w:w="5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government restrictions on the playing of online games; and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166" w:type="dxa"/>
        <w:jc w:val="left"/>
        <w:tblInd w:w="0" w:type="dxa"/>
        <w:tblLayout w:type="fixed"/>
        <w:tblCellMar>
          <w:top w:w="28" w:type="dxa"/>
          <w:left w:w="28" w:type="dxa"/>
          <w:bottom w:w="28" w:type="dxa"/>
          <w:right w:w="28" w:type="dxa"/>
        </w:tblCellMar>
      </w:tblPr>
      <w:tblGrid>
        <w:gridCol w:w="124"/>
        <w:gridCol w:w="256"/>
        <w:gridCol w:w="7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and popularity of alternative gameplay models such as cloud-gaming services.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There is no assurance that the online game industry will continue to grow in future periods at any particular rate or at all.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We may not be successful in making our mobile games profitable, and our profits from mobile games may be relatively lower than the profits we have enjoyed historically for PC games.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our games and related value-added services segment, which include both the operation of online games as well as other related or ancillary services to the games, net revenues from the operation of online games accounted for 92.6%, 92.5% and 92.9% for the years ended December 31, 2021, 2022 and 2023, respectively. We generate a large portion of revenue in our operation of online games from our mobile games. Our profits from our mobile games, even if the games are successful, are generally lower than our profits generated from PC games, because, in order to gain access to our games on mobile application stores, which are the primary platforms for our mobile games, we must enter into revenue-sharing arrangements that result in lower profit margins compared with those of our PC games. In addition, our mobile games tend to cover a wider variety of genres, some of which have historically had relatively lower profitability than that of our PC games. Furthermore, we are releasing more of our mobile games overseas, which may involve additional marketing and distribution costs and further impact the profitability of our mobile games.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devoted and expect to continue to devote a significant amount of resources to the development of our mobile games, but the relatively lower profit margins and other uncertainties make it difficult to predict whether we will continue to succeed in making our mobile game operations profitable. If we do not succeed in doing so, our business, financial condition and results of operations will be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significant portion of our revenue from games and related value-added services is generated from the sale of virtual items within the games, and if we do not develop desirable virtual items and properly price them or if this revenue model ceases to be successful, our business, financial condition and results of operations may be materially and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Substantially all of our mobile games and many of our PC games currently utilize the item-based revenue model. Under this revenue model, our game players are able to play the games for free, but are charged for the purchase of virtual items in the games. We believe that this attracts a wider audience of players and increases the number of potential paying users. However, the success of this business model largely depends on whether we can attract game players to play our games and whether we can successfully encourage more players to purchase virtual items. Game players will only pay for virtual items if they are perceived to provide value and enhance their playing experience, and we must closely monitor and analyze in-game consumption patterns and player preferences to understand what items will be appealing and the appropriate price for them. Moreover, we must offer sufficient in-game purchasing opportunities to make our games profitable, while ensuring that the games are fun to play including for players who purchase no virtual items. We might fail to accurately identify and introduce new and popular virtual items or price them properly or may not be able to market our virtual items effectively. In addition, the item-based revenue model may not continue to be commercially successful and in the future, we may need to change our revenue model to a time-based or other revenue model. Any change in revenue model could result in disruption of our game operations and a decrease in the number of our game players and thereby materially and adversely affect our business, financial condition and results of operations.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Providing a high level of customer service for our players is crucial to maintaining and growing the popularity of our online games, and any failure to do so could harm our reputation and our business.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devote significant resources to provide high quality customer services to our game players 24 hours a day, seven days a week, through telephone and online support. We also maintain a team of highly trained “Game Masters” which supervise the activities within our games to provide assistance to players as needed and stop any cheating or unfair behavior to ensure the game has an atmosphere of fun and fair play. These activities are crucial to retaining our existing game players and attracting new players who expect a high-quality playing experience from our online games. In addition, our license agreements with third-party developers may also require us to provide specified minimum levels of customer support, and any breach of such obligations could result in the developer terminating our license agreement with them and other damages.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If we underestimate the popularity of certain games or an unexpected event occurs with respect to the operation of a game, we might receive increased complaints asserting that we were unprepared and did not provide adequate customer service. If we fail to maintain effective player support which meets the expectations of players, it could harm our reputation and the popularity of our online games, which may materially and adversely affect our business, financial condition and results of operations.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We may not be able to maintain stable relationships with our existing game licensors and co-developers, and we may experience difficulties in the operation of the online games licensed from them.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Several mobile and PC games we offer are licensed from third-party developers, which accounted for 9.5%, 9.5% and 4.6% of our total net revenues in 2021, 2022 and 2023, respectively. If we are unable to maintain stable relationships with our existing game licensors, or if any of our licensors establishes similar or more favorable relationships with our competitors in violation of its contractual arrangements with us or otherwise, we may not be able to ensure the smooth operation of these licensed online games, and our licensors could terminate or fail to renew the license agreements with us, which could affect our business, financial conditions and results of operations. </w:t>
      </w:r>
    </w:p>
    <w:p>
      <w:pPr>
        <w:pStyle w:val="TextBody"/>
        <w:bidi w:val="0"/>
        <w:spacing w:lineRule="auto" w:line="240"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have a number of licensing arrangements, including an exclusive agreement with Mojang AB, a subsidiary of Microsoft, pursuant to which Microsoft and Mojang agreed to license the operation of </w:t>
      </w:r>
      <w:r>
        <w:rPr>
          <w:rFonts w:ascii="Times New Roman;Times;serif" w:hAnsi="Times New Roman;Times;serif"/>
          <w:i/>
          <w:sz w:val="20"/>
        </w:rPr>
        <w:t>Minecraft</w:t>
      </w:r>
      <w:r>
        <w:rPr>
          <w:rFonts w:ascii="Times New Roman;Times;serif" w:hAnsi="Times New Roman;Times;serif"/>
          <w:sz w:val="20"/>
        </w:rPr>
        <w:t xml:space="preserve"> in the PRC to us until 2022. The term of such license was extended in 2019 and further renewed in 2023. In addition, following the expiration of the licenses covering the publication of several games of Blizzard in China mainland in January 2023, we entered into a new license arrangement with Blizzard in 2024 to operate those and other titles. These games include </w:t>
      </w:r>
      <w:r>
        <w:rPr>
          <w:rFonts w:ascii="Times New Roman;Times;serif" w:hAnsi="Times New Roman;Times;serif"/>
          <w:i/>
          <w:sz w:val="20"/>
        </w:rPr>
        <w:t>World of Warcraft</w:t>
      </w:r>
      <w:r>
        <w:rPr>
          <w:rFonts w:ascii="Times New Roman;Times;serif" w:hAnsi="Times New Roman;Times;serif"/>
          <w:sz w:val="15"/>
        </w:rPr>
        <w:t>®</w:t>
      </w:r>
      <w:r>
        <w:rPr>
          <w:rFonts w:ascii="Times New Roman;Times;serif" w:hAnsi="Times New Roman;Times;serif"/>
          <w:sz w:val="20"/>
        </w:rPr>
        <w:t xml:space="preserve">, </w:t>
      </w:r>
      <w:r>
        <w:rPr>
          <w:rFonts w:ascii="Times New Roman;Times;serif" w:hAnsi="Times New Roman;Times;serif"/>
          <w:i/>
          <w:sz w:val="20"/>
        </w:rPr>
        <w:t>Hearthstone</w:t>
      </w:r>
      <w:r>
        <w:rPr>
          <w:rFonts w:ascii="Times New Roman;Times;serif" w:hAnsi="Times New Roman;Times;serif"/>
          <w:i/>
          <w:sz w:val="15"/>
        </w:rPr>
        <w:t>®</w:t>
      </w:r>
      <w:r>
        <w:rPr>
          <w:rFonts w:ascii="Times New Roman;Times;serif" w:hAnsi="Times New Roman;Times;serif"/>
          <w:sz w:val="20"/>
        </w:rPr>
        <w:t xml:space="preserve"> </w:t>
      </w:r>
      <w:r>
        <w:rPr>
          <w:rFonts w:ascii="Times New Roman;Times;serif" w:hAnsi="Times New Roman;Times;serif"/>
          <w:i/>
          <w:sz w:val="20"/>
        </w:rPr>
        <w:t>and other titles in the Warcraft</w:t>
      </w:r>
      <w:r>
        <w:rPr>
          <w:rFonts w:ascii="Times New Roman;Times;serif" w:hAnsi="Times New Roman;Times;serif"/>
          <w:i/>
          <w:sz w:val="15"/>
        </w:rPr>
        <w:t>®</w:t>
      </w:r>
      <w:r>
        <w:rPr>
          <w:rFonts w:ascii="Times New Roman;Times;serif" w:hAnsi="Times New Roman;Times;serif"/>
          <w:i/>
          <w:sz w:val="20"/>
        </w:rPr>
        <w:t>, Overwatch</w:t>
      </w:r>
      <w:r>
        <w:rPr>
          <w:rFonts w:ascii="Times New Roman;Times;serif" w:hAnsi="Times New Roman;Times;serif"/>
          <w:i/>
          <w:sz w:val="15"/>
        </w:rPr>
        <w:t>®</w:t>
      </w:r>
      <w:r>
        <w:rPr>
          <w:rFonts w:ascii="Times New Roman;Times;serif" w:hAnsi="Times New Roman;Times;serif"/>
          <w:i/>
          <w:sz w:val="20"/>
        </w:rPr>
        <w:t>, Diablo</w:t>
      </w:r>
      <w:r>
        <w:rPr>
          <w:rFonts w:ascii="Times New Roman;Times;serif" w:hAnsi="Times New Roman;Times;serif"/>
          <w:i/>
          <w:sz w:val="15"/>
        </w:rPr>
        <w:t>®</w:t>
      </w:r>
      <w:r>
        <w:rPr>
          <w:rFonts w:ascii="Times New Roman;Times;serif" w:hAnsi="Times New Roman;Times;serif"/>
          <w:i/>
          <w:sz w:val="20"/>
        </w:rPr>
        <w:t>, and StarCraft</w:t>
      </w:r>
      <w:r>
        <w:rPr>
          <w:rFonts w:ascii="Times New Roman;Times;serif" w:hAnsi="Times New Roman;Times;serif"/>
          <w:i/>
          <w:sz w:val="15"/>
        </w:rPr>
        <w:t>®</w:t>
      </w:r>
      <w:r>
        <w:rPr>
          <w:rFonts w:ascii="Times New Roman;Times;serif" w:hAnsi="Times New Roman;Times;serif"/>
          <w:sz w:val="20"/>
        </w:rPr>
        <w:t xml:space="preserve"> </w:t>
      </w:r>
      <w:r>
        <w:rPr>
          <w:rFonts w:ascii="Times New Roman;Times;serif" w:hAnsi="Times New Roman;Times;serif"/>
          <w:i/>
          <w:sz w:val="20"/>
        </w:rPr>
        <w:t>universes</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termination of any such licenses could adversely affect our business, financial conditions and results of operations. Moreover, the success of our arrangements with our game licensors depends on the popularity of the games licensed to us by them in the Chinese market, which is affected by, among other things, the frequency and success of updates and expansion packs to those games developed by them over which we have no control. Any failure of such licensors to provide game updates, enhancements and new versions in a timely manner and that are appealing to game players, provide assistance that enables us to effectively promote the games, or otherwise fulfill their obligations under our license agreements could adversely affect the game-playing experience of our game players, damage our reputation, or shorten the life-spans of those games, any of which could result in the loss of game players, acceleration of our amortization of the license fees we have paid for those games, or a decrease in or elimination of our revenues from those games.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certain events may limit our licensors’ ability to develop or license online games, such as claims by third parties that their online games infringe such third parties’ intellectual property rights or their inability to acquire or maintain licenses to use another party’s intellectual property in their online games. In the case of such events, our licensors may be unable to continue licensing online games to us or to continue participating in any joint venture with us, regardless of the stability of our relationship with them.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also cannot be certain that these licensed online games will be viewed by the regulatory authorities as complying with content restrictions, will be attractive to users or will be able to compete with games operated by our competitors. We may not be able to fully recover the costs associated with licensing these online games if the games are not popular among users in the PRC, and any difficulties in the operation of these licensed games could harm our business, financial condition and results of operations.</w:t>
      </w:r>
    </w:p>
    <w:p>
      <w:pPr>
        <w:pStyle w:val="TextBody"/>
        <w:bidi w:val="0"/>
        <w:spacing w:lineRule="auto" w:line="240"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also offer games that are co-developed such as </w:t>
      </w:r>
      <w:r>
        <w:rPr>
          <w:rFonts w:ascii="Times New Roman;Times;serif" w:hAnsi="Times New Roman;Times;serif"/>
          <w:i/>
          <w:sz w:val="20"/>
        </w:rPr>
        <w:t>Harry Potter: Magic Awakened</w:t>
      </w:r>
      <w:r>
        <w:rPr>
          <w:rFonts w:ascii="Times New Roman;Times;serif" w:hAnsi="Times New Roman;Times;serif"/>
          <w:sz w:val="20"/>
        </w:rPr>
        <w:t xml:space="preserve">, which we developed with Warner Bros. Games, and </w:t>
      </w:r>
      <w:r>
        <w:rPr>
          <w:rFonts w:ascii="Times New Roman;Times;serif" w:hAnsi="Times New Roman;Times;serif"/>
          <w:i/>
          <w:sz w:val="20"/>
        </w:rPr>
        <w:t>Diablo</w:t>
      </w:r>
      <w:r>
        <w:rPr>
          <w:rFonts w:ascii="Times New Roman;Times;serif" w:hAnsi="Times New Roman;Times;serif"/>
          <w:i/>
          <w:sz w:val="15"/>
        </w:rPr>
        <w:t>®</w:t>
      </w:r>
      <w:r>
        <w:rPr>
          <w:rFonts w:ascii="Times New Roman;Times;serif" w:hAnsi="Times New Roman;Times;serif"/>
          <w:sz w:val="20"/>
        </w:rPr>
        <w:t xml:space="preserve"> </w:t>
      </w:r>
      <w:r>
        <w:rPr>
          <w:rFonts w:ascii="Times New Roman;Times;serif" w:hAnsi="Times New Roman;Times;serif"/>
          <w:i/>
          <w:sz w:val="20"/>
        </w:rPr>
        <w:t>Immortal</w:t>
      </w:r>
      <w:r>
        <w:rPr>
          <w:rFonts w:ascii="Times New Roman;Times;serif" w:hAnsi="Times New Roman;Times;serif"/>
          <w:i/>
          <w:sz w:val="15"/>
        </w:rPr>
        <w:t>TM</w:t>
      </w:r>
      <w:r>
        <w:rPr>
          <w:rFonts w:ascii="Times New Roman;Times;serif" w:hAnsi="Times New Roman;Times;serif"/>
          <w:sz w:val="20"/>
        </w:rPr>
        <w:t>, which we developed with Blizzard pursuant to an agreement that is in addition to the license discussed above. If we are unable to maintain stable relationships with our co-developers, we may not be able to ensure the smooth development and operation of these co-developed online games, and our co-developers may terminate their business relationships with us, which could harm our business, financial conditions and results of operations.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We receive relatively lower profits from the operation of online games that we license from third-party developers, and we are subject to certain financial obligations in connection with such licenses.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revenue sharing arrangements for games that we license from third-party developers provide us with relatively less profit than games that we develop in-house. Moreover, to secure the rights to games from such developers, we are required, as licensee of the games, to pay them royalties for the games over the terms of the licenses, to make minimum marketing expenditure commitments, or to provide funds for hardware to operate the games, or a combination of the forgoing. In some cases, we may not be able to recoup our investments in such games. We often must make such commitments and investments without knowing whether the games we are licensing will be successful and generate sufficient revenues to enable us to recoup our costs or for the games to be profitable.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Future alliances may expose us to potential risks, including those associated with the assimilation of new operation technologies and personnel, unforeseen or hidden liabilities, and potential business disputes with our partners, among others.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Strategic alliances with key players in the online game industry and other related industry sectors form part of our strategy to expand our portfolio of online games. In some cases, such alliances may involve our investment into strategic partners, as we have done with a number of game development studios in various countries. However, our ability to grow through future alliances, including through joint ventures and direct investments, will depend on the availability of suitable partners at reasonable terms, our ability to compete effectively to attract these partners, the availability of financing to complete larger joint ventures and investments, and our ability to obtain any required governmental approvals. Further, the benefits of an alliance may take considerable time to develop, and we cannot be certain that any particular alliance will produce its intended benefits.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Future alliances could also expose us to potential risks, including risks associated with the assimilation of new operation technologies and personnel, unforeseen or hidden liabilities, the inability to generate sufficient revenue to offset the costs and expenses of alliances and potential loss of, or harm to, our relationships with employees, customers, licensors and other suppliers as a result of integration of new businesses. Further, we may not be able to maintain a satisfactory relationship with our partners, which could adversely affect our business, financial conditions and results of operations. We have relatively limited experience in identifying, financing or completing strategic alliances compared with some of our competitors. Such transactions and the subsequent integration process would require significant attention from our management. The diversion of our management’s attention and any difficulties encountered with respect to the alliances or in the process of integration could have an adverse effect on our ability to manage our business.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Termination of our material intellectual property licenses could have a material adverse effect on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Certain of our online games rely on intellectual property license agreements which give us the right to use certain names, characters, logos or storylines in connection with online games developed by us. For example, we have a license agreement with Marvel Entertainment to create mobile games based on Marvel characters and storylines and partnered with Warner Bros. Games to co-develop the mobile game </w:t>
      </w:r>
      <w:r>
        <w:rPr>
          <w:rFonts w:ascii="Times New Roman;Times;serif" w:hAnsi="Times New Roman;Times;serif"/>
          <w:i/>
          <w:sz w:val="20"/>
        </w:rPr>
        <w:t>Harry Potter: Magic Awakened</w:t>
      </w:r>
      <w:r>
        <w:rPr>
          <w:rFonts w:ascii="Times New Roman;Times;serif" w:hAnsi="Times New Roman;Times;serif"/>
          <w:sz w:val="20"/>
        </w:rPr>
        <w:t>, which successfully launched in 2021 in the Chinese mainland, Hong Kong, Macau and Taiwan. If we were to breach any material term of these license agreements, the licensor could terminate the agreement. If the licensor were to terminate our rights to use any such intellectual property for this reason or any other reason, or if a licensor decides not to renew a license agreement upon the expiration of the license term, the loss of such rights could have a material adverse effect on our business. In addition, it can be difficult to identify a suitable intellectual property that can be adapted for use in online games and is recognizable to players in China and elsewhere, and we face significant competition for the rights to such intellectual property from other online game companies. Obtaining license rights, and particularly exclusive license rights, to use third-party intellectual property for use in online games can involve significant expense. In addition, we have previously obtained, and intend to continue to seek to obtain, license rights for works from certain intellectual property owners based outside of China, and our ability to utilize their intellectual property in China may be adversely affected by the scrutiny of such arrangements by the relevant Chinese authorities.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Even if we obtain license rights for such intellectual property, we cannot assure you that games that we develop utilizing it will be popular and commercially successful and that we will be able to recoup the amounts we pay for the license rights. Moreover, after the expiration of the terms of our license agreements with the relevant copyright holders, we may not be able to renew the agreements with commercial terms that are favorable to us, if at all. Our inability to renew such agreements could force us to discontinue the related online games and have a significant adverse impact on our online game operations and revenues.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Our new games may attract game players away from our existing games, which may have a material adverse effect on our business, financial condition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new online games, including mobile games and PC games, may attract game players away from our existing games and shrink the player base of our existing online games, which could in turn make those existing games less attractive to other game players, resulting in decreased revenues from our existing games. Players of our existing games may also spend less money to purchase time or virtual items in our new games than they would have spent if they had continued playing our existing games. In addition, our game players may migrate from our existing games with a higher profit margin to new games with a lower profit margin. The occurrence of any of the foregoing could have a material and adverse effect on our business, financial condition and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Illegal game servers and acts of cheating by players of online games could harm our business and reputation and materially and adversely affect our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Several of our competitors have reported in past years that certain third parties have misappropriated the source codes of their games and set up illegal game servers and let their customers play such games on illegal servers without paying for the game playing time. While we already have in place numerous internal control measures to protect the source codes of our games from being stolen and to address illegal server usage and, to date, our games have not to our knowledge experienced such usage, our preventive measures may not be effective. The misappropriation of our game server installation software and installation of illegal game servers could harm our business and reputation and materially and adversely affect our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acts of cheating by players of online games could lessen the popularity of our online games and adversely affect our reputation and our results of operations. There have been a number of incidents in previous years where users, through a variety of methods, were able to modify the rules of our online games. Although these users did not gain unauthorized access to our systems, they were able to modify the rules of our online games during gameplay in a manner that allowed them to cheat and disadvantage our other online game users, which often has the effect of causing players to stop using the game and shortening the game’s lifecycle. While we have taken a number of steps to deter our users from engaging in cheating when playing our online games, we cannot assure you that we or the third parties from whom we license some of our online games will be successful or timely in taking corrective steps necessary to prevent users from modifying the rules of our online games.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suspect a player of installing cheating programs on our online games, or of engaging in other types of unauthorized activities, we may freeze that player’s game account or even ban the player from logging on to our games and other online platforms. Such activities to regulate the behavior of our users are essential to maintaining a fair playing environment for our users. However, our users may dispute our regulatory activities and institute legal proceedings against us for damages or claims. Our business, financial condition and results of operations may be materially and adversely affected as a result.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Our online games will be less likely to be successful if we cannot adopt and implement innovative and effective marketing strategies to attract attention to our games from game players in our targeted demographic groups.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relatively large number of mobile and PC games are typically available at any given time in the markets in which we launch and operate our online games, and such games compete for attention from the same game player population that we target. Our ability to successfully promote and monetize our online games will depend on our ability to adopt and effectively implement innovative marketing strategies, and particularly marketing through our 163.com website, game live streaming sites and other online game forums, and our ability to cross-market new games to players of our current online games. We also engage in a wide range of other promotional activities such as hosting game tournaments and a forum that provides an online community for elite game players, key opinion leaders and masters of the online game industry to interact. If we fail to adopt and implement such marketing and cross-marketing strategies, or if the marketing strategies of our competitors are more innovative and effective than ours, our online games will be less likely to be successful and as a result we may not be able to achieve an acceptable level of revenue from those games.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Some of our players make sales and purchases of our game accounts and virtual items through third-party auction websites, which may have a negative effect on our net revenues.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Some of our players make sales and purchases of our game accounts and virtual items through unauthorized third-party auction websites in exchange for real money, which we do not and are unable to track or monitor. We do not generate any net revenues from these transactions. Accordingly, purchases and sales of our game accounts or virtual items on third-party websites could lead to decreased sales by us and also put downward pressure on the prices that we charge players for our virtual items and services, all of which could result in lower revenues generated for us by our games. New players may decide not to play our games as a result of any rule changes we might implement to restrict the players’ ability to trade in game accounts or virtual items, which could materially adversely affect our business, financial condition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addition, such trading activities could run afoul of PRC regulations on virtual currency and subject traders and us to potential liability. See “—Risks Related to Doing Business in China—Restrictions on virtual currency may adversely affect our online game revenues” for additional information.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Our Other Businesses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The changes in Youdao’s business strategies and offerings may make it difficult to evaluate its future prospects.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majority-controlled subsidiary Youdao has historically generated a significant portion of its net revenues from after-school tutoring services for academic subjects included in China’s compulsory education system for grades K-9, which we refer to as the Academic AST Business. In order to fully comply with applicable PRC regulatory requirements adopted by the PRC government in the second half of 2021, Youdao disposed of its Academic AST Business. In connection with this disposal, Youdao completed its transition to become a leading technology-focused intelligent learning company and has developed a comprehensive suite of product and service offerings. Youdao recently introduced a number of new intelligent learning products, such as </w:t>
      </w:r>
      <w:r>
        <w:rPr>
          <w:rFonts w:ascii="Times New Roman;Times;serif" w:hAnsi="Times New Roman;Times;serif"/>
          <w:i/>
          <w:sz w:val="20"/>
        </w:rPr>
        <w:t>Youdao Dictionary Pen X6 Pro and Youdao Listening Pod Pro</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significant changes in Youdao’s business strategies and offerings have not only rendered its historical results no longer indicative of its future performance, but they may also have some or all of the following unintended effects: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users, customers and business partners may not receive the changes in Youdao’s business strategies and offerings in a positive manner, and relationships with these parties may be jeopardized;</w:t>
            </w:r>
          </w:p>
        </w:tc>
      </w:tr>
    </w:tbl>
    <w:tbl>
      <w:tblPr>
        <w:tblW w:w="7296" w:type="dxa"/>
        <w:jc w:val="left"/>
        <w:tblInd w:w="0" w:type="dxa"/>
        <w:tblLayout w:type="fixed"/>
        <w:tblCellMar>
          <w:top w:w="28" w:type="dxa"/>
          <w:left w:w="28" w:type="dxa"/>
          <w:bottom w:w="28" w:type="dxa"/>
          <w:right w:w="28" w:type="dxa"/>
        </w:tblCellMar>
      </w:tblPr>
      <w:tblGrid>
        <w:gridCol w:w="124"/>
        <w:gridCol w:w="256"/>
        <w:gridCol w:w="69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Youdao’s new products and services may not be accepted by its users as we expect; </w:t>
            </w:r>
          </w:p>
        </w:tc>
      </w:tr>
    </w:tbl>
    <w:tbl>
      <w:tblPr>
        <w:tblW w:w="10041" w:type="dxa"/>
        <w:jc w:val="left"/>
        <w:tblInd w:w="0" w:type="dxa"/>
        <w:tblLayout w:type="fixed"/>
        <w:tblCellMar>
          <w:top w:w="28" w:type="dxa"/>
          <w:left w:w="28" w:type="dxa"/>
          <w:bottom w:w="28" w:type="dxa"/>
          <w:right w:w="28" w:type="dxa"/>
        </w:tblCellMar>
      </w:tblPr>
      <w:tblGrid>
        <w:gridCol w:w="124"/>
        <w:gridCol w:w="256"/>
        <w:gridCol w:w="96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Youdao’s new products and services may not attract users and customers or generate the revenue required to succeed;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underlying assumptions and estimates about Youdao’s new businesses and the new markets that it attempts to enter into may prove incorrect, which may cause Youdao’s actual results of operations to fall short of our expectations;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the extent Youdao enters into new businesses, its previous operating history may be of limited use for investors to evaluate Youdao’s future performance and prospects;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development of new products and services could be costly and time-consuming and requires us to make significant investments in research and product development, develop new technologies, and increase sales and marketing efforts, all of which may not be successful; </w:t>
            </w:r>
          </w:p>
        </w:tc>
      </w:tr>
    </w:tbl>
    <w:tbl>
      <w:tblPr>
        <w:tblW w:w="9531" w:type="dxa"/>
        <w:jc w:val="left"/>
        <w:tblInd w:w="0" w:type="dxa"/>
        <w:tblLayout w:type="fixed"/>
        <w:tblCellMar>
          <w:top w:w="28" w:type="dxa"/>
          <w:left w:w="28" w:type="dxa"/>
          <w:bottom w:w="28" w:type="dxa"/>
          <w:right w:w="28" w:type="dxa"/>
        </w:tblCellMar>
      </w:tblPr>
      <w:tblGrid>
        <w:gridCol w:w="124"/>
        <w:gridCol w:w="256"/>
        <w:gridCol w:w="9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will be incurred in the implementation of the new business strategies, which could be substantial;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changes in organizational structure that will be required to support the changes in Youdao’s business strategies and offerings may lead to dissatisfaction among employees which could make it more difficult for Youdao to retain key employees.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are unable to successfully address these risks and uncertainties, Youdao’s and hence our business, financial condition and results of operations could be materially and adversely affected.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Our Youdao business’s compliance with the Opinions on Further Alleviating the Burden of Homework and After-School Tutoring for Students in Compulsory Education and the implementation measures issued by the relevant PRC government authorities has materially and adversely affected and may continue to affect Youdao’s business, financial condition, results of operations and prospects.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PRC private education industry, especially the after-school tutoring sector, has experienced intense scrutiny and has been subject to significant regulatory changes recently that had materially and adversely impacted businesses in such industry. In particular, the Opinions on Further Alleviating the Burden of Homework and After-School Tutoring for Students in Compulsory Education jointly promulgated by the General Office of State Council and the General Office of Central Committee of the Communist Party of China on July 24, 2021, or the Alleviating Burden Opinion, sets out a series of operating requirements on after-school tutoring institutions. Youdao’s business, financial condition, results of operations and prospects have been and may continue to be materially and adversely affected by the actions we have taken to date and may be required to take in the future in compliance with the Alleviating Burden Opinion and its implementation measures. We are closely monitoring the evolving regulatory environment and are making efforts to seek guidance from and cooperate with the government authorities to comply with the Alleviating Burden Opinion and its implementation measures. Youdao disposed of its Academic AST Business and no longer offers any AST courses on academic subjects for students receiving compulsory education and for high-school students. With respect to Youdao’s non-academic after-school tutoring services, the Alleviating Burden Opinion requires local authorities to identify corresponding competent authorities for different tutoring categories of non-academic after-school tutoring services (e.g., physical education, arts, science, etc.) and set forth standards by categories to approve institutions for offering each category of non-academic after-school tutoring service. Some local government authorities have issued rules or recently released draft rules for public comments which require institutions providing non-academic after-school tutoring services to obtain private school operating permits or other approvals and to comply with relevant implementation measures. Since these local rules are recently promulgated, there are substantial uncertainties as to their interpretation, application and enforcement. In addition, on February 8, 2024, the MOE released the Regulations on the Administration of After-School Tutoring (Draft for Comments), pursuant to which non-academic after-school tutoring institutions must seek approval or consent from government authorities in charge of the relevant industry prior to submitting their applications to education government authorities. As of the date of the filing of this annual report, the above draft regulations were released for public comment only and the content of the final version, effective date and implementation of such regulations are subject to substantial uncertainty. Youdao follows internal guidelines to make necessary registrations and filings, except as would not have a material adverse effect on our business, and will use its commercially reasonable efforts to obtain, maintain and renew necessary licenses and permits on a timely basis. However, we cannot assure you that Youdao may be able to obtain and maintain all requisite licenses, permits, approvals and filings or pass all requisite assessments in a timely manner or at all.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certain aspects of our Youdao business may be deemed to not be in full compliance with relevant laws and regulations regarding after-school tutoring services. We have been making and will continue to make efforts to comply with such regulations as well as requirements from the relevant government authorities during such inspections. We cannot assure you, however, that we will be able to comply with such regulatory requirements in a timely manner, or at all. It is also uncertain whether and how the PRC government would promulgate additional laws, regulations and guidance regarding the private education industry, and there is no assurance that we can comply with any such newly promulgated laws, regulations and guidance in a timely manner, or at all. Moreover, Youdao’s business may be required to apply for and obtain additional licenses, permits or recordation or expand the scope of the licenses already obtained, given the significant uncertainties of the interpretation and implementation of certain regulatory requirements applicable to online education businesses.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The success and future growth of our Youdao business will be affected by the user acceptance and market trend of integration of technology and learning</w:t>
      </w:r>
      <w:r>
        <w:rPr>
          <w:rFonts w:ascii="Times New Roman;Times;serif" w:hAnsi="Times New Roman;Times;serif"/>
          <w:b/>
          <w:i/>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Youdao’s business model features integrating technology closely with learning to provide a more efficient and engaging learning experience. Intelligent learning remains a relatively new concept in China, and there are limited proven methods to project user demand or preference or available industry standards. Even with the proliferation of internet and mobile devices in China, we believe that some of Youdao’s target students may still be inclined to choose traditional face-to-face learning approaches over virtual learning as they find the former more intimate and reliable. We cannot assure you that Youdao’s products and services will continue to be attractive to our users in the future. If Youdao’s offering of learning services and smart devices becomes less appealing to our users, the financial condition and results of operations of our Youdao business could be materially and adversely affected.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If Youdao fails to develop and apply technologies to support and expand its product and service offerings or if Youdao fails to timely respond to the rapid changes in industry trends and user preferences, our Youdao business may be materially and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Over the years, Youdao has developed a number of core technologies to support its comprehensive suite of products and services. Youdao also relies on technologies to build and maintain its information technology infrastructure. The intelligent learning industry is subject to rapid technological changes and innovations and is affected by unpredictable product lifecycles and user preferences. Youdao’s technologies may become obsolete or insufficient, and Youdao may have difficulties in following and adapting to technological changes in the intelligent learning industry in a timely and cost-effective manner. New technologies and solutions developed and introduced by Youdao’s competitors could render its offerings less attractive or obsolete thus materially affecting Youdao’s business and prospects. In addition, Youdao’s substantial investments in technologies may not produce expected results. If Youdao fails to continue to develop, innovate and utilize its technologies to support and expand its product and service offerings or if its competitors develop or apply more advanced technologies, the financial condition and results of operations of our Youdao business could be materially and adversely affected.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Our intelligent learning, music streaming, e-commerce, advertising and other innovative businesses are subject to a broad range of laws and regulations. Any lack of requisite approvals, licenses or permits applicable to these businesses or any failure to comply with applicable laws or regulations may have a material and adverse impact on our business, financial condition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intelligent learning, music streaming, e-commerce, advertising and other innovative businesses are subject to a broad range of laws and regulations, and future laws and regulations may impose additional requirements and other obligations.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example, our online music business and services, which we conduct through our majority-controlled subsidiary Cloud Music, must comply with laws, regulations, policies and guidelines promulgated by PRC government authorities related to music streaming, live streaming and online entertainment industries. In addition, Cloud Music and its subsidiaries are required to obtain various government approvals, licenses and permits or make various registrations and filings to provide internet information services, internet culture services, internet publication services, online audio-visual products and other related value-added telecommunications services, including the requirement to hold an AVSP or complete the registration in the national network audio-visual platform information registration management system. For more information, see Item 4.B. “Information on the Company—Business Overview—Government Regulations—Regulations on Internet Live Streaming Services.” Cloud Music and its subsidiaries have submitted an application to register with the registration management system, which is currently under review, and we cannot assure you that such registration will be approved or that Cloud Music will no longer be required to hold an AVSP if and when such registration is completed.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Moreover, our e-commerce business is subject to numerous PRC laws and regulations that regulate retailers generally or govern online retailers specifically. See below “—Risks Related to Doing Business in China—We are subject to consumer protection laws that could require us to modify our current business practices and incur increased costs.” We may also be required to obtain licenses and permits from different regulatory authorities in order to sell certain categories of products. Additionally, the online activities of all of these businesses are subject to PRC regulations governing foreign ownership of companies in the internet industry and the licensing requirements pertaining to them, as well as internet access and the distribution of online content including music, music videos, online educational content and other forms of content over the internet. See “—Risks Related to Our Corporate Structure” and “—Risks Related to Doing Business in China.”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these industries are evolving rapidly in China, the interpretation and application of the existing PRC laws and possible new laws, regulations or policies have created substantial uncertainties regarding our businesses. We cannot assure you that we have obtained all the approvals, licenses or permits required for our businesses or will be able to maintain our existing approvals, licenses or permits. If the PRC governmental authorities determine that we are not in compliance with all the requirements under applicable laws and regulations, we may be required to obtain additional licenses or permits or be subject to fines and/or other sanctions. There is no guarantee that we would be able to obtain such licenses or permits or meet all the supervision requirements in a timely manner, or at all. Failure to maintain or regain compliance may materially and adversely affect our business, financial condition and results of operations, including being subject to liabilities, penalties, impediments in development of such business models and disruptions to its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Our controlling interest in Youdao and/or Cloud Music may be diluted if Youdao and/or Cloud Music raise additional capital with the issuance and sale of additional equity in the future.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Youdao, our majority-controlled subsidiary listed on the New York Stock Exchange, and/or Cloud Music, our majority-controlled subsidiary listed on the Hong Kong Stock Exchange, may need additional capital in the future to fund their continued operations and support their business growth. As Youdao and/or Cloud Music will continue to invest heavily in improving technologies, expanding their marketing efforts, hiring qualified personnel and offering additional products, services and content, Youdao and/or Cloud Music may not generate sufficient revenue to offset such expenses. In the future, should Youdao and/or Cloud Music require additional liquidity and capital resources to fund their business and operations, Youdao and/or Cloud Music may need to obtain additional financing, including issuing and selling additional equity or equity-linked securities, or issuing additional equity awards to incentivize their employees, which would dilute our interests in Youdao and/or Cloud Music.</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Youdao, our majority-controlled subsidiary, relies on our financial support.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Since its formation, Youdao has received various financial support from the NetEase group, among others, currently including RMB878.0 million outstanding interest-bearing short-term loans as of December 31, 2023 and a US$300.0 million revolving loan facility. If Youdao’s management cannot implement an effective business plan in light of the changing regulatory environment to generate operating cash flows and continue to be able to obtain other sources of financing as necessary for Youdao’s future development, it will continue to rely on the financial support from the NetEase group for its continuing operations.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We have devoted, and will continue to devote substantial efforts to monetizing our user base in Cloud Music’s music streaming business. If we fail to effectively execute such monetization strategies, Cloud Music’s business may be materially and adversely affected which may adversely affect our consolidated results of operations.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music streaming business is operated by our majority-controlled subsidiary Cloud Music, and we have devoted substantial efforts to monetizing its user base by increasing the number of paying users and cultivating users’ willingness to pay for music. Cloud Music monetizes its music streaming platform primarily through the sales of membership subscriptions for online music services and sales of virtual items for social entertainment services. At a strategic level, we plan to continue to optimize our existing monetization strategies and explore new monetization opportunities. It is crucial to balance, on the one hand, creating sufficient monetization opportunities, which enhances the revenues of our platform, and, on the other hand, maintaining an enjoyable platform, which helps to maintain a sizable user base, high user engagement and associated network effects. However, if these efforts fail to achieve our anticipated results, we may not be able to increase or even maintain Cloud Music’s revenue growth.</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order to increase the number of our paying users and cultivate our users’ willingness to pay for music content and social entertainment services, we will need to address a number of challenges, including but not limited to providing consistently high-quality and user-friendly experience, continuing to curate a catalogue of engaging content and continuing to introduce new, appealing products, services and content that users are willing to pay for. If we fail to address any of these challenges, especially if we fail to offer high-quality music content and superior user experience to meet user preferences and demands, Cloud Music may not be successful in increasing the number of paying users and cultivating users’ willingness to pay for music content and social entertainment services, which could have a material adverse impact on Cloud Music’s business, and negatively impact our consolidated results of operations.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If we fail to anticipate user preferences to provide online music streaming content catering to user demands, or maintain the attractiveness of our services to users and business partners, Cloud Music’s business may be materially and adversely affected, which may adversely affect our consolidated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Constantly changing consumer preferences have affected and will continue to affect the music industry, in particular online music platforms. Given that our music streaming business operates in a rapidly evolving industry, we need to anticipate user preferences and industry changes and respond to such changes in a timely and effective manner. We must stay abreast of emerging consumer preferences and anticipate product trends that will appeal to existing and potential users. If Cloud Music fails to cater to the needs and preferences of Cloud Music’s users and control our costs in doing so or fail to deliver compelling user experience, Cloud Music may suffer from reduced user traffic, and Cloud Music’s business may be materially and adversely affected, which may adversely affect our consolidated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Maintaining and enhancing the “NetEase Cloud Music” brand is critical to expanding Cloud Music’s base of users, advertisers, content contributors and other partners. Maintaining and enhancing this brand will depend largely on our ability to continue to develop and provide an innovative and high-quality experience for our listeners and attract advertisers, content owners and other parties to work with us, which we may not do successfully. Our brand may be impaired by a number of other factors, including service outages, data privacy and security issues, listener perception of ad load and exploitation of our trademarks by others without permission. In addition, if our partners fail to maintain high standards for products that integrate our service, the strength of our brand could be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music streaming business partners include music labels, advertisers, talent agencies and others. We help our advertisers reach and engage with their target users through the services and solutions we offer through Cloud Music. Our ability to grow our revenues to a certain extent depends on our ability to retain and enhance our relationships with our existing business partners and attract new ones. Our success also depends on our ability to provide effective services and solutions that meet the expectations of our business partners. For instance, if we fail to develop new advertisement formats or effective marketing solutions that are appealing to our business partners, they may turn to our competitors for alternative services. Our business also relies on content, services and technologies provided by some business partners. If we fail to retain and enhance our business relationships with these business partners, or if these business partners choose to terminate or change the terms of our cooperation arrangements for strategic, financial or other reasons, we may suffer content loss, service interruptions or reduced revenues, which may have a material and adverse effect on Cloud Music’s business and may adversely affect our consolidated results of operations.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We depend on third-party licenses for a significant portion of our music content, and any adverse changes to, or loss of, our relationships with these music content providers may materially and adversely affect Cloud Music’s business, which may adversely affect our consolidated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Significant portions of our music offerings are licensed from music content partners, including music publishers and labels in China and internationally, with whom we have entered into licensing agreements. There is no assurance that the licenses currently available to us will continue to be available in the future at royalty rates and on terms that are favorable, commercially reasonable or at all.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is also no guarantee that we have all of the licenses for the music content available on our platform, as we need to obtain licenses from many copyright owners, some of whom are unknown, and there are complex legal issues such as open questions of law as to when and whether particular licenses are needed. Additionally, there is a risk that copyright owners, talent agencies, or legislative or regulatory bodies may require or attempt to require us to enter into additional license agreements with, and pay royalties to, newly defined groups of copyright owners, some of which may be difficult or impossible to identify.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there is no guarantee that the licenses or arrangements we have now will be renewed in the future. If we are unable to secure and maintain the licenses or similar arrangements that we desire, the size and quality of our music catalog offered by our music streaming platform and the financial condition and results of operations of this business may be materially and adversely affected, which in turn could negatively impact the attractiveness of our brand name and online services in general to our users.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 portion of our revenues is generated from our advertising services, but we may not be able to compete effectively in this market because of its rapidly evolving nature and intense competition, in which case our ability to generate and maintain advertising revenue in the future could be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Although we anticipate that the revenues generated by our online games will continue to constitute the major portion of our future revenues, we believe that we will continue to rely on advertising as a source of revenue for the foreseeable future. The popularity of online advertising in China has been growing quickly in recent years, and many of our current and potential advertisers have gained experience with using the internet as an advertising medium. Our ability to generate and maintain significant advertising revenue will depend on a number of factors, many of which are beyond our control, including:</w:t>
      </w:r>
    </w:p>
    <w:tbl>
      <w:tblPr>
        <w:tblW w:w="2796" w:type="dxa"/>
        <w:jc w:val="left"/>
        <w:tblInd w:w="0" w:type="dxa"/>
        <w:tblLayout w:type="fixed"/>
        <w:tblCellMar>
          <w:top w:w="28" w:type="dxa"/>
          <w:left w:w="28" w:type="dxa"/>
          <w:bottom w:w="28" w:type="dxa"/>
          <w:right w:w="28" w:type="dxa"/>
        </w:tblCellMar>
      </w:tblPr>
      <w:tblGrid>
        <w:gridCol w:w="124"/>
        <w:gridCol w:w="256"/>
        <w:gridCol w:w="24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macroeconomic conditions;</w:t>
            </w:r>
          </w:p>
        </w:tc>
      </w:tr>
    </w:tbl>
    <w:tbl>
      <w:tblPr>
        <w:tblW w:w="8496" w:type="dxa"/>
        <w:jc w:val="left"/>
        <w:tblInd w:w="0" w:type="dxa"/>
        <w:tblLayout w:type="fixed"/>
        <w:tblCellMar>
          <w:top w:w="28" w:type="dxa"/>
          <w:left w:w="28" w:type="dxa"/>
          <w:bottom w:w="28" w:type="dxa"/>
          <w:right w:w="28" w:type="dxa"/>
        </w:tblCellMar>
      </w:tblPr>
      <w:tblGrid>
        <w:gridCol w:w="124"/>
        <w:gridCol w:w="256"/>
        <w:gridCol w:w="8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operations and financial conditions of our advertisers and the general level of advertiser spending;</w:t>
            </w:r>
          </w:p>
        </w:tc>
      </w:tr>
    </w:tbl>
    <w:tbl>
      <w:tblPr>
        <w:tblW w:w="8976" w:type="dxa"/>
        <w:jc w:val="left"/>
        <w:tblInd w:w="0" w:type="dxa"/>
        <w:tblLayout w:type="fixed"/>
        <w:tblCellMar>
          <w:top w:w="28" w:type="dxa"/>
          <w:left w:w="28" w:type="dxa"/>
          <w:bottom w:w="28" w:type="dxa"/>
          <w:right w:w="28" w:type="dxa"/>
        </w:tblCellMar>
      </w:tblPr>
      <w:tblGrid>
        <w:gridCol w:w="124"/>
        <w:gridCol w:w="256"/>
        <w:gridCol w:w="85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development of a large base of users possessing demographic characteristics attractive to advertisers;</w:t>
            </w:r>
          </w:p>
        </w:tc>
      </w:tr>
    </w:tbl>
    <w:tbl>
      <w:tblPr>
        <w:tblW w:w="6456" w:type="dxa"/>
        <w:jc w:val="left"/>
        <w:tblInd w:w="0" w:type="dxa"/>
        <w:tblLayout w:type="fixed"/>
        <w:tblCellMar>
          <w:top w:w="28" w:type="dxa"/>
          <w:left w:w="28" w:type="dxa"/>
          <w:bottom w:w="28" w:type="dxa"/>
          <w:right w:w="28" w:type="dxa"/>
        </w:tblCellMar>
      </w:tblPr>
      <w:tblGrid>
        <w:gridCol w:w="124"/>
        <w:gridCol w:w="256"/>
        <w:gridCol w:w="6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with other major and emerging online advertising platforms;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766" w:type="dxa"/>
        <w:jc w:val="left"/>
        <w:tblInd w:w="0" w:type="dxa"/>
        <w:tblLayout w:type="fixed"/>
        <w:tblCellMar>
          <w:top w:w="28" w:type="dxa"/>
          <w:left w:w="28" w:type="dxa"/>
          <w:bottom w:w="28" w:type="dxa"/>
          <w:right w:w="28" w:type="dxa"/>
        </w:tblCellMar>
      </w:tblPr>
      <w:tblGrid>
        <w:gridCol w:w="124"/>
        <w:gridCol w:w="256"/>
        <w:gridCol w:w="8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development of software that blocks internet advertisements before they appear on a user’s screen;</w:t>
            </w:r>
          </w:p>
        </w:tc>
      </w:tr>
    </w:tbl>
    <w:tbl>
      <w:tblPr>
        <w:tblW w:w="4791" w:type="dxa"/>
        <w:jc w:val="left"/>
        <w:tblInd w:w="0" w:type="dxa"/>
        <w:tblLayout w:type="fixed"/>
        <w:tblCellMar>
          <w:top w:w="28" w:type="dxa"/>
          <w:left w:w="28" w:type="dxa"/>
          <w:bottom w:w="28" w:type="dxa"/>
          <w:right w:w="28" w:type="dxa"/>
        </w:tblCellMar>
      </w:tblPr>
      <w:tblGrid>
        <w:gridCol w:w="124"/>
        <w:gridCol w:w="256"/>
        <w:gridCol w:w="44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downward pressure on online advertising prices; and</w:t>
            </w:r>
          </w:p>
        </w:tc>
      </w:tr>
    </w:tbl>
    <w:tbl>
      <w:tblPr>
        <w:tblW w:w="5796" w:type="dxa"/>
        <w:jc w:val="left"/>
        <w:tblInd w:w="0" w:type="dxa"/>
        <w:tblLayout w:type="fixed"/>
        <w:tblCellMar>
          <w:top w:w="28" w:type="dxa"/>
          <w:left w:w="28" w:type="dxa"/>
          <w:bottom w:w="28" w:type="dxa"/>
          <w:right w:w="28" w:type="dxa"/>
        </w:tblCellMar>
      </w:tblPr>
      <w:tblGrid>
        <w:gridCol w:w="124"/>
        <w:gridCol w:w="256"/>
        <w:gridCol w:w="54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effectiveness of our advertising delivery and tracking system.</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Changes in government policy could also restrict or curtail our online advertising services.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Our e-commerce business is subject to challenges and risks, which may have a negative impact on our financial performance.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established our private label consumer lifestyle brand, Yanxuan, in April 2016. Yanxuan sells a wide range of products, including pet food and supplies, home cleaning products, bedding and other categories of products, which we source from a variety of manufacturers. This business exposes us to challenges and risks that could negatively impact our financial performance. We have incurred significant expenses on a variety of different marketing and brand promotion efforts designed to enhance the recognition of our Yanxuan business and increase sales of our products. However, our brand promotion and marketing activities may not be well received by our customers and may not result in the levels of product sales that we anticipate.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face intense competition from other e-commerce players, private label manufacturers and retailers. The e-commerce industry in China is subject to rapid market change, the introduction of new business models, and the entry of new and well-funded competitors. If we are unable to compete effectively, our e-commerce business’s financial condition and results of operations would be materially and adversely affected. To effectively compete with our competitors in the e-commerce industry, we are also required to adjust and refine our marketing approaches or to introduce new marketing approaches because the marketing approaches and tools in the consumer products market in China are constantly evolving. If we are unable to design marketing activities that will appeal to the Chinese consumers or market in a cost-effective manner, revenues from our e-commerce business will be adversely affected. In addition, our e-commerce business requires us to manage a large volume of inventory effectively and requires a large amount of working capital. If we fail to manage our inventory effectively, we may be subject to a heightened risk of inventory obsolescence, a decline in inventory values, and significant inventory write-downs or write-offs, which may materially and adversely affect our e-commerce business and financial position.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Moreover, the future growth of our e-commerce business depends on our ability to continue to attract new customers as well as new purchases from existing customers. Constantly changing consumer preferences have affected and will continue to affect the online retail industry. We must stay abreast of emerging consumer preferences and anticipate product trends that will appeal to existing and potential customers. If we are unable to offer products that attract new customers and new purchases from existing customers, our e-commerce business may be materially and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our profit margin from the e-commerce business, even if the business is successful, is likely to be relatively lower than our profit margin from certain of our other businesses, such as our online game business. If we cannot successfully address challenges specific to the e-commerce business and compete effectively, we may not be able to recover the costs of our investments, and our future results of operations and growth prospects may be materially and adversely affected.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Our Operations Overall</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We may be unable to compete successfully against new entrants and established industry competitors.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Chinese market for internet content and services is intensely competitive and rapidly changing. Our competition primarily comes from global online game developers and operators, such as Tencent, established online and offline education service providers and manufacturers of smart hardware or devices in China, as well as leading digital media and entertainment providers. Some of our current and potential competitors are much larger than we are, and currently offer, and could further develop or acquire, content and services that compete with us. We mainly compete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attract, engage and retain users based on the design, quality, popularity and efficacy of our content offerings, the overall user experience of our products and services, as well as the effectiveness of our marketing activities;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attract and retain motivated and capable talent, including engineers, game designers, product developers and creative professionals to build compelling content, tools and functions; and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win collaboration relationships with game studios and content owners based on our level of expertise in systematically developing original games, delivering a compelling user experience through operational know-how and customizing our established game titles for rapid expansion into overseas markets.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ability to compete depends on a number of other factors as well, some of which may be beyond our control, including alliances, acquisitions or consolidations within our industries that may result in stronger competitors, and changes in the regulatory environment in the markets we operate. Existing and new competitors may leverage their established platforms or market positions, or introduce innovative business models, to launch highly-engaging content, products or services that may attract a large user base and achieve rapid growth, which may materially and adversely affect our business expansion and results of operations. We increasingly face competition from domestic and international players operating in our markets. Because many of our existing competitors as well as a number of potential competitors have longer operating histories in the internet market, greater name and brand recognition, better connections with the Chinese government, larger customer bases and databases and significantly greater financial, technical and marketing resources than we have, we cannot assure you that we will be able to compete successfully against our current or future competitors or that competition will not have a material and adverse effect on our business, financial condition and results of operations.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If we fail to keep up with rapid changes in technologies and user behavior, our future success may be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future success will depend on our ability to respond to rapidly changing technologies, adapt our products and services to evolving industry standards and improve the performance and reliability of our products and services. Our failure to adapt to such changes could harm our business. In addition, changes in user behavior resulting from technological developments may also adversely affect us. For example, the number of people accessing the internet through mobile devices, including mobile phones, tablets and other hand-held devices, has increased in recent years, and we expect this trend to continue while 5G and more advanced mobile communications technologies are broadly implemented. If we fail to develop products and technologies that are compatible with all mobile devices, or if the products and services we develop are not widely accepted and used by users of various mobile devices, we may not be able to penetrate the mobile markets. In addition, the widespread adoption of new internet, networking or telecommunications technologies or other technological changes could require substantial expenditures to modify or integrate our products, services or infrastructure. If we fail to keep up with rapid technological changes to remain competitive, our future success may be adversely affected.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We cannot guarantee that our efforts to innovate and explore new areas of operations would be successful or have a positive financial impact on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to our existing businesses, we continue to invest significant resources in innovation and exploring new products, services and technologies to cater to the rapidly changing customer demands and trends in the internet industry. However, the success of new products and services depends on a number of factors, including the quality of our products or services, their acceptance by the targeted customers and our assessment of market demands and trends.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our competitors are constantly developing innovations, on both mobile devices and personal computers, to enhance users’ online experience in areas where we currently operate or areas that we wish to expand our operations into. As a result, our efforts to continually innovate and explore new growth strategies and introduce new products and services to attract more customers to our services may not be successful, and we cannot guarantee that our innovation efforts will have a positive financial impact on us.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Our gross profit margin and profitability may be affected by changes in our mix of revenues.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gross profit may fluctuate from period to period due to a shifting mix of services and products we sell due to changes in the relative demand for them in the marketplace. Shifts in the mix of our revenue contributed by our different business lines (or by shifts in the sales of individual services or products within such businesses) can impact our gross profit because they generally produce a different level of gross margin. For example, in general our segments, namely Youdao, Cloud Music and innovative businesses and others, have had lower gross profit margins compared to our games and related value-added services segment. These individual gross margins in turn can be impacted in any given period by factors such as competition, the implementation of new regulatory requirements and other factors. If the mix of services and products sold shifts from higher margin business lines to lower margin lines as a result of differing growth rates among such lines (or to lower margin services and products within business lines), our overall gross profit margin and profitability may be adversely affected.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We are exposed to credit risk on our accounts receivable, which may be heightened during periods of uncertain economic conditions.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outstanding accounts receivable are not covered by collateral or credit insurance. While we have procedures to monitor and limit exposure to credit risk on our accounts receivable, which risk is heightened during periods of uncertain economic conditions, there can be no assurance such procedures will effectively limit our credit risk and enable us to avoid losses, which could have a material adverse effect on our financial condition and operating results.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A prolonged slowdown in the PRC or global economy may materially and adversely affect our results of operations, financial condition, prospects and future expansion plans.</w:t>
      </w:r>
      <w:r>
        <w:rPr>
          <w:rFonts w:ascii="Times New Roman;Times;serif" w:hAnsi="Times New Roman;Times;serif"/>
          <w:sz w:val="20"/>
        </w:rPr>
        <w:t xml:space="preserv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derive a substantial portion of our revenue from China. As a result, our revenue and net income are impacted to a significant extent by economic conditions in China and globally, as well as economic conditions specific to online and mobile internet usage and advertising. The global economy, markets and levels of consumer spending are influenced by many factors beyond our control, including consumer perception of current and future economic conditions, political uncertainty, levels of employment, real disposable income, interest rates, taxation and currency exchange rates. In recent years, the rate of economic growth in the PRC has slowed down in general. Any continuing or worsening slowdown could significantly reduce domestic commerce in China, including through the internet generally and within our business. In addition, any future escalation of the ongoing trade war between the United States and China, the Russia-Ukraine conflict, the Israel-Hamas conflict or other factors, may negatively impact the growth in both the Chinese economy and the global economy as a whole. There have also been concerns about the relationship between China and other countries, including surrounding Asian countries, which may potentially lead to foreign investors closing down their businesses or withdrawing their investments in China, and thus exiting the China market, and other economic effects. In particular, there is significant uncertainty about the future relationship between the United States and China with respect to trade policies, treaties, government regulations and tariffs. Economic conditions in China are sensitive to global economic conditions, as well as changes in domestic economic and political policies. An economic downturn, whether actual or perceived, a further decrease in economic growth rates or an otherwise uncertain economic outlook in China or any other market in which we may operate could have a material adverse effect on our business, financial condition and results of operations.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We are currently operating in a period of economic uncertainty and capital markets disruption, which has been significantly impacted by rising inflation, energy costs and geopolitical instability, including the Russia-Ukraine conflict and the Israel-Hamas conflict, any of which could have a material adverse effect on our business, financial condition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U.S. and global markets are experiencing volatility and disruption resulting from increasing inflation, energy costs and the escalation of geopolitical tensions. The Russia-Ukraine conflict, the Hamas-Israel conflict and other volatility in the Middle East and elsewhere have heightened geopolitical tensions across the world and led to further market disruptions, including significant volatility in commodity prices, credit and capital markets, as well as supply chain interruptions, which has further fueled inflation. Although we have not identified any material impact to our business due to inflation as of the date of the filing of this annual report, because costs rise faster than revenues during the early phases of inflation, we may find that, among other effects, we need to give higher than normal raises to employees, start new employees at higher wage, and/or pay higher amounts for employee benefits. There have also been concerns about the relationship between China and other countries which may potentially have economic effects. In particular, there is significant uncertainty about the future relationship between the United States and China with respect to trade policies, treaties, government regulations and tariffs. Economic conditions in China are sensitive to global economic conditions, as well as changes in domestic economic and political policies and the expected or perceived overall economic growth rate in China. Any severe or prolonged slowdown in the global or Chinese economy may materially and adversely affect our business, results of operations and financial condition. As the duration, impact and interrelationship of the above-mentioned factors are difficult to predict, any of them could have a material adverse effect on our business, financial condition and results of operations.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Trade sanctions imposed by various jurisdictions may expose us to potential compliance risks.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Trade sanctions laws prohibit us from doing business in or with certain countries, territories or governments, and with certain persons or entities that have been sanctioned by the United States (including without limitation those administered and enforced by the U.S. Department of Treasury’s Office of Foreign Asset Controls and the U.S. Department of State), the United Kingdom, British Overseas Territories (including the Cayman Islands), the European Union and its Member States, and other governments and international or regional organizations, such as the United Nations Security Council. Such trade sanctions programs may change frequently or evolve to regulate new areas of conduct, including with respect to the countries or territories that are already subject to trade sanctions. Additionally, more countries, territories, governments, persons or entities may be exposed to trade sanctions due to geopolitical instability. It is not, however, possible to predict how the international regulatory environment concerning trade sanctions may develop.</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company incorporated in the Cayman Islands, a British Overseas Territory, we are required to comply with sanctions implemented in the Cayman Islands, which generally reflect the United Kingdom sanctions. As regards U.S. sanctions and the sanctions of the European Union or its Member States, given that the substantial majority of our subsidiaries and operations are outside of the U.S. and the European Union, or the EU, we are generally not required to comply with U.S. and EU sanctions to the same extent as U.S. or EU entities. However, for companies like us, our U.S. and EU subsidiaries, employees who are U.S. citizens (or lawful permanent residents) or nationals of EU Member States, activities taking place in the U.S. or the EU, activities involving U.S.-origin goods, technology or services, activities traded in U.S. dollars, and certain conduct or dealings, among other activities, are subject to applicable sanctions requirements. Moreover, although our websites are open and available worldwide, we do not actively solicit business in countries that are subject to comprehensive trade sanctions or from persons who are subject to trade sanctions. Some trade sanctions specifically target China and China-based companies which may affect our business (see “—Export controls and trade sanctions explicitly or implicitly involving China could negatively affect our business operations and subject us to regulatory investigations, fines, penalties or other actions and reputational harm, which could materially adversely affect our business, financial condition and results of operations” below). We expect that our exposure to trade sanctions will increase as we continue to expand our international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implemented internal controls to manage and monitor our compliance with applicable trade sanctions, but there can be no assurance that we are able to prevent or detect inadvertent business dealings with or involving sanctioned parties and we have limited control over the activities of our international business partners and non-controlled investees. We also cannot predict with certainty how relevant authorities will interpret, implement or enforce their trade sanction laws or regulations. While we do not believe that we are in violation of any applicable trade sanctions laws or that any of our activities are currently sanctionable under applicable laws, some of our activities or the activities of our affiliates could expose us to penalties under these laws. Any alleged trade sanctions violations may adversely affect our reputation, business, financial condition and results of operations. In addition, as we expand globally, we may incur significant costs related to current, new or changing trade sanctions, embargoes, export controls programs or other restrictions and disclosure requirements, as well as negative publicity, investigations, fines, fees or settlements, which may be difficult to predict.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Export controls and trade sanctions explicitly or implicitly involving China could negatively affect our business operations and subject us to regulatory investigations, fines, penalties or other actions and reputational harm, which could materially adversely affect our business, financial condition and results of operations.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 number of countries and jurisdictions, including China, the U.S., the EU and the United Kingdom have adopted various export control and trade sanctions regimes, which are complex, change frequently with limited or no notice and have generally become more stringent over time. The addition of new entities to restricted party lists can further increase the scope of trade sanctions and export control restrictions applicable to our business.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particular, the U.S. government and other governments have threatened and/or imposed export controls, as well as trade sanctions, targeting China, and a number of China-based companies, including ZTE Corporation, Huawei Technologies Co., Ltd., Tencent Holdings Limited, certain of their respective affiliates, and other PRC-based technology companies. On October 7, 2022, the U.S. Commerce Department’s Bureau of Industry and Security announced a new set of export control rules aimed at restricting China’s ability to obtain advanced semiconductor chips, develop and maintain supercomputers, and manufacture advanced semiconductor chips. As a result, both U.S. and non-U.S. parties cannot export, re-export, or transfer (in-country) certain U.S.-origin advanced computing semiconductor chips, computer commodities that contain such chips, and certain semiconductor manufacturing items to China without export licensing, and the export to China of non-U.S. origin items in these categories from other countries may be subject to U.S. export licensing requirements if they are the product of certain controlled U.S. software and technology or of equipment or facilities that are themselves the product of certain controlled software or technology, or incorporate certain controlled U.S.-origin items. Furthermore, on October 17, 2023, the U.S. Commerce Department’s Bureau of Industry and Security released updated export control rules on advanced computing items and semiconductor manufacturing equipment, including setting tighter parameters on existing restrictions on chips, which seek to strengthen and improve the controls imposed on October 7, 2022. In January 2023, Japan and the Netherlands, countries that are homes to some of the world’s most advanced semiconductor equipment manufacturers, also announced that they have agreed to restrict exports of advanced chip-manufacturing equipment to China. The U.S. Commerce Department’s Bureau of Industry and Security is also continuing to finalize additional new export controls with respect to a wide range of “emerging and foundational” technologies, which may include certain software technologies that are relevant to our business and/or our future growth. These rules may prevent us from acquiring advanced semiconductors which may impede our ability to effectively develop new technologies and services, including in the areas which require significant computer processing power.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It is possible that the United States or other jurisdictions may impose further export controls and/or trade sanctions, and other heightened regulatory requirements on China and China-based companies in a wide range of areas. These regulatory requirements could, among other restrictions, (1) prohibit or restrict firms from selling, exporting, re-exporting or transferring certain technology, components, software and other items to China-based companies, (2) prohibit or restrict persons from entering into transactions with China-based companies, (3) prohibit or restrict China-based companies from accessing data, providing services in or operating in the sanctioning jurisdiction, or (4) prohibit purchases and sale of securities of Chinese firms, among other prohibitions or restrictions. In addition, Chinese companies, if targeted under U.S. trade sanctions, may lose access to the U.S. markets and the U.S. financial system, including the ability to use U.S. dollars to conduct transactions, settle payments or to maintain correspondent accounts with U.S. financial institutions. U.S. entities and individuals may not be permitted to do business with sanctioned companies or persons, and international banks and other companies may as a matter of law and/or policy decide not to engage in transactions with such companies. In January 2023, the U.S. House of Representatives formed a new Select Committee on the Strategic Competition Between the United States and the Chinese Communist Party, which is authorized to investigate and submit policy recommendations concerning the status of the economic, technological, and security progress of the Chinese Communist Party and its competition with the United States. We cannot predict what recommendations this committee may make from time to time or what new rules and regulations may ultimately be adopted in this regard.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Furthermore, in December 2023, MOFCOM and MST issued the Announcement on Promulgation of the Catalogue of Technologies Prohibited or Restricted from Export by China which stipulates that certain technologies, including technologies related to personalized information push services based on data analysis, are restricted from export outside the PRC without approval. Some of our technologies could fall within the scope of technologies subject to such export restriction. In addition, according to the PRC Export Control Law which came into effect in December 2020, we, our affiliates and business partners may also be required to obtain licenses, permits and governmental approvals to export certain goods, technologies and services. These and additional regulatory restrictions and requirements that may become effective from time to time may increase our compliance burden and affect our ability and efficiency in expanding to international markets.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business, financial condition and results of operations may be materially adversely affected by current or future export controls and/or trade sanctions. Moreover, if any of our expanding portfolio of investee companies, global business partners, joint venture partners or other parties that have collaborative relationships with us were to become affected by export controls or subject to trade sanctions, this might result in significant negative publicity, governmental investigations and reputational harm, as well as losses from impairments or write-offs.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We are subject to a variety of laws and other obligations regarding data security and personal information protection in China, and our failure to comply with any of them could result in claims, complaints or proceedings against us by governmental entities, individuals or others and could harm our public image and reputation, which could have a material adverse effect on our business, results of operations and financial condition.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subject to laws in China relating to the collection, use, sharing, retention, security and transfer of confidential and private information, such as personal information and other data. These laws apply not only to third-party transactions, but also to transfers of information between our company and our subsidiaries and the VIEs and among our company, our subsidiaries, the VIEs and other parties with which we have commercial relations. These laws are continuing to develop, and the PRC government may adopt other rules and restrictions in the future. Non-compliance could result in penalties or other significant legal liabilities.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According to the Cybersecurity Law of the PRC, or Cybersecurity Law, which was promulgated by the National People’s Congress Standing Committee on November 7, 2016, and took effect on June 1, 2017, we, as a network operator, are obligated to provide technical assistance and support to public security and national security authorities in order to protect national security or assist with criminal investigations. In addition, the Cybersecurity Law provides that personal information and important data collected and generated by an operator of critical information infrastructure in the course of its operations in the PRC must be stored in the PRC. As of the date of the filing of this annual report, we have not been recognized as the operator of critical information infrastructure. We have undertaken significant measures in an effort to ensure compliance with the Cybersecurity Law. On September 12, 2022, the CAC issued the Decision on Amending the PRC Cybersecurity Law (Draft for Comments), which further refines and enhances the legal liabilities for violating various existing provisions of the Cybersecurity Law. As of the date of the filing of this annual report, these proposed amendments to the Cybersecurity Law have not been formally adopted by the National People’s Congress Standing Committee.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November 14, 2021, the CAC issued the Regulations on the Administration of Cyber Data Security (Draft for Comments), or the Draft Data Security Regulations, for public comments pursuant to which data processors carrying out certain prescribed activities must, in accordance with the relevant national regulations, apply for a cybersecurity review. On December 28, 2021, the CAC, NDRC, MIIT and other ten PRC regulatory authorities jointly issued the Cybersecurity Review Measures, which became effective from February 15, 2022. The Cybersecurity Review Measures require that critical information infrastructure operator or network platform operator carrying out the prescribed activities shall be subject to cybersecurity review, but there are uncertainties with respect to the interpretation and implementation of the measures.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anticipation of the strengthened implementation of cybersecurity laws and regulations and the continued expansion of our business, we face potential risks if we are deemed a “critical information infrastructure operator” or a “network platform operator” that affects or may affect national security under the Cybersecurity Review Measures, and would be required to follow cybersecurity review procedures. During such review, we may be required to suspend providing any existing or new services to our customers and/or experience other disruptions of our operations, and such review could also result in negative publicity with respect to our business and diversion of our managerial and financial resources. Any violation of such cybersecurity laws and regulations by us may result in warnings and fines, and if we refuse to rectify or have caused severe consequences such as endangering data security, we may be further subject to suspension of our non-compliant operations, revocation of relevant approvals or business licenses or other sanctions. As of the date of the filing of this annual report, we have not been involved in any investigations or become subject to a cybersecurity review initiated by the CAC based on the Cybersecurity Review Measures, and we have not received any warning or sanction in such respect or any regulatory objections to our listing status from the CAC.</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June 10, 2021, the Standing Committee of the National People’s Congress promulgated the PRC Data Security Law which became effective on September 1, 2021. The PRC Data Security Law provides a national data security review system under which data processing activities that affect or may affect national security must be reviewed. Any organizational or individual data processing activities that violate the PRC Data Security Law will bear the corresponding civil, administrative or criminal liabilities depending on the specific circumstances. On August 17, 2021, the State Council promulgated the Regulations on Critical Information Infrastructure Security Protection, or the CII Regulations, which became effective on September 1, 2021. Pursuant to the CII Regulations, regulators supervising specific industries are required to formulate detailed guidance to identify critical information infrastructure in the respective sectors, and a critical information infrastructure operator must take the responsibility to protect the security of the critical information infrastructure by performing certain prescribed obligations. If we are deemed to be a “critical information infrastructure operator” under the CII Regulations, violation of provisions thereto could result in rectification, confiscation of illegal gains, fines and other legal or administrative sanctions. On December 8, 2022, the MIIT promulgated the Measures for Data Security Administration in the Industry and Information Technology Field (Trial Implementation), or the Trial Measures, which took effect on January 1, 2023. The Trial Measures impose certain obligations on industrial and information technology field data processors like us in relation to, among other things, data collection, data storage, data classification, data usage, data transmission, cross-border data transfer, data destruction, data security review, emergency plans, etc.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August 20, 2021, the Standing Committee of the National People’s Congress promulgated the PRC Personal Information Protection Law, or the PIPL, which came into effect on November 1, 2021. The PIPL stipulates the scope of personal information and the ways of processing personal information, establishes rules for processing personal information and for transferring personal information abroad, and clarifies the individual’s rights and the processor’s obligations in the process of personal information. With respect to the cross-border transfer of personal information outside the territory of PRC, PIPL requires that unless otherwise provided in the related international treaties or agreements concluded or acceded to by PRC, the handler of personal information must meet one of the following conditions: (i) pass the security assessment organized by CAC (on August 31, 2022, the CAC issued the Guidelines for Declaring Data Cross-border Security Assessment (First Edition), which became effective on September 1, 2022, to further clarify the scope of application, declaration methods and processes of data cross-border security assessment); (ii) have been certified by a specialized agency for protection of personal information in accordance with the provisions of the CAC (on November 4, 2022, the CAC promulgated the Announcement on the Implementation of Certification for Personal Information Protection to substantiate the details of such certification); (iii) enter into a contract with the overseas recipient under the standard contract formulated by CAC (on February 24, 2023, the CAC promulgated the Measures for Standard Contracts for Cross-border Transfers of Personal Information, or the Measures, together with a template of such standard contract as an annex to the Measures, which took effect on June 1, 2023, to specify the circumstances to conclude such standard contract and a template of such standard contract); or (iv) meet other conditions prescribed by laws, administrative regulations or the CAC. On July 7, 2022, the CAC promulgated the Measures for the Security Assessment of Data Cross-border Transfer, which took effect on September 1, 2022. The Measures for the Security Assessment of Data Cross-border Transfer requires the data processor providing data overseas and falling under specific circumstances to apply for the security assessment of cross-border data transfer by the national cybersecurity authority through its local counterpart.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Regulators have also issued regulations related to artificial intelligence services and algorithmic services such as the Administrative Provisions on Internet Information Service Algorithm Recommendation, the Administrative Provisions for In-depth Integration as an Internet Information Service, and the Interim Measures for the Administration of Generative Artificial Intelligence Services. The above provisions impose algorithm filing and security assessment requirements for specific services, and there still remain uncertainties as to whether or to what extent our business would be captured by the aforementioned algorithm filing and security assessment requirements. Any failure to comply with such filing or assessment requirements (to the extent that the relevant regulators deem that such regulatory procedures apply to us) or any other non-compliance or perceived noncompliance with the above provisions may subject us to penalties and liabilities including, among others, warnings, public denouncement, fines, rectification orders, suspension of the provision of relevant services, and even criminal liabilities.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on September 7, 2023, the MST and other relevant authorities promulgated the Measures for Ethical Review of Science and Technology (for Trial Implementation), or the Ethical Review Measures, which took effect on December 1, 2023. According to the Ethical Review Measures, certain science and technology activities, such as the R&amp;D of algorithm models, applications and systems with the ability to mobilize public opinions and guide social awareness, and R&amp;D of automated decision-making systems with a high degree of autonomy for scenarios with safety or personal health risks, are subject to ethical review formalities. Given that the Ethical Review Measures are relatively new, there remain uncertainties as to the interpretation and application thereof. The interpretation and implementation of the Ethical Review Measures may affect our business operations. Any failure to comply with the provisions of the Ethical Review Measures could subject us to significant penalties, civil liabilities and negative publicity.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These newly promulgated laws and regulations reflect the PRC government’s further attempts to strengthen the legal protection for national network security, data security, the security of critical information infrastructure and the security of personal information protection. These laws and regulations are relatively new, and therefore there are substantial uncertainties with respect to their interpretation and implementation. We may need to adjust our business operations and systems to comply with these laws and regulations regarding network security, data security and personal information from time to time.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There has also been an increased focus on ensuring that mobile apps comply with privacy regulations. The Announcement of Launching Special Crackdown Against Illegal Collection and Use of Personal Information by Apps was issued with effect on January 23, 2019 and commenced a coordinated effort among the CAC, MIIT, the Ministry of Public Security and the SAMR to combat the illegal collection and use of personal information by mobile apps throughout the PRC. On October 31, 2019, the MIIT issued the Notice on the Special Rectification of Apps Infringing Users’ Rights and Interests, pursuant to which app providers were required to promptly rectify issues the MIIT designated as infringing app users’ rights such as collecting personal information in violation of PRC regulations and setting obstacles for user account deactivation. On March 12, 2021, CAC, MIIT, the Ministry of Public Security and SAMR jointly issued the Rules on the Scope of Necessary Personal Information for Common Types of Mobile Internet Applications, which came into effect on May 1, 2021 and provide guidance regarding the “essential personal information” for different types of mobile apps. Pursuant to such rules, mobile apps may not deny user access to an apps’ basic functional services in the event that the users refuse to provide non-essential personal information. If any of our mobile apps are not in compliance with these regulations, we could be subject to potentially serious penalties, including revocation of our business licenses and permits.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For more information with respect to the above laws and regulations, see Item 4.B. “Information on the Company—Business Overview—Government Regulations—Regulations on Information Security and Censorship.”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our business operations do not violate any of the above PRC laws and regulations currently in force in any material respect. We have been taking and will continue to take reasonable measures to comply with such laws, regulations, announcement, provisions and inspection requirements; however, as such laws, regulations, announcement and provisions are relatively new, it remains uncertain how these announcements and provisions will be implemented. We cannot assure you we can adapt our operations to it in a timely manner. Evolving interpretations of such laws, regulations, announcements and provisions or any future regulatory changes might impose additional restrictions on us generating and processing personal and behavioral data. We may be subject to additional regulations, laws and policies adopted by the PRC government to apply more stringent social and ethical standards in data privacy resulting from the increased global focus on this area. To the extent that we need to alter our business model or practices to adapt to these announcement and provisions and future regulations, laws and policies, we could incur additional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privacy policies and practices concerning the use and disclosure of data are posted on the NetEase websites and other online and mobile platforms. Any failure by us, our business partners or other parties with whom we do business to comply with its posted privacy policies or with other applicable privacy-related or data protection laws and regulations could result in proceedings against us by governmental entities or others, which could have a material adverse effect on our business, financial condition and results of operations. In addition, any negative publicity on our website or platform’s safety or privacy protection mechanism and policy could harm our public image and reputation and have a material and adverse effect on our business, results of operations and financial condition.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We are subject to various data protection and privacy laws and regulations in jurisdictions outside of China. Failure to comply with these carries risks including, but not limited to, financial penalties, legal proceedings, claims and/or complaints to regulatory authorities and negative publicity. If these risks materialize, they could harm our reputation and have a material adverse impact on our business, results of operations and financial condition.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business is subject to various data protection laws and regulations in jurisdictions outside of China where we operate. These include existing regulations such as the European Union General Data Protection Regulation, or EU GDPR, UK GDPR (which is the EU GDPR as saved into the United Kingdom law by virtue of the European Union (Withdrawal) Act 2018 GDPR (as may be amended from time to time)) (together with the EU GDPR, referred to as GDPR), state and federal privacy laws in the United States, including the California Consumer Privacy Act of 2018, or CCPA, as amended by the California Privacy Rights Act of 2020, or CPRA, as well as federal and provincial privacy laws in Canada. In addition, new laws, regulations and regimes continue to be proposed and enacted. Monitoring, assessing and complying with the continuously evolving requirements can carry substantial costs and has the potential to introduce additional complexities for our business which may necessitate changes to our business plans and practices.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Europe, GDPR imposes a comprehensive privacy compliance regime, setting out rigorous requirements in relation to processing of personal data, including, for example, requirements pertaining to the legality, transparency and fairness of data processing; data minimization; security; data breach reporting and restrictions on transfers of personal data outside of the EU and the United Kingdom. With regards to cross border transfers, case law from the Court of Justice of the European Union states that reliance on standard contractual clauses - a standard form of contract approved by the European Commission as an adequate personal data transfer mechanism – alone may not necessarily be sufficient in all circumstances and that transfers must be assessed on a case by case basis. As the regulatory guidance and enforcement in relation to data transfers continues to develop, this could introduce operational complexities for our business and result in additional costs as well as the risk of complaints, regulatory investigations and/or fines.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 changes in the regulatory landscape are expected including through the Digital Services Act, or DSA, which governs, among other things, our potential liability for illegal services or content on our platform, obligations around traceability of business users, and requires enhanced transparency measures, as well as the AI Act and the e-Privacy Directive. In parallel with these changes, there is also an increasing focus on regulatory enforcement actions; penalties under GDPR alone can, for example, carry maximum fines of up to EUR20,000,000 (GBP17,500,000) or up to 4% of the total worldwide annual turnover. Similarly, fines under the DSA can reach up to 6% of total annual worldwide turnover. Additional penalties including criminal liability may apply.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Addressing these challenges can result in unplanned costs to our business. For example, engineering resources may have to be diverted from existing or future projects to build and maintain mechanisms which facilitate compliance or we may need additional dedicated compliance resources and personnel. Finally, an adverse or challenging regulatory environment can also impact demand and the market for our offerings.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United States, potential changes to, and differences in, privacy laws at both the federal and state level introduce operational and compliance complexities. At the federal level, the Federal Trade Commission, or FTC, enforces a variety of data privacy issues such as promises made in privacy policies or failure to appropriately protect the information of individuals and deceptive acts or practices in violation of the FTC Act. Meanwhile, building on existing legislation, the CPRA established a comprehensive suite of consumer rights including the right of correction and the right for consumers to request businesses limit the use and disclosure of sensitive data such as health or geolocation data. The CPRA also led to the establishment of the California Privacy Protection Agency, or CPPA, a first-of-its-kind government agency with a broad mandate, including the ability to enforce the CPRA, impose fines and create new regulations. The CPRA provides for co-enforcement authority for violations between the CPPA and the California Attorney General, as well as a private right of action for certain data breaches that could increase data breach litigation and liability, in light of the potential for statutory damages. Once fully operational, it is widely expected that enforcement actions under the CPPA will increase. Such changes introduce uncertainty in business operations and markets which could have a knock-on effect on our business operations in the U.S. and our results of operations and financial condition.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enactment of the CPRA and introduction of the CPPA have also prompted a wave of similar legislative reviews and developments in other U.S. states. In addition, various laws restricting or governing the use of websites, online services, and platforms by minors have passed or been proposed at the federal level and in certain states. These include laws prohibiting direct advertising to minors (individuals under the age of 18), requiring age verification, limiting the use of minors’ personal information and mandating parental consent or providing other parental rights.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Preparing for and complying with the plethora of changing requirements and navigating the overlap or inconsistencies in regulatory approaches will necessitate changes in our operational approach or service deployment in each jurisdiction which will likely impact our efficiency, ability to scale and/or market uptake and may cause us to incur substantial costs. Non-compliance with any of such requirements could result in penalties, fines or significant legal liability, including, as noted above, penalties calculated as a percentage of global revenue under the GDPR or the DSA.</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Cybersecurity and the threat environment remain a dynamic and ever-changing landscape with new threats and increasingly sophisticated attacks continually emerging. Successful security breaches can lead to unauthorized access to our network, systems and, in turn, confidential information which may include personal and sensitive information. This could materially adversely affect our business, results of operations and financial condition and expose us to liability claims.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face evolving cybersecurity risks that threaten the confidentiality, integrity, and availability of the computer systems, hardware, software, technology infrastructure and online sites and networks for both internal and external operations that we rely on and are critical to our business and sensitive and personal information (referred to below, collectively, as Confidential Information). This includes threats from diverse threat actors, such as state-sponsored organizations, opportunistic hackers and hacktivists, who are becoming increasingly sophisticated in using techniques and tools that circumvent security controls, evade detection and remove forensic evidence. These actors utilize diverse attack vectors such as social engineering/phishing, malware/ransomware, and viruses, worms, bugs, and other malicious software programs to attack websites or other online and mobile platforms and obtain access to networks and data centers. Bad actors may also act in a coordinated manner to launch distributed denial of service attacks (DDoS), or other coordinated attacks, that may cause service outages or other interruptions. Moreover, the potential for bad actors to exploit software, hardware, errors, misconfigurations, bugs and other vulnerabilities in commercial systems that interface with our or our third party service providers’ IT systems, products and services presents another area of vulnerability for our business. We have implemented a number of security measures designed to protect our IT systems and Confidential Information, but we cannot guarantee that these security measures are or will be sufficient.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While we are not aware of any material hacking activity or cybersecurity incident that allowed unauthorized access to any Confidential Information stored on our IT systems or caused any loss or corruption of Confidential Information and other data, software or other computer equipment, we have been subject to denial of service attacks that have caused portions of our network to be inaccessible for limited periods of time. Although these are industry wide problems that affect many companies worldwide, we anticipate that we may be subject to additional attacks in the future. If a cybersecurity incident allows unauthorized access to or release of Confidential Information and other data of our users, our reputation and brand could be materially damaged, and use of the NetEase websites and other online and mobile platforms could decrease. We could also be exposed to a risk of loss, litigation (including class action lawsuits), regulatory inquiries, enforcement, investigations, and possible liability, which could result in a material adverse effect on our business, results of operations and financial condition.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own and manage many of our IT systems but also rely on third parties for a range of IT systems and related products and services, including cloud computing services. Any compromise of the security of our or our third-party vendors’ IT systems could materially adversely affect the operations of NetEase’s websites and other online and mobile platforms and result in unauthorized disclosure of Confidential Information. For example, we use third-party payment platforms for certain mobile and online games and applications. In this context, these vendors will collect, process, transmit and store sensitive and personal information of our users. If their security is compromised, this could have a secondary impact on our reputation and operations, and we may be held liable for failing to properly assess and manage our third-party risks.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addition, human error remains a target area for bad actors who may also attempt to fraudulently induce employees or customers into disclosing usernames, passwords or other sensitive information, which may in turn be used to access our IT systems.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expect that we will be required to continue to expend significant resources to protect our IT systems and Confidential Information, but there can be no assurance that our cybersecurity risk management program and processes, including our policies, controls or procedures, will be implemented effectively, complied with or effective in protecting our systems and information.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The success of our business is dependent on our ability to retain our existing key employees and to add and retain senior officers to our management.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depend on the services of our existing key employees. Our success will largely depend on our ability to retain these key employees and to attract and retain qualified senior and middle level managers to our management team. Future changes in management could cause material disruptions to our business. We also depend on our ability to attract and retain in the future highly skilled technical, editorial, marketing and customer service personnel, especially experienced online game software developers. We cannot assure you that we will be able to attract or retain such personnel or that any personnel we hire in the future will successfully integrate into our organization or ultimately contribute positively to our business. In particular, the market for experienced online game software programmers is intensely competitive in China and other countries in which we operate. While we believe we offer compensation packages that are consistent with market practice, we cannot be certain that we will be able to hire and retain sufficient experienced programmers to support our online games business. We may also be unsuccessful in training and retaining less-experienced programmers on a cost-effective basis. The loss of any of our key employees would significantly harm our business. We do not maintain key person life insurance on any of our employees.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Unexpected network interruption caused by system failures may reduce visitor traffic and harm our reputation.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Both the continual accessibility of the NetEase websites and other online and mobile platforms and the performance and reliability of our technical infrastructure are critical to our reputation and the ability of the NetEase websites and other online and mobile platforms to attract and retain users and advertisers. Any system failure or performance inadequacy that causes interruptions in the availability of our services or increases the response time of our services could reduce user satisfaction and traffic, which would reduce the NetEase websites and other online and mobile platforms’ appeal to users and advertisers. As the number of NetEase websites, mobile applications and traffic increase, we cannot assure you that we will be able to scale our systems proportionately. Any system failures and electrical outages could materially and adversely impact our business.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Our operations are vulnerable to natural disasters and other events.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limited backup systems and have experienced system failures and electrical outages from time to time in the past, which have disrupted our operations. We have servers and routers in several different countries, with most of our servers and routers are currently located at several different locations in China. Our disaster recovery plan may not fully ensure safety in the event of damage from fire, floods, typhoons, earthquakes, power loss, telecommunications failures, break-ins, geopolitical events and similar events. If any of the foregoing occurs, we may experience a system shutdown. We generally do not carry any business interruption insurance. To improve performance and to prevent disruption of our services, we may have to make substantial investments to deploy additional servers. We carry property insurance with low coverage limits that may not be adequate to compensate us for all losses, particularly with respect to loss of business and reputation that may occur.</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Our business could be adversely affected by widespread public health or other outbreaks and epidemics.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Many governments around the world implemented a variety of measures to reduce the spread of COVID-19, including travel restrictions and bans, instructions to residents to practice social distancing, quarantine advisories, shelter-in-place orders and required closures of non-essential businesses. The COVID-19 pandemic negatively impacted the global economy, disrupted global supply chains and created significant volatility and disruption of financial markets.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Although the restrictive measures related to the COVID-19 pandemic have gradually been lifted around the world, including in China starting from December 2022, further waves of the virus or any other adverse public health developments could require us to limit operations or modify our business practices in a manner that may impact our business. For example, during much of the COVID-19 pandemic, we took measures to reduce the impact of the outbreak, including implementing a remote working program, monitoring our employees’ health and optimizing our technology system to support potential growth in game player traffic.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have been other outbreaks of epidemics in China and globally in recent years, such as H1N1 swine influenza, H7N9 bird flu, avian influenza, severe acute respiratory syndrome (SARS), Ebola and the outbreak of Mycoplasma pneumonia at the end of 2023. Our operations could be disrupted if any future outbreak occurs in China, where a substantial portion of our revenue is derived, or in Beijing, Shanghai, Guangzhou and Hangzhou, where most of our employees are located. Our operations could also be severely disrupted if health problems or outbreaks lead to a general slowdown in the Chinese economy or if our suppliers, customers or business partners are affected by such outbreaks or health epidemics.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We face risks relating to our acquisitions, investments and joint ventures.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acquired and invested in numerous businesses, particularly with respect to online game development, and have also entered into joint venture arrangements from time to time. At any given time, we may have a number of pending investments and acquisitions that are subject to closing conditions and risks of failure to close. We expect to continue to evaluate and consider a wide array of potential strategic transactions as part of our overall business strategy, including business combinations, acquisitions and dispositions of businesses, technologies, services, products and other assets, as well as strategic investments and joint ventures. At any given time, we may be engaged in discussing or negotiating a range of these types of transactions. These transactions involve significant challenges and risks,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in, and significant and unanticipated additional costs and expenses resulting from, integrating into our business the personnel, operations, products, services, technology, internal controls and financial reporting of the businesses we acquire;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disruptions to our ongoing business and distractions to our management and employees when engaging in or negotiating these transactions, or when integrating the new business we acquire with our existing business, both of which will increase our expenses;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departure of skilled professionals and experienced management teams of the acquired businesses, in particular senior game designers and programmers;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lack of influence over the controlling partners or shareholders or the misalignment of interests between us and our partners or other shareholders, for those investments in which we may not obtain management and operational control;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complex regulatory requirements, restrictions and/or scrutiny on our investments and acquisitions in foreign jurisdictions, including those related to national security, anti-monopoly and competition laws, export controls, etc.;</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alleged misconduct, unscrupulous business practices or non-compliance by us and/or any company we acquire or invest in or by its affiliates or current or former employees, whether before, during or after our acquisition or investments;</w:t>
            </w:r>
          </w:p>
        </w:tc>
      </w:tr>
    </w:tbl>
    <w:tbl>
      <w:tblPr>
        <w:tblW w:w="9186" w:type="dxa"/>
        <w:jc w:val="left"/>
        <w:tblInd w:w="0" w:type="dxa"/>
        <w:tblLayout w:type="fixed"/>
        <w:tblCellMar>
          <w:top w:w="28" w:type="dxa"/>
          <w:left w:w="28" w:type="dxa"/>
          <w:bottom w:w="28" w:type="dxa"/>
          <w:right w:w="28" w:type="dxa"/>
        </w:tblCellMar>
      </w:tblPr>
      <w:tblGrid>
        <w:gridCol w:w="124"/>
        <w:gridCol w:w="256"/>
        <w:gridCol w:w="8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in and costs associated with identifying and selecting appropriate targets and strategic partners;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of potential opportunities to enter into strategic transactions with competitors of our investee companies and strategic partners;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in conducting sufficient and effective due diligence on potential targets to identify hidden liabilities, incidences of non-compliance, operating losses, or costs and expenses, which may adversely affect us following our acquisitions or investments or other strategic transactions;</w:t>
            </w:r>
          </w:p>
        </w:tc>
      </w:tr>
    </w:tbl>
    <w:tbl>
      <w:tblPr>
        <w:tblW w:w="6381" w:type="dxa"/>
        <w:jc w:val="left"/>
        <w:tblInd w:w="0" w:type="dxa"/>
        <w:tblLayout w:type="fixed"/>
        <w:tblCellMar>
          <w:top w:w="28" w:type="dxa"/>
          <w:left w:w="28" w:type="dxa"/>
          <w:bottom w:w="28" w:type="dxa"/>
          <w:right w:w="28" w:type="dxa"/>
        </w:tblCellMar>
      </w:tblPr>
      <w:tblGrid>
        <w:gridCol w:w="124"/>
        <w:gridCol w:w="256"/>
        <w:gridCol w:w="6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losses arising from disposal of investments or split-up of businesses;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potential impairment charges or write-offs of investments in equity method investees or intangible assets (including intellectual property we acquire), and goodwill recorded in connection with invested businesses, in the event that a decline in fair value below the carrying value of our equity method investments is other-than-temporary, or the carrying amount of a reporting unit to which goodwill is allocated exceeds its fair value. See Item 5.E. “Operating and Financial Review and Prospects—Critical Accounting Estimates—Impairment of long-term investments.”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These and other risks could lead to negative publicity, increased regulatory scrutiny, litigation, government inquiries, investigations, actions or penalties against us and the companies we invest in or acquire on the ground of non-compliance with regulatory requirements and may force us to incur significant additional expenses and allocate significant management and human resources to rectify or improve these companies’ corporate governance standards, disclosure controls and procedures or internal controls and systems. Due to business or financial underperformance, regulatory scrutiny or compliance reasons, we may need to divest interests in, or terminate business cooperation with, businesses and entities in which we have invested capital and other resources. As a result, we may experience significant difficulties and uncertainties carrying out investments and acquisitions, and our growth strategy, reputation and/or the trading prices of our ADSs, shares and/or other securities may be materially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failure to address these risks or other problems encountered in connection with our acquisitions and investments could cause us to fail to realize the anticipated benefits of such acquisitions or investments, incur unanticipated liabilities and expenses and harm our business generally. If we use our equity securities to pay for acquisitions, we may dilute the value of your ADSs and shares. If we borrow funds to finance acquisitions, such debt instruments may contain restrictive covenants that could, among other things, restrict us from distributing dividends. Such acquisitions and investments may also lead to significant amortization expenses related to intangible assets, impairment charges or write-offs.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our strategic investments and acquisitions may adversely affect our financial results, at least in the short term. Acquired businesses that are loss-making may continue to sustain losses and may not become profitable in the near future or at all. The performance of our current and future equity method investees may also adversely affect our net income. There can be no assurance that we will be able to grow our acquired or invested businesses, or realize returns, benefits of synergies and growth opportunities we expect in connection with these investments and acquisitions.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We face risks associated with the expansion of our businesses and operations internationally.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to risks that generally apply to our acquisitions and investments, we face risks associated with expanding into an increasing number of markets where we have limited or no experience, we may be less well-known or have fewer local resources and we may need to localize our business practices, culture and operations. We also face protectionist or national security policies that could, among other things, hinder our ability to execute our business strategies and put us at a competitive disadvantage relative to domestic companies in other jurisdictions. The expansion of our online game business and potentially other businesses outside of China will also expose us to risks and challenges inherent in operating businesses globally,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challenges in replicating or adapting our corporate policies and procedures to operating environments different from that of China, including technology and logistics infrastructure;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challenges in maintaining efficient and consolidated internal systems, including IT infrastructure, and customizing and integrating these systems with the other parts of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lack of acceptance of our product and service offerings, and challenges of adapting our offerings to appeal to local tastes;</w:t>
            </w:r>
          </w:p>
        </w:tc>
      </w:tr>
    </w:tbl>
    <w:tbl>
      <w:tblPr>
        <w:tblW w:w="9561" w:type="dxa"/>
        <w:jc w:val="left"/>
        <w:tblInd w:w="0" w:type="dxa"/>
        <w:tblLayout w:type="fixed"/>
        <w:tblCellMar>
          <w:top w:w="28" w:type="dxa"/>
          <w:left w:w="28" w:type="dxa"/>
          <w:bottom w:w="28" w:type="dxa"/>
          <w:right w:w="28" w:type="dxa"/>
        </w:tblCellMar>
      </w:tblPr>
      <w:tblGrid>
        <w:gridCol w:w="124"/>
        <w:gridCol w:w="256"/>
        <w:gridCol w:w="91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understand cultural differences, local consumer behavior and preferences and local business practices;</w:t>
            </w:r>
          </w:p>
        </w:tc>
      </w:tr>
    </w:tbl>
    <w:tbl>
      <w:tblPr>
        <w:tblW w:w="6051" w:type="dxa"/>
        <w:jc w:val="left"/>
        <w:tblInd w:w="0" w:type="dxa"/>
        <w:tblLayout w:type="fixed"/>
        <w:tblCellMar>
          <w:top w:w="28" w:type="dxa"/>
          <w:left w:w="28" w:type="dxa"/>
          <w:bottom w:w="28" w:type="dxa"/>
          <w:right w:w="28" w:type="dxa"/>
        </w:tblCellMar>
      </w:tblPr>
      <w:tblGrid>
        <w:gridCol w:w="124"/>
        <w:gridCol w:w="256"/>
        <w:gridCol w:w="56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protectionist or national security policies that restrict our ability to: </w:t>
            </w:r>
          </w:p>
        </w:tc>
      </w:tr>
    </w:tbl>
    <w:tbl>
      <w:tblPr>
        <w:tblW w:w="3066" w:type="dxa"/>
        <w:jc w:val="left"/>
        <w:tblInd w:w="0" w:type="dxa"/>
        <w:tblLayout w:type="fixed"/>
        <w:tblCellMar>
          <w:top w:w="28" w:type="dxa"/>
          <w:left w:w="28" w:type="dxa"/>
          <w:bottom w:w="28" w:type="dxa"/>
          <w:right w:w="28" w:type="dxa"/>
        </w:tblCellMar>
      </w:tblPr>
      <w:tblGrid>
        <w:gridCol w:w="124"/>
        <w:gridCol w:w="256"/>
        <w:gridCol w:w="26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 in or acquire companies;</w:t>
            </w:r>
          </w:p>
        </w:tc>
      </w:tr>
    </w:tbl>
    <w:tbl>
      <w:tblPr>
        <w:tblW w:w="4401" w:type="dxa"/>
        <w:jc w:val="left"/>
        <w:tblInd w:w="0" w:type="dxa"/>
        <w:tblLayout w:type="fixed"/>
        <w:tblCellMar>
          <w:top w:w="28" w:type="dxa"/>
          <w:left w:w="28" w:type="dxa"/>
          <w:bottom w:w="28" w:type="dxa"/>
          <w:right w:w="28" w:type="dxa"/>
        </w:tblCellMar>
      </w:tblPr>
      <w:tblGrid>
        <w:gridCol w:w="124"/>
        <w:gridCol w:w="256"/>
        <w:gridCol w:w="40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develop, import or export certain technologies; </w:t>
            </w:r>
          </w:p>
        </w:tc>
      </w:tr>
    </w:tbl>
    <w:tbl>
      <w:tblPr>
        <w:tblW w:w="8931" w:type="dxa"/>
        <w:jc w:val="left"/>
        <w:tblInd w:w="0" w:type="dxa"/>
        <w:tblLayout w:type="fixed"/>
        <w:tblCellMar>
          <w:top w:w="28" w:type="dxa"/>
          <w:left w:w="28" w:type="dxa"/>
          <w:bottom w:w="28" w:type="dxa"/>
          <w:right w:w="28" w:type="dxa"/>
        </w:tblCellMar>
      </w:tblPr>
      <w:tblGrid>
        <w:gridCol w:w="124"/>
        <w:gridCol w:w="256"/>
        <w:gridCol w:w="85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utilize technologies that are deemed by local governmental to pose a threat to their national security; or</w:t>
            </w:r>
          </w:p>
        </w:tc>
      </w:tr>
    </w:tbl>
    <w:tbl>
      <w:tblPr>
        <w:tblW w:w="7536" w:type="dxa"/>
        <w:jc w:val="left"/>
        <w:tblInd w:w="0" w:type="dxa"/>
        <w:tblLayout w:type="fixed"/>
        <w:tblCellMar>
          <w:top w:w="28" w:type="dxa"/>
          <w:left w:w="28" w:type="dxa"/>
          <w:bottom w:w="28" w:type="dxa"/>
          <w:right w:w="28" w:type="dxa"/>
        </w:tblCellMar>
      </w:tblPr>
      <w:tblGrid>
        <w:gridCol w:w="124"/>
        <w:gridCol w:w="256"/>
        <w:gridCol w:w="71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or maintain the necessary licenses and authorizations to operate our businesses;</w:t>
            </w:r>
          </w:p>
        </w:tc>
      </w:tr>
    </w:tbl>
    <w:tbl>
      <w:tblPr>
        <w:tblW w:w="8766" w:type="dxa"/>
        <w:jc w:val="left"/>
        <w:tblInd w:w="0" w:type="dxa"/>
        <w:tblLayout w:type="fixed"/>
        <w:tblCellMar>
          <w:top w:w="28" w:type="dxa"/>
          <w:left w:w="28" w:type="dxa"/>
          <w:bottom w:w="28" w:type="dxa"/>
          <w:right w:w="28" w:type="dxa"/>
        </w:tblCellMar>
      </w:tblPr>
      <w:tblGrid>
        <w:gridCol w:w="124"/>
        <w:gridCol w:w="256"/>
        <w:gridCol w:w="8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need for increased resources to manage regulatory compliance across our international businesses;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failure to attract and retain capable talent with international perspectives who can effectively manage and operate local businesses;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local laws and regulations, including those relating to online games, e-commerce, digital services and platforms, such as the DSA and Digital Markets Act which have been adopted by the European Commission, privacy and data security, such as the GDPR, and consumer and labor protection laws, which will increase our compliance costs across different legal systems;</w:t>
            </w:r>
          </w:p>
        </w:tc>
      </w:tr>
    </w:tbl>
    <w:tbl>
      <w:tblPr>
        <w:tblW w:w="7761" w:type="dxa"/>
        <w:jc w:val="left"/>
        <w:tblInd w:w="0" w:type="dxa"/>
        <w:tblLayout w:type="fixed"/>
        <w:tblCellMar>
          <w:top w:w="28" w:type="dxa"/>
          <w:left w:w="28" w:type="dxa"/>
          <w:bottom w:w="28" w:type="dxa"/>
          <w:right w:w="28" w:type="dxa"/>
        </w:tblCellMar>
      </w:tblPr>
      <w:tblGrid>
        <w:gridCol w:w="124"/>
        <w:gridCol w:w="256"/>
        <w:gridCol w:w="73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heightened restrictions and barriers on the transfer of data between different jurisdictions;</w:t>
            </w:r>
          </w:p>
        </w:tc>
      </w:tr>
    </w:tbl>
    <w:tbl>
      <w:tblPr>
        <w:tblW w:w="9786" w:type="dxa"/>
        <w:jc w:val="left"/>
        <w:tblInd w:w="0" w:type="dxa"/>
        <w:tblLayout w:type="fixed"/>
        <w:tblCellMar>
          <w:top w:w="28" w:type="dxa"/>
          <w:left w:w="28" w:type="dxa"/>
          <w:bottom w:w="28" w:type="dxa"/>
          <w:right w:w="28" w:type="dxa"/>
        </w:tblCellMar>
      </w:tblPr>
      <w:tblGrid>
        <w:gridCol w:w="124"/>
        <w:gridCol w:w="256"/>
        <w:gridCol w:w="94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availability, reliability and security of international and cross-border payment systems and logistics infrastructure;</w:t>
            </w:r>
          </w:p>
        </w:tc>
      </w:tr>
    </w:tbl>
    <w:tbl>
      <w:tblPr>
        <w:tblW w:w="3081" w:type="dxa"/>
        <w:jc w:val="left"/>
        <w:tblInd w:w="0" w:type="dxa"/>
        <w:tblLayout w:type="fixed"/>
        <w:tblCellMar>
          <w:top w:w="28" w:type="dxa"/>
          <w:left w:w="28" w:type="dxa"/>
          <w:bottom w:w="28" w:type="dxa"/>
          <w:right w:w="28" w:type="dxa"/>
        </w:tblCellMar>
      </w:tblPr>
      <w:tblGrid>
        <w:gridCol w:w="124"/>
        <w:gridCol w:w="256"/>
        <w:gridCol w:w="27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rate fluctuations;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political instability and general economic or political conditions in particular countries or regions, including territorial or trade disputes, war and terrorism.</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Failure to manage these risks and challenges could negatively affect our ability to expand our international and cross-border businesses and operations as well as materially and adversely affect our business, financial condition and results of operations.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If our server and bandwidth service providers fail to provide these services, our business could be materially curtailed.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mainly rely on affiliates of China Telecom, China Unicom, and China Mobile to provide us with server and bandwidth service for internet users to access the NetEase websites and other online and mobile platforms. If China Telecom, China Unicom, and China Mobile or their affiliates fail to provide such services or raise prices for their services, we may not be able to find a reliable and cost-effective substitute provider on a timely basis or at all. If this happens, our business could be materially curtailed.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also rely on cloud servers maintained by third-party cloud service providers particularly for our overseas games. We do not control the operation of these providers or their facilities, and the facilities are vulnerable to damage, interruption or misconduct. Unanticipated problems at these facilities could result in lengthy interruptions in our services. Problems with our cloud service providers or the telecommunications network providers with whom they contract could adversely affect the experience of our users. Any change in service levels at our cloud servers or any errors, defects, disruptions, or other performance problems with our platform could harm our business or reputation or we could be required to retain the services of replacement providers, which could increase our operating costs</w:t>
      </w:r>
      <w:r>
        <w:rPr>
          <w:rFonts w:ascii="Times New Roman;Times;serif" w:hAnsi="Times New Roman;Times;serif"/>
          <w:b/>
          <w:sz w:val="20"/>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We may be held liable for information or content displayed on, retrieved from or linked to the NetEase websites and other NetEase online and mobile platforms.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may face liability for defamation, negligence, copyright, patent or trademark infringement and other claims based on the nature and content of the materials that are published on the NetEase websites and other products and services. We are involved in intellectual property infringement claims or actions from time to time and are occasionally subject to defamation claims or infringement claims related to an individual’s publicity rights. We believe that the amounts claimed in these actions, in the aggregate, are not material to our business. However, these amounts may be increased for a variety of reasons as the claims progress, and we and our affiliates could be subject to additional defamation or infringement claims which, singly or in the aggregate, could have a material adverse effect on our business, financial conditions and results of operations, if successful. Also, we may be subject to administrative actions brought by relevant PRC governmental authorities and in the most severe scenario criminal prosecution for alleged infringement, and as a result may be subject to fines and other penalties and be required to discontinue infringing activities. Furthermore, as we expand our operations outside of China, we may be subject to claims brought against us in jurisdictions outside of China.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also could be subject to copyright, defamation and other claims based upon user-generated content that is accessible on the NetEase websites or other online and mobile platforms such as content and materials posted or uploaded by users on message boards, online communities, voting systems, e-mail, chat rooms or our other online and mobile platforms including NetEase Cloud Music, NetEase CC live streaming platform, our portal and related mobile app, </w:t>
      </w:r>
      <w:r>
        <w:rPr>
          <w:rFonts w:ascii="Times New Roman;Times;serif" w:hAnsi="Times New Roman;Times;serif"/>
          <w:i/>
          <w:sz w:val="20"/>
        </w:rPr>
        <w:t>Wangyi Xinwen</w:t>
      </w:r>
      <w:r>
        <w:rPr>
          <w:rFonts w:ascii="Times New Roman;Times;serif" w:hAnsi="Times New Roman;Times;serif"/>
          <w:sz w:val="20"/>
        </w:rPr>
        <w:t>. By providing technology for hypertext links to third-party websites, we may be held liable for copyright, trademark or other violations by those third- party sites. Third parties could assert claims against us for losses incurred in reliance on any erroneous information distributed by us. Moreover, users of the NetEase web-based e-mail services could seek damages from us for:</w:t>
      </w:r>
    </w:p>
    <w:p>
      <w:pPr>
        <w:pStyle w:val="TextBody"/>
        <w:bidi w:val="0"/>
        <w:spacing w:before="0" w:after="240"/>
        <w:ind w:left="720" w:right="0" w:hanging="0"/>
        <w:jc w:val="both"/>
        <w:rPr/>
      </w:pPr>
      <w:r>
        <w:rPr/>
        <w:t>●</w:t>
      </w:r>
      <w:r>
        <w:rPr>
          <w:rFonts w:ascii="Times New Roman;Times;serif" w:hAnsi="Times New Roman;Times;serif"/>
          <w:sz w:val="20"/>
        </w:rPr>
        <w:t>unsolicited e-mails;</w:t>
      </w:r>
    </w:p>
    <w:p>
      <w:pPr>
        <w:pStyle w:val="TextBody"/>
        <w:bidi w:val="0"/>
        <w:spacing w:before="0" w:after="240"/>
        <w:ind w:left="720" w:right="0" w:hanging="0"/>
        <w:jc w:val="both"/>
        <w:rPr/>
      </w:pPr>
      <w:r>
        <w:rPr/>
        <w:t>●</w:t>
      </w:r>
      <w:r>
        <w:rPr>
          <w:rFonts w:ascii="Times New Roman;Times;serif" w:hAnsi="Times New Roman;Times;serif"/>
          <w:sz w:val="20"/>
        </w:rPr>
        <w:t>lost or misplaced messages;</w:t>
      </w:r>
    </w:p>
    <w:p>
      <w:pPr>
        <w:pStyle w:val="TextBody"/>
        <w:bidi w:val="0"/>
        <w:spacing w:before="0" w:after="240"/>
        <w:ind w:left="720" w:right="0" w:hanging="0"/>
        <w:jc w:val="both"/>
        <w:rPr/>
      </w:pPr>
      <w:r>
        <w:rPr/>
        <w:t>●</w:t>
      </w:r>
      <w:r>
        <w:rPr>
          <w:rFonts w:ascii="Times New Roman;Times;serif" w:hAnsi="Times New Roman;Times;serif"/>
          <w:sz w:val="20"/>
        </w:rPr>
        <w:t>illegal or fraudulent use of e-mail; or</w:t>
      </w:r>
    </w:p>
    <w:p>
      <w:pPr>
        <w:pStyle w:val="TextBody"/>
        <w:bidi w:val="0"/>
        <w:ind w:left="720" w:right="0" w:hanging="0"/>
        <w:jc w:val="both"/>
        <w:rPr/>
      </w:pPr>
      <w:r>
        <w:rPr/>
        <w:t>●</w:t>
      </w:r>
      <w:r>
        <w:rPr>
          <w:rFonts w:ascii="Times New Roman;Times;serif" w:hAnsi="Times New Roman;Times;serif"/>
          <w:sz w:val="20"/>
        </w:rPr>
        <w:t>interruptions or delays in e-mail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incur significant costs in investigating and defending these claims, even if they do not result in liability.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Divestitures of businesses and assets may have a material and adverse effect on our business and financial condition.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undertaken, and may undertake in the future, partial or complete divestitures or other disposal transactions in connection with certain of our businesses and assets, particularly ones that are not closely related to our core focus areas or might require excessive resources or financial capital, to help us meet our objectives. These decisions are largely based on our management’s assessment of the business models and likelihood of success of these businesses. However, our judgment could be inaccurate, and we may not achieve the desired strategic and financial benefits from these transactions. Additionally, we have undertaken, and may undertake in the future, partial or complete divestitures or other disposal transactions to comply with evolving legal and regulatory requirements, such as Youdao’s disposal of its Academic AST Business as part of its efforts to comply with new regulatory requirements adopted by the PRC government in the second half of 2021. Our financial results could be adversely affected by the impact from the loss of earnings and corporate overhead contribution/allocation associated with divested businesses. In addition, as our net income/(loss) from discontinued operations are non-recurrent, it may be difficult for investors and analysts to predict our future earnings potential based on our historical financial performance.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Dispositions may also involve continued financial involvement in the divested business, such as through guarantees, indemnities or other financial obligations. Under these arrangements, performance by the divested businesses or other conditions outside of our control could affect our future financial results. We may also be exposed to negative publicity as a result of the potential misconception that the divested business is still part of our consolidated group. On the other hand, we cannot assure you that the divesting business would not pursue opportunities to provide services to our competitors or other opportunities that would conflict with our interests. If any conflicts of interest that may arise between the divesting business and us cannot be resolved in our favor, our business, financial condition, results of operations could be materially and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Furthermore, reducing or eliminating our ownership interests in these businesses might negatively affect our operations, prospects, or long-term value. We may lose access to resources or know-how that would have been useful in the development of our own business. Our ability to diversify or expand our existing businesses or to move into new areas of business may be reduced, and we may have to modify our business strategy to focus more exclusively on areas of business where we already possess the necessary expertise. We may sell our interests too early, and thus forego gains that we otherwise would have received had we not sold. Selecting businesses to dispose of or spin off, finding buyers for them (or the equity interest in them to be sold) and negotiating prices for what may be relatively illiquid ownership interests with no easily ascertainable fair market value will also require significant attention from our management and may divert resources from our existing business, which in turn could have an adverse effect on our business operations.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80"/>
        <w:ind w:left="0" w:right="0" w:hanging="0"/>
        <w:jc w:val="both"/>
        <w:rPr>
          <w:rFonts w:ascii="Times New Roman;Times;serif" w:hAnsi="Times New Roman;Times;serif"/>
          <w:b/>
          <w:sz w:val="20"/>
        </w:rPr>
      </w:pPr>
      <w:r>
        <w:rPr>
          <w:rFonts w:ascii="Times New Roman;Times;serif" w:hAnsi="Times New Roman;Times;serif"/>
          <w:b/>
          <w:sz w:val="20"/>
        </w:rPr>
        <w:t xml:space="preserve">If our company were deemed to be an “investment company” under the Investment Company Act of 1940, applicable restrictions could make it impractical for us to continue our business as contemplated and could have a material adverse effect on our business and the price of our ADSs and ordinary shares.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intend to continue to conduct our operations so that our company will not be deemed to be an investment company under the Investment Company Act of 1940 (the “Investment Company Act”). Section 3(a)(1) of the Investment Company Act provides, in relevant part, that an issuer will generally be deemed to be an “investment company” for purposes of the Investment Company Act if, absent an applicable exemption: under Section 3(a)(1)(A), it is or holds itself out as being engaged primarily, or proposes to engage primarily, in the business of investing, reinvesting or trading in securities; or, under Section 3(a)(1)(C), it is engaged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Additionally, Rule 3a-1 under the Investment Company Act generally provides that an entity will not be deemed to be an “investment company” if: (a) it does not hold itself out as being engaged primarily, and does not propose to engage primarily, in the business of investing, reinvesting or trading securities and (b) consolidating the entity’s wholly-owned subsidiaries (within the meaning of the Investment Company Act), no more than 45% of the value of its assets (exclusive of U.S. government securities and cash items) consists of, and no more than 45% of its net income after taxes (for the past four fiscal quarters combined) is derived from, securities other than U.S. government securities, securities issued by employees’ securities companies, securities issued by qualifying majority owned subsidiaries of such entity and securities issued by qualifying companies that are controlled primarily by such entity.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engaged primarily in the business of providing internet-related services and products and not in the business of investing, reinvesting or trading in securities. Furthermore, our company’s assets and income are of a nature that we believe allows our company to satisfy the requirements set forth in the 45% test in Rule 3a-1 under the Investment Company Act as described in clause (b) of the description provided above.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From time to time and as of December 31, 2023, we held assets consisting of a significant amount of Chinese banking instruments that have the characteristics of and are referred to as time deposits for purposes of U.S. financial reporting. Our time deposit holdings are of varying maturities, but primarily maturities of less than 12 months, which we hold for a variety of cash management-related purposes. We consider our time deposits with maturities of less than 12 months as “cash items” for purposes of Rule 3a-1 under the Investment Company Act, which we believe is the correct treatment of such assets, and, as such, we satisfy Rule 3a-1’s 45% asset test described above as of December 31, 2023. To our knowledge no court, and neither the SEC nor the SEC Staff, has taken a definitive position as to the circumstances under which time deposits of the type we hold may or may not be “cash items” or “investment securities” for purposes of the various definitions of investment company and exclusions from the definitions under the Investment Company Act. However, we are aware that the SEC Staff may not agree with the treatment of such time deposits as cash items. If all of our time deposits, regardless of their term, were determined to be investment securities by a court or the SEC, then we would have held as of December 31, 2023 investment securities exceeding 45% of the value of our total assets, exclusive of U.S. government securities and cash items, and the SEC or a court might then determine that we are an investment company under the provisions of Section 3(a)(1)(C).</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that, even if we were determined to be an investment company under Section 3(a)(1)(C), we are entitled to rely on the exclusion from investment company status afforded by Section 3(b)(1) of the Investment Company Act. Section 3(b)(1) provides, in relevant part, that, notwithstanding Section 3(a)(1)(C) of the Investment Company Act, an “issuer primarily engaged, directly or through … wholly-owned … subsidiaries, in a business or businesses other than that of investing, reinvesting, owning, holding, or trading in securities” is not an investment company. We are engaged primarily, and have always since our founding in 1997 been engaged, through our direct and indirect wholly-owned subsidiaries, including through contracts between our direct and indirect wholly-owned subsidiaries and the VIEs, in businesses other than investing, reinvesting, or trading in securities (including online games, music streaming, online intelligent learning services, e-commerce and other internet-related services and products). In addition, (i) our filings with the SEC, press releases, other public statements, website, and advertising and marketing materials have solely represented the NetEase group as being engaged in internet-related lines of business and have never emphasized either our investment income or the potential for significant appreciation from investments or cash management activities as a material factor in our business or future growth, (ii) our executive officers and directors are substantially involved in our internet-related business activities and none of them devotes significant time to the management of our cash, short-term or long-term investments, (iii) the overwhelming majority of our income is derived from our internet-related business activities, and (iv) the nature of our asset base is not a function of investment intent or activity but rather a result of our generation of cash flow from operations without the need for a corresponding amount of spending on overhead or capital expenditures for operations. We also do not propose to engage primarily in the business of investing, reinvesting or trading in securities and monitor our holdings of securities regularly to confirm our continued compliance with the assets and income test described above.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Notwithstanding our view that we are not an investment company given our ability to rely on Rule 3a-1 under of the Investment Company Act and that, in any event, we fit within the exclusion from the definition of “investment company” afforded by Section 3(b)(1) of the Investment Company Act, it is possible, in view of (i) uncertainty regarding the meaning and application of the term “cash items” as it is used in Rule 3a-1 and (ii) the fact that the availability of the exclusion from investment company status afforded by Section 3(b)(1) of the Investment Company Act is based in part on subjective judgments as to a given issuer’s particular facts and circumstances, that the SEC, a court, or the SEC Staff would determine or take a position that we are indeed an investment company under the Investment Company Act. If we were to become subject to the Investment Company Act, any violation of the Investment Company Act could subject us to material adverse consequences, including potentially significant regulatory penalties and the possibility that certain of our contracts would be deemed unenforceable. Additionally, as an issuer organized outside the United States, we would not be eligible to register under the Investment Company Act absent an SEC exemptive order. Accordingly, in order to fall outside the definition of an investment company, we would either have to obtain exemptive relief from the SEC, modify our contractual rights or dispose of certain assets, including shifting some of our cash that is currently maintained in time deposits into more traditional demand deposits and money market funds, which would more clearly qualify as “cash items.” Additionally, we may have to forego potential future acquisitions of interests in companies that may be deemed to be investment securities within the meaning of the Investment Company Act. Finally, failure to avoid being deemed an investment company under the Investment Company Act could also make us unable to comply with our reporting obligations as a public company in the United States and lead to our being delisted from Nasdaq Stock Market LLC, which would have a material adverse effect on the liquidity and value of our ADSs and ordinary shares.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OUR CORPORATE STRUCTURE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There are substantial uncertainties regarding the interpretation and application of current and future PRC laws, regulations, and rules relating to the agreements that establish the VIE structure for our operations in China, including potential future actions by the PRC government, which could affect the enforceability of our contractual arrangements with the VIEs and, consequently, significantly affect the financial condition and results of operations of NetEase. If the PRC government finds such agreements non-compliant with relevant PRC laws, regulations, and rules, or if these laws, regulations, and rules or the interpretation thereof change in the future, we could be subject to severe penalties or be forced to relinquish our interests in the VIEs.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Due to legal restrictions on foreign investment in Chinese companies providing value-added telecommunications services and holding ICP licenses and other regulated licenses, we operate our primary businesses, including the online games, music streaming, online intelligent learning services and internet content services businesses, in China mainland through contractual arrangements with the VIEs and their nominee shareholders. The contractual arrangements provide us with (i) the power to direct the activities that most significantly impact the economic performance of the VIEs; (ii) economic benefits of these VIEs; and (iii) an exclusive option to purchase all or part of the equity interests in the VIEs when and to the extent permitted by PRC law or request any existing shareholders of the VIEs to transfer any or part of the equity interests in the relevant VIE to another PRC person or entity designated by us at any time at our discretion. Because of the contractual arrangements, we are the primary beneficiary of the VIEs and their respective subsidiaries and consolidate the results of operations of the VIEs into ours. The VIEs and their respective subsidiaries hold the licenses, approvals and key assets that are essential for the major portion of our business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Although we have been advised by our PRC counsel that these contractual arrangements are valid and binding under existing PRC laws and regulations, these contractual arrangements may not be as effective in providing control over these VIEs as direct ownership. In addition, we have been further advised by our PRC counsel that there are substantial uncertainties regarding the interpretation and application of current or future PRC laws and regulations. Thus, if the PRC government finds that our contractual arrangements do not comply with the existing or future restrictions on foreign investment, or if the PRC government otherwise finds that we, the VIEs or any of their subsidiaries are in violation of the existing or future PRC laws or regulations or lack the necessary permits or licenses to operate our business, the relevant PRC regulatory authorities would have broad discretion in dealing with such violations or failures, including, without limitation:</w:t>
      </w:r>
    </w:p>
    <w:tbl>
      <w:tblPr>
        <w:tblW w:w="4236" w:type="dxa"/>
        <w:jc w:val="left"/>
        <w:tblInd w:w="0" w:type="dxa"/>
        <w:tblLayout w:type="fixed"/>
        <w:tblCellMar>
          <w:top w:w="28" w:type="dxa"/>
          <w:left w:w="28" w:type="dxa"/>
          <w:bottom w:w="28" w:type="dxa"/>
          <w:right w:w="28" w:type="dxa"/>
        </w:tblCellMar>
      </w:tblPr>
      <w:tblGrid>
        <w:gridCol w:w="124"/>
        <w:gridCol w:w="256"/>
        <w:gridCol w:w="38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revoking our business and operating licenses;</w:t>
            </w:r>
          </w:p>
        </w:tc>
      </w:tr>
    </w:tbl>
    <w:tbl>
      <w:tblPr>
        <w:tblW w:w="4026" w:type="dxa"/>
        <w:jc w:val="left"/>
        <w:tblInd w:w="0" w:type="dxa"/>
        <w:tblLayout w:type="fixed"/>
        <w:tblCellMar>
          <w:top w:w="28" w:type="dxa"/>
          <w:left w:w="28" w:type="dxa"/>
          <w:bottom w:w="28" w:type="dxa"/>
          <w:right w:w="28" w:type="dxa"/>
        </w:tblCellMar>
      </w:tblPr>
      <w:tblGrid>
        <w:gridCol w:w="124"/>
        <w:gridCol w:w="256"/>
        <w:gridCol w:w="3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discontinuing or restricting our operations;</w:t>
            </w:r>
          </w:p>
        </w:tc>
      </w:tr>
    </w:tbl>
    <w:tbl>
      <w:tblPr>
        <w:tblW w:w="9816" w:type="dxa"/>
        <w:jc w:val="left"/>
        <w:tblInd w:w="0" w:type="dxa"/>
        <w:tblLayout w:type="fixed"/>
        <w:tblCellMar>
          <w:top w:w="28" w:type="dxa"/>
          <w:left w:w="28" w:type="dxa"/>
          <w:bottom w:w="28" w:type="dxa"/>
          <w:right w:w="28" w:type="dxa"/>
        </w:tblCellMar>
      </w:tblPr>
      <w:tblGrid>
        <w:gridCol w:w="124"/>
        <w:gridCol w:w="256"/>
        <w:gridCol w:w="9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imposing fines or confiscating any of our income that they deem to have been obtained through illegal operations;</w:t>
            </w:r>
          </w:p>
        </w:tc>
      </w:tr>
    </w:tbl>
    <w:tbl>
      <w:tblPr>
        <w:tblW w:w="6996" w:type="dxa"/>
        <w:jc w:val="left"/>
        <w:tblInd w:w="0" w:type="dxa"/>
        <w:tblLayout w:type="fixed"/>
        <w:tblCellMar>
          <w:top w:w="28" w:type="dxa"/>
          <w:left w:w="28" w:type="dxa"/>
          <w:bottom w:w="28" w:type="dxa"/>
          <w:right w:w="28" w:type="dxa"/>
        </w:tblCellMar>
      </w:tblPr>
      <w:tblGrid>
        <w:gridCol w:w="124"/>
        <w:gridCol w:w="256"/>
        <w:gridCol w:w="66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imposing conditions or requirements with which we may not be able to comply;</w:t>
            </w:r>
          </w:p>
        </w:tc>
      </w:tr>
    </w:tbl>
    <w:tbl>
      <w:tblPr>
        <w:tblW w:w="6426" w:type="dxa"/>
        <w:jc w:val="left"/>
        <w:tblInd w:w="0" w:type="dxa"/>
        <w:tblLayout w:type="fixed"/>
        <w:tblCellMar>
          <w:top w:w="28" w:type="dxa"/>
          <w:left w:w="28" w:type="dxa"/>
          <w:bottom w:w="28" w:type="dxa"/>
          <w:right w:w="28" w:type="dxa"/>
        </w:tblCellMar>
      </w:tblPr>
      <w:tblGrid>
        <w:gridCol w:w="124"/>
        <w:gridCol w:w="256"/>
        <w:gridCol w:w="60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requiring us to restructure the relevant ownership structure or operations;</w:t>
            </w:r>
          </w:p>
        </w:tc>
      </w:tr>
    </w:tbl>
    <w:tbl>
      <w:tblPr>
        <w:tblW w:w="7641" w:type="dxa"/>
        <w:jc w:val="left"/>
        <w:tblInd w:w="0" w:type="dxa"/>
        <w:tblLayout w:type="fixed"/>
        <w:tblCellMar>
          <w:top w:w="28" w:type="dxa"/>
          <w:left w:w="28" w:type="dxa"/>
          <w:bottom w:w="28" w:type="dxa"/>
          <w:right w:w="28" w:type="dxa"/>
        </w:tblCellMar>
      </w:tblPr>
      <w:tblGrid>
        <w:gridCol w:w="124"/>
        <w:gridCol w:w="256"/>
        <w:gridCol w:w="72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restricting our financing activities to finance the business and operations of the VIEs; or</w:t>
            </w:r>
          </w:p>
        </w:tc>
      </w:tr>
    </w:tbl>
    <w:tbl>
      <w:tblPr>
        <w:tblW w:w="7386" w:type="dxa"/>
        <w:jc w:val="left"/>
        <w:tblInd w:w="0" w:type="dxa"/>
        <w:tblLayout w:type="fixed"/>
        <w:tblCellMar>
          <w:top w:w="28" w:type="dxa"/>
          <w:left w:w="28" w:type="dxa"/>
          <w:bottom w:w="28" w:type="dxa"/>
          <w:right w:w="28" w:type="dxa"/>
        </w:tblCellMar>
      </w:tblPr>
      <w:tblGrid>
        <w:gridCol w:w="124"/>
        <w:gridCol w:w="256"/>
        <w:gridCol w:w="7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taking other regulatory or enforcement actions that could be harmful to our business.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of these actions could cause significant disruption to our business operations and may materially and adversely affect our business, financial condition and results of operations. In addition, it is unclear what impact the PRC government actions would have on us and on our ability to consolidate the financial results of any of the VIEs in our consolidated financial statements, if the PRC governmental authorities find our legal structure and contractual arrangements to be in violation of PRC laws, rules and regulations. Moreover, new PRC laws, regulations and rules may be introduced to impose additional requirements, posing additional challenges to our corporate structure and contractual arrangements. If any of these penalties results in our inability to direct the activities of VIEs, our failure to receive the economic benefits from the VIEs and/or our inability to claim our contractual control rights over the assets of the VIEs that conduct substantially all of our operations in China, we may not be able to consolidate the VIEs and their respective subsidiaries into our consolidated financial statements in accordance with U.S. GAAP which could materially and adversely affect our financial condition and results of operations and cause our ADSs and ordinary shares to significantly decline in value or become worthless. Please also see the below risk factors “— Substantial uncertainties exist with respect to how the 2019 Foreign Investment Law may impact the viability of our current corporate structure, corporate governance and business operations” and “— Risks Related to Doing Business in China—The Chinese government restricts the ability for foreign investors to invest in and operate in certain types of telecommunications and internet businesses.”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Substantial uncertainties exist with respect to how the 2019 Foreign Investment Law may impact the viability of our current corporate structure, corporate governance and business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March 15, 2019, the Standing Committee of National People’s Congress promulgated the Foreign Investment Law of the PRC, or the 2019 PRC Foreign Investment Law, which became effective on January 1, 2020. The 2019 PRC Foreign Investment Law replaced the trio of previous laws regulating foreign investment in China, namely, the Wholly Foreign-owned Enterprises Law, the Sino-foreign Equity Joint Ventures Law, and the Sino-foreign Cooperative Joint Ventures Law, together with their implementation rules and ancillary regulations, and embodies an expected PRC regulatory trend to rationalize its foreign investment regulatory regime in line with prevailing international practice and the legislative efforts to unify the corporate legal requirements for both foreign and domestic investments. However, uncertainties still exist in relation to interpretation and implementation of the 2019 PRC Foreign Investment Law, especially in regard to, among other things, the nature of VIE structure, the promulgation schedule of both the “negative list” under the 2019 PRC Foreign Investment Law and specific rules regulating the organization form of foreign invested enterprises within the five-year transition period. The VIE structure has been adopted by many PRC-based companies, including us, to obtain necessary licenses and permits in the industries that are currently subject to foreign investment restrictions in China. While the 2019 PRC Foreign Investment Law does not comment on the concept of “de facto control” or contractual arrangements with variable interest entities, it does have a catch-all provision under the definition of “foreign investment,” which includes investments made by foreign investors in China through means stipulated by laws or administrative regulations or other methods prescribed by the State Council. As such, there remains leeway for future laws to define contractual arrangements as a form of “foreign investment.” Therefore, there can be no assurance that our consolidation of the VIEs through contractual arrangements will not be deemed as foreign investment in the future.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event that any possible future laws, administrative regulations or provisions deem contractual arrangements as foreign investment, or if any of our operations through contractual arrangements is classified in the “restricted” or “prohibited” industry in the future “negative list” under the 2019 Foreign Investment Law, our contractual arrangements may be deemed invalid and illegal, and we may be required to unwind the VIE contractual arrangements and/or dispose of any affected business. Also, if future laws, administrative regulations or provisions mandate further actions to be taken with respect to existing contractual arrangements, we may face substantial uncertainties as to whether we can complete such actions in a timely manner, or at all. In addition, the 2019 Foreign Investment Law provides that foreign invested enterprises established according to the existing laws regulating foreign investment may maintain their structure and corporate governance within a five-year transition period until January 1, 2025, which means that we may be required to adjust the structure and corporate governance of certain of our China mainland subsidiaries after such transition period. Failure to take timely and appropriate measures to handle any of these or similar regulatory compliance challenges could materially and adversely affect our current corporate structure, corporate governance and business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Our contractual arrangements with the VIEs may not be as effective in providing operational control as direct ownership. If the VIEs or their ultimate shareholders violate our contractual arrangements with them, our business could be disrupted, our reputation may be harmed and we may have to resort to litigation to enforce our rights, which may be time consuming and expensive.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Since PRC laws prohibit or restrict foreign equity ownership in certain types of businesses in China, we have relied and expect to continue to rely on the contractual arrangements with the VIEs and their nominee shareholders to operate our business in China. However, these contractual arrangements may not be as effective as direct ownership in providing us with control over the VIEs, and the VIEs are owned by shareholders whose interests may differ from ours and those of our shareholders because they own a larger percentage of such companies than of our company. These VIEs or their ultimate shareholders could violate our arrangements with them by, among other things, failing to operate and maintain the NetEase websites and other online and mobile platforms, or their various businesses in an acceptable manner, failing to remit revenue to us on a timely basis or at all or diverting customers or business opportunities from us. If these companies or their ultimate shareholders violate our agreements with them, we may have to incur substantial costs and expend significant resources to enforce those arrangements and rely on legal remedies under the PRC laws. Many PRC laws, rules and regulations are relatively new, and because of the limited volume of published decisions and their non-binding nature, the interpretation and enforcement of these laws, rules and regulations involve substantial uncertainties. These uncertainties may impede our ability to enforce these agreements, or cause us to suffer significant delay or other obstacles in the process of enforcing these agreements, and may materially and adversely affect our results of operations and financial position.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Because our contractual arrangements with certain of the VIEs and their ultimate shareholders do not detail the parties’ rights and obligations, our remedies for a breach of these arrangements are limited.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current relationship with the VIEs, including Guangzhou NetEase, Hangzhou Leihuo, Youdao Computer and Hangzhou Yuedu, and their ultimate shareholders is based on a number of contracts, and these affiliated companies are considered the VIEs for accounting purposes. The terms of these agreements are often statements of general intent and do not detail the rights and obligations of the parties. Some of these contracts provide that the parties will enter into further agreements on the details of the services to be provided. Others contain price and payment terms that are subject to monthly adjustment. These provisions may be subject to differing interpretations, particularly on the details of the services to be provided and on price and payment terms. It may be difficult for us to obtain remedies or damages from these VIEs or their ultimate shareholders for breaching our agreements. Because we rely significantly on these companies for our business, the realization of any of these risks may disrupt our operations or cause degradation in the quality and service provided on, or a temporary or permanent shutdown of, the NetEase websites or other online and mobile platforms.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One of our shareholders has significant influence over our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founder, Chief Executive Officer and director, William Lei Ding, beneficially owned, as of March 31, 2024, approximately 45.0% of our total outstanding shares and is our largest shareholder. Accordingly, Mr. Ding has significant influence in determining the outcome of any corporate transaction or other matter submitted to the shareholders for approval, including mergers, consolidations, the sale of all or substantially all of our assets, election of directors and other significant corporate actions. He also has significant influence in preventing or causing a change in control. In addition, without the consent of this shareholder, we may be prevented from entering into transactions that could be beneficial to us. The interests of Mr. Ding may differ from the interests of our other shareholders.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 majority of the share capital of certain of the VIEs is held by our major shareholder, who may cause these agreements to be amended in a manner that is adverse to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William Lei Ding, directly or indirectly holds the majority interest in certain of the VIEs. As a result, Mr. Ding may be able to cause the agreements related to those companies to be amended in a manner that will be adverse to us, or may be able to cause these agreements not to be renewed, even if their renewal would be beneficial for us. Although we have entered into an agreement that prevents the amendment of these agreements without the approval of the members of our board of directors other than Mr. Ding, we can provide no assurances that these agreements will not be amended in the future to contain terms that might differ from the terms that are currently in place. These differences may be adverse to our interests.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We may not be able to conduct our operations without the services provided by certain of the VIEs.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operations are currently dependent upon our commercial relationships with the VIEs, and we derive most of our revenues from these companies. If these companies are unwilling or unable to perform the agreements which we have entered into with them, we may not be able to conduct our operations in the manner in which we currently do. In addition, the VIEs may seek to renew these agreements on terms that are disadvantageous to us. Although we have entered into a series of agreements that provide us with substantial ability to control these companies, we may not succeed in enforcing our rights under them. If we are unable to renew these agreements on favorable terms, or to enter into similar agreements with other parties, our business may not expand, and our operating expenses may increase.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Our corporate structure may restrict our ability to receive dividends from, and transfer funds to, our China mainland subsidiaries and VIEs, which could restrict our ability to act in response to changing market conditions and reallocate funds internally in a timely manner.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NetEase, Inc. is a holding company with no significant assets other than cash on hand and its equity interests in its directly and indirectly-owned subsidiaries, including those set forth in the organizational diagram appearing in Item 4.B. “Information on the Company—Business Overview—Our Organizational Structure.” As a result, our company’s primary internal source of funds for our cash and financing requirements is dividend payments and other distributions on equity from our subsidiaries. If these subsidiaries incur debt on their own behalf in the future, the instruments governing the debt may restrict their ability to pay dividends or make other distributions to us, which in turn would limit our ability to pay dividends on our ordinary shares and service any debt we may incur. PRC tax authorities may also require us to amend our contractual arrangements with the VIEs and their respective shareholders in a manner that would materially and adversely affect the ability of our subsidiaries to pay dividends and other distributions to us. In addition, Chinese legal restrictions permit payment of dividends only out of net income as determined in accordance with Chinese accounting standards and regulations. Under Chinese law, our China mainland subsidiaries and the VIEs are also required to set aside a portion of their net income each year to fund certain reserve funds, except in cases where a company’s cumulative appropriations have already reached the statutory limit of 50% of that company’s registered capital. These reserves are not distributable as cash dividends. Also see “—Risks Related to Doing Business in China—We may be treated as a resident enterprise for PRC tax purposes under the Enterprise Income Tax Law, which may subject us to PRC income tax for our global income and result in dividends payable by us to our foreign investors, and gains on the sales of our ordinary shares or ADSs, becoming subject to taxes under PRC tax laws, which may materially reduce the value of your investment.” Any limitation on the ability of our China mainland subsidiaries and the VIEs to transfer funds to us in the form of dividends or other distributions could materially and adversely limit our ability to grow, make investments or acquisitions that could be beneficial to our businesses, pay debt or dividends, and otherwise fund and conduct our business.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any transfer of funds from us to any of our China mainland subsidiaries or the VIEs, either as a shareholder loan or as an increase in registered capital, is subject to certain statutory limit requirements and registration or approval of the relevant PRC governmental authorities, including the relevant administration of foreign exchange and/or the relevant examining and approval authority.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Therefore, it is difficult to change our capital expenditure plans once the relevant funds have been remitted from our company or our subsidiaries outside of China to our China mainland subsidiaries or the VIEs. These limitations on the free flow of funds between our company and our China mainland subsidiaries and the VIEs could restrict our ability to act in response to changing market conditions and reallocate funds internally in a timely manner.</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Our arrangements with certain of the VIEs and their respective shareholders may cause a transfer pricing adjustment and may be subject to scrutiny by the PRC tax authorities.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could face material and adverse tax consequences if the PRC tax authorities determine that our contracts with the VIEs and their respective shareholders were not entered into based on arm’s-length negotiations. Although our contractual arrangements are similar to those of other companies conducting similar operations in China, if the PRC tax authorities determine that these contracts were not entered into on an arm’s-length basis, they may adjust our income and expenses for PRC tax purposes in the form of a transfer pricing adjustment which may result in an increase in our taxes. In addition, the PRC tax authorities may also impose late payment interest.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 transfer of shares of the VIEs may trigger tax liability.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need to cause the transfer of shareholdings of the VIEs from their current respective shareholders to any other individual, we may be required to pay individual income tax in the PRC on behalf of the transferring shareholder. Such individual income tax would be based on any gain deemed to have been realized by such shareholder on such transfer, and may be calculated based on a tax rate of 20% applied to the transferring shareholder’s interest in net book value of the entity whose shares are being transferred minus the original investment cost. A significant tax obligation arising from any such transfer of shares could materially adversely affect our business, financial conditions and results of operations.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We may lose the ability to use and enjoy assets held by any of the principal VIEs that are important to the operation of our business if such VIE declares bankruptcy or becomes subject to a dissolution or liquidation proceeding.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principal VIEs hold assets that are material to our business operations, such as our certain intellectual property and core licenses and permits. Although the VIE contracts between our subsidiaries and the VIEs and the shareholders of the VIEs contain terms that prohibit the shareholders of the VIEs from adversely affecting the existence of the VIEs, in the event the shareholders breach this obligation and voluntarily liquidate the VIEs, or if any of the VIEs declare bankruptcy and all or part of its assets become subject to liens or rights of third-party creditors, we might be unable to continue some or all of our business operations. Furthermore, if any of the VIEs were to undergo a voluntary or involuntary liquidation proceeding, its shareholders or unrelated third-party creditors might claim rights to some or all of such VIE’s assets and their rights could be senior to our rights under the VIE contracts, thereby hindering our ability to operate our business.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The custodians or authorized users of our controlling non-tangible assets, including chops and seals, may fail to fulfill their responsibilities, or misappropriate or misuse these assets.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PRC law, legal documents for corporate transactions, including agreements and contracts are executed using the chop or seal of the signing entity or with the signature of a legal representative whose designation is registered and filed with relevant PRC industry and commerce authorities. In order to secure the use of our chops and seals, we have established internal control procedures and rules for using these chops and seals. In any event that the chops and seals are intended to be used, the responsible personnel will submit the application which will then be verified and approved by authorized employees in accordance with our internal control procedures and rules. In addition, in order to maintain the physical security of our chops, we generally have them stored in secured locations accessible only to authorized employees. Although we monitor such authorized employees, the procedures may not be sufficient to prevent all instances of abuse or negligence. There is a risk that our employees could abuse their authority, for example, by entering into a contract not approved by us or seeking to gain control of one of our subsidiaries or VIEs. If any employee obtains and misuses or misappropriates our chops and seals or other controlling non-tangible assets for whatever reason, we could experience disruption to our normal business operations. We may have to take corporate or legal action, which could involve significant time and resources to resolve and divert management from our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DOING BUSINESS IN CHINA</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The political relationships between China and other countries may affect our business, financial condition, results of operations, cash flows and prospects.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launched numerous mobile games in global markets since 2015 and also offer certain other services outside of China. Any deterioration of political relationships between China and other foreign jurisdictions may result in bans or restrictions that could impact our products. As a result, China’s political relationships with other countries in which our services are available may affect our business operations. For instance, in September 2020, after heightened tensions between China and India over the disputed Himalayan mountain border, the government of India announced the ban of 118 mobile applications of Chinese origin, including several of our products. In addition, in September 2020, former U.S. President Donald Trump issued an executive order blocking TikTok and WeChat from processing transactions for U.S. citizens and from being downloaded in U.S. app stores due to national security concerns. In January 2021, President Trump also issued an executive order prohibiting transactions between U.S. individuals and companies and eight Chinese applications, including AliPay and QQ. In June 2021, U.S. President Joe Biden rescinded both executive orders and directed the U.S. Commerce Department to monitor software applications that could affect U.S. national security and make recommendations. In October 2021, the U.S. Commerce Department submitted an initial set of recommendations on data scrutiny. On April 24, 2024, President Biden signed into law certain measures requiring TikTok owner ByteDance to sell TikTok or face a total ban in the U.S. Although the foregoing executive orders or actions are not directed at our services and the ban in India has not materially impacted our online games services revenue, there can be no assurance that the deterioration of political relationships between China and other foreign jurisdictions will not result in further bans or restrictions that could impact our products.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business, financial condition, results of operations, cash flows and prospects may also be materially adversely affected by export controls and trade sanctions that target China and/or China-based business. See “—Export controls and trade sanctions explicitly or implicitly involving China could negatively affect our business operations and subject us to regulatory investigations, fines, penalties or other actions and reputational harm, which could materially adversely affect our business, financial condition and results of operations” above. In addition, there can be no assurance that our customers will not alter their perception of us or their preferences as a result of adverse changes to the state of political relationships between China and the relevant foreign jurisdiction. Any tensions and political concerns between China and the relevant foreign jurisdictions may adversely affect our business, financial condition, results of operations, cash flows and prospects.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Changes in government regulation of the telecommunications and internet industries in China may result in uncertainties in interpretation and/or the Chinese government requiring us to obtain additional licenses or other governmental approvals to conduct our business, both of which may restrict our operations.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telecommunications and internet industry, including ICP services and online games, is highly regulated by the Chinese government. In addition, the telecommunication and internet-related laws and regulations are relatively new and constantly evolving, and their interpretation and enforcement involve significant uncertainties. As a result, in certain circumstances, it may be difficult to determine what actions or omissions may be deemed to be in violation of applicable laws and regulations in this area.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evolving PRC regulatory system for the telecommunications and internet industries may lead to the establishment of new regulatory agencies. For example, in May 2011, the State Council announced the establishment of the CAC, whose primary role is to facilitate the policy-making and legislative development in the telecommunications and internet industries by coordinating with other relevant governmental agencies in connection with online content administration and handling cross-ministry regulatory matters in relation to such industries.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we are uncertain as to how the Chinese government will reclassify our business, due to our acceptance of fees for internet advertising, online games, e-commerce, and other innovative services as sources of revenues, or as a result of our current corporate structure. Such reclassification could subject us to penalties, fines or significant restrictions on our business. Moreover, NetEase, Inc. may have difficulties enforcing its rights under the agreements with the VIEs if any of these parties breaches any of the agreements with them because NetEase, Inc. does not have approval from appropriate Chinese authorities to provide internet content services, internet advertising services, e-commerce services or other innovative services. Future changes in Chinese government policies affecting the provision of information services, including the provision of online services, internet access, e-commerce services, online advertising and online gaming may impose additional regulatory requirements on us or our service providers or otherwise harm our business.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The Chinese government restricts the ability for foreign investors to invest in and operate in certain types of telecommunications and internet businesses.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Foreign ownership of certain types of telecommunications and internet businesses which we operate, including value-added telecommunications services, internet cultural services and internet publication services, is subject to restrictions under applicable PRC laws. For example, on September 28, 2009, GAPP, together with the National Copyright Administration and National Office of Combating Pornography and Illegal Publications issued a Notice Regarding the Consistent Implementation of the “Regulation on Three Provisions” of the State Council and the Relevant Interpretations of the State Commission Office for Public Sector Reform and the Further Strengthening of the Administration of Examination and Approval of Online Games and the Examination and Approval of Imported Online Games, or Circular 13. According to Circular 13, foreign investors are not permitted to invest in online game operating businesses in China via wholly-owned, equity joint venture or cooperative joint venture investments and expressly prohibits foreign investors from gaining control over or participating in domestic online game operators through indirect ways such as establishing other joint venture companies, or contractual or technical arrangements. In addition, the Administration of Online Publishing Service jointly issued by the SAPPRFT and the MIIT, effective on March 10, 2016, forbids foreign investments in the online publishing business.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With respect to our internet portal and related mobile app, the CAC’s Provisions for the Administration of Internet News Information Services, which became effective from June 1, 2017, expressly prohibit any Sino-foreign equity joint venture or cooperative joint venture or any foreign-funded enterprise to conduct internet-based news information services. We believe we are in compliance with such requirement because our internet portal and related mobile app business is conducted through the contractually controlled VIEs that are PRC entities. Additionally, in accordance with the Several Opinions on the Introduction of Foreign Capital to the Culture Sector (Wen Ban Fa [2005] No. 19) issued by the MOC on July 6, 2005, foreign investors (excluding Hong Kong and Macau) are prohibited from establishing or operating internet-based cultural institutions. It is unclear what activities count as “operating internet-based cultural institutions,” however certain services we provide in our innovative businesses and others segment are likely to be deemed as such. We believe we are also in compliance with this requirement because we operate our other innovative businesses and other services through the contractually controlled VIEs.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It is unclear whether the authorities will deem the VIE structure of the NetEase group as a kind of “indirect way” for foreign investors to gain control over or participate in domestic online game operators, internet-based news information services or internet-based cultural institutions. If the VIE structure is deemed as one such “indirect way,” the VIE structure may be challenged by the authorities and the authorities may require us to restructure the VIE structure and take action to prohibit or restrict our business operations. In such case, we may not be able to operate or control business in the same manner as we currently do and may not be able to consolidate the VIEs. Please also see “—Risks Related to Our Corporate Structure” above for a discussion of the risks associated with the VIE structure.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recent years, the PRC government has been promoting foreign investment reform in some sectors and purported to loosen the foreign investment restrictions in those sectors. For example, the Notice of the MIIT on Removing the Restrictions on Foreign Equity Ratios in Online Data Processing and Transaction Processing (Operating E-commerce) Business promulgated by the MIIT on June 19, 2015 allows foreign investors to hold up to 100% of the equity interests in an online data processing and transaction processing business (operational e-commerce) in China. In addition, the NDRC and the MOFCOM jointly published the 2019 edition of the Special Administrative Measures for Access of Foreign Investments, or the 2019 Negative List, which came into effect on July 30, 2019. The 2019 Negative List removed some of the previous restrictions on value-added telecommunications providers by allowing foreign investors to hold up to 100% of the equity interests in e-commerce, domestic multi-party communication, e-storage and forwarding and call center businesses in China. The 2019 Negative List has been replaced by the 2020 edition and the 2021 edition of the Special Administrative Measures for Access of Foreign Investment, which retain the same provisions with respect to value-added telecommunication businesses as the 2019 Negative List. Furthermore, the amended Regulation for the Administration of Foreign-Invested Telecommunications Enterprises, which took effect on May 1, 2022, removes some of the requirements for major foreign investors in a foreign-invested telecommunications enterprise engaging in value-added telecommunication services. For example, the record of good performance and operating experience in managing value-added telecommunication services for the major foreign investors have been removed. It is unclear, however, how these new regulations and policies will be implemented. More generally, the authorities in China have broad discretion in the determination and interpretation of the rules and regulations regarding foreign investment in the telecommunications and internet business, which may adversely impact our financial statements, operations and cash flows.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The approval, filing or other requirements of the CSRC, CAC or other PRC government authorities may be required under PRC law in connection with our issuance of securities overseas or maintenance of the listing status of our ADSs or ordinary shares, and the PRC government’s oversight and discretion over our business operations could result in a material adverse change in our operations and the value of our ADSs or ordinary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Regulations on Mergers and Acquisitions of Domestic Enterprises by Foreign Investors, or the M&amp;A Rules, purport to require offshore special purpose vehicles that are controlled by PRC companies or individuals and that have been formed for the purpose of seeking a public listing on an overseas stock exchange through acquisitions of PRC domestic companies or assets to obtain CSRC approval prior to publicly listing their securities on an overseas stock exchange. The interpretation and application of the regulations remain unclear. If CSRC approval under the M&amp;A Rules is required, it is uncertain whether it would be possible for us to obtain the approval, and any failure to obtain or delay in obtaining CSRC approval for our future issuance of securities overseas would subject us to sanctions imposed by the CSRC and other PRC regulatory agencies.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Furthermore, our operations in China are governed by PRC laws and regulations. The PRC government has significant oversight and discretion over the operation of our business, and it may influence our operations, which could result in a material adverse change in our operation and the value of our ADSs and ordinary shares. The PRC government has recently indicated an intent to exert more oversight over overseas offerings and/or foreign investment in China-based issuers like us. For example, the Opinions on Strictly Cracking Down on Illegal Securities Activities issued on July 6, 2021 emphasized the need to strengthen the administration over “illegal securities activities” and the supervision on overseas listings by China-based companies, and proposed to take effective measures, such as promoting the construction of relevant regulatory systems to deal with the risks and incidents faced by China-based overseas-listed companies, although such opinions did not specify the definition of “illegal securities activities.” Such opinions further provided that the special provisions of the State Council on overseas offerings and listings by those companies limited by shares will be revised and therefore the duties of domestic industry competent authorities and regulatory agencies will be clarified. Subsequently, CAC issued the Online Data Security Management Regulations (Draft for Comments) and CAC, NDRC, MIIT and other ten PRC regulatory authorities jointed issued the Cybersecurity Review Measures which further strengthened the cybersecurity review measures. For more details, please see “—Risks Related to Our Operations Overall—We are subject to a variety of laws and other obligations regarding data security and personal information protection in China, and our failure to comply with any of them could result in claims, complaints or proceedings against us by governmental entities, individuals or others and could harm our public image and reputation, which could have a material adverse effect on our business, results of operations and financial condition.”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on February 17, 2023, CSRC issued a new set of regulations consists of the Trial Administrative Measures of Overseas Securities Offering and Listing by Domestic Companies and five supporting guidelines (collectively, the “Filing Rules”) which came into effect on March 31, 2023. The Filing Rules regulate both direct and indirect overseas offering and listing of PRC domestic companies’ securities by adopting a filing-based regulatory regime. A “direct” overseas offering and listing by domestic companies refers to such overseas offering and listing by a joint-stock company incorporated domestically. An “indirect” overseas offering and listing by domestic companies refers to such overseas offering and listing by a company in the name of an overseas incorporated entity, whereas the company’s major business operations are located domestically and such offering and listing is based on the underlying equity, assets, earnings or other similar rights of a domestic company. The Filing Rules apply to overseas offerings by domestic companies of equity shares, depository receipts, convertible corporate bonds and other equity securities that are offered and listed overseas, and we may be required to submit filings to the CSRC in connection with future issuances of our equity securities to foreign investors. In order to support domestic companies’ overseas securities offering and listing pursuant to PRC laws and regulations, as a supplement to the Trial Measures, on February 24, 2023, CSRC and other three PRC regulatory authorities jointly issued the Provisions on Strengthening Confidentiality and Archives Administration of Overseas Securities Offering and Listing by Domestic Companies, or the Confidentiality and Archives Administration Provisions, which took effect on March 31, 2023, according to which, a domestic company that seeks overseas offering and listing and the securities companies and securities service providers that undertake relevant businesses must strictly abide by applicable PRC laws and regulations, enhance legal awareness of keeping state secrets and strengthening archives administration, institute a sound confidentiality and archives administration system, and take necessary measures to fulfil confidentiality and archives administration obligations. For more information with respect to the Filing Rules and the Confidentiality and Archives Administration Provisions, see Item 4.B. “Information on the Company—Business Overview—Government Regulations—Regulations Relating to Overseas Listing.” As the Filing Rules and the Confidentiality and Archives Administration Provisions are relatively new, there are substantial uncertainties with respect to their interpretation and implementation.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the CSRC, CAC or other relevant PRC regulatory agencies subsequently determine that approval is required for any of our future offerings of securities overseas or to maintain the listing status of our ADSs or ordinary shares, we cannot guarantee that we will be able to obtain such approval in a timely manner, or at all. The CSRC, CAC or other PRC regulatory agencies also may take actions requiring us, or making it advisable for us, not to proceed with such offering or maintain the listing status of our ADSs or ordinary shares. If we proceed with any of such offering or maintain the listing status of our ADSs or ordinary shares without obtaining the CSRC’s or other relevant PRC regulatory agencies’ approval to the extent it is required, or if we are unable to comply with any new approval requirements which might be adopted for offerings that we have completed prior to the publication of the above-referenced opinions, we may face regulatory actions or other sanctions from the CSRC, CAC or other PRC regulatory agencies. These regulatory agencies may impose fines and penalties on our operations in China, limit our ability to pay dividends outside of China, limit our operating privileges in China, delay or restrict the repatriation of the proceeds from offering of securities overseas into China or take other actions that could have a material adverse effect on our business, financial condition, results of operations and prospects, as well as the trading price of the ADSs or ordinary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if there are any other approvals, filings and/or other administration procedures to be obtained from or completed with the CSRC, CAC or other PRC regulatory agencies as required by any new laws and regulations for any of our future proposed offering of securities overseas or the listing of the ADSs or ordinary shares, we cannot assure you that we can obtain the required approval or complete the required filings or other regulatory procedures in a timely manner, or at all. Any failure to obtain the relevant approvals or complete the filings and other relevant regulatory procedures may subject us to regulatory actions or other sanctions from the CSRC or other PRC regulatory agencies, which may have a material adverse effect on our business, financial condition or results of operations. In addition, implementation of industry-wide regulations affecting our operations could cause the value of our securities to significantly decline. Therefore, investors of our company and our business face potential uncertainty from actions taken by the PRC government affecting our business.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The Chinese government has not enacted any specific laws regarding virtual asset property rights and, accordingly, it is not clear what liabilities, if any, online game providers may have for virtual assets.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One of the features of our PC and mobile MMORPG and other games which helps to build a large user base and maintain loyalty is that users can accumulate virtual tools, powers and rankings as they play the games. We believe that these virtual assets are highly valued by our users, particularly long-term users, and are traded among users. However, on occasion, such assets can be lost if, for example, a user’s identity is stolen by another user or we experience a system error or crash. Other than the PRC Civil Code, which was passed by the National People’s Representative Meeting on May 28, 2020 and took effect on January 1, 2021, which prescribes that network virtual property will be protected according to the laws and regulations stipulating the protection of such property, the Chinese government has not yet enacted any specific laws regarding virtual property rights. Accordingly, we have no basis to determine what are the legal rights, if any, associated with virtual assets and what liabilities we could be exposed to for the loss or destruction of virtual assets. We could therefore potentially be held liable for the way in which we handle and protect virtual assets.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Restrictions on virtual currency may adversely affect our online game revenues.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large part of our online game revenues is collected through the sale of prepaid points, as described elsewhere in this annual report.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February 15, 2007, the MOC, the PBOC, and 12 other PRC regulatory authorities jointly issued the Notice on the Reinforcement of the Administration of Internet Cafés and Online Games, or the Internet Cafés Notice, which strengthens the administration of virtual currency in online games to avoid any adverse impact on the PRC economy and financial system. Under the Internet Cafés Notice, the total amount of virtual currency issued by online game operators and the amount purchased by individual users should be strictly limited, with a clear distinction between virtual transactions and real transactions, so that virtual currency should only be used to purchase virtual items.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June 4, 2009, the MOC and the MOFCOM jointly issued the Notice on Strengthening the Administration of Online Game Virtual Currency, or the Online Game Virtual Currency Notice, which defined “Virtual Currency” as a type of virtual exchange instrument that is issued by online game operators, purchased directly or indirectly by the game user by exchanging legal currency at a certain exchange rate, saved outside the game programs, stored in servers provided by the online game operators in electronic record format and represented by specific numeric units. In addition, the Online Game Virtual Currency Notice categorizes companies involved with virtual currency as either issuers or trading platforms and prohibits companies from simultaneously engaging both as issuers and as trading platforms. The Online Game Virtual Currency Notice’s objective is to limit the circulation of virtual currency and thereby reduce concerns that it may impact real world inflation. To accomplish this, the Online Game Virtual Currency Notice requires online game operators to report the total amount of their issued virtual currencies on a quarterly basis and to refrain from issuing disproportionate amounts of virtual currencies in order to generate revenues. In addition, the Online Game Virtual Currency Notice reiterates that virtual currency can only be provided to users in exchange for an RMB payment and can only be used to pay for virtual goods and services of the issuers. Online game operators are strictly prohibited from conducting lucky draws or lotteries in which participants pay cash or virtual currency to win game items or virtual currency. The Online Game Virtual Currency Notice also requires online game operators to keep transaction data records for no less than 180 days and to not provide virtual currency trading services to minors.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December 22, 2023, the NPPA publicly solicited opinions on the Draft Administrative Measures for Online Games, which provide for rules on the distribution, trading and trading enterprises of online game coins, as well as rules on the distribution and trading of virtual items for online games, including, among other things, (i) trading of online game coins shall be conducted via real-name digital RMB wallets, (ii) an enterprise shall not provide both the distribution of online game coins and the trading service for online game coins simultaneously, and (iii) online game publishers and operators shall not exchange the virtual props of online games acquired by users into legal tender. As of the date of the filing of this annual report, the Draft Administrative Measures for Online Games have not been formally adopted. It remains unclear whether a formal version will be adopted in the future and whether the adopted formal version (if any) will have any further material changes, and it is uncertain how the measures will be enacted, interpreted or implemented and how they will affect us.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Information displayed on, retrieved from or linked to the NetEase websites and other online and mobile platforms may subject us to claims of violating PRC laws.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Internet companies in China are subject to a variety of existing and new rules, regulations, policies, and license and permit requirements on the distribution of information over the mobile and internet. Under these rules and regulations, content service providers are prohibited from posting or displaying over the mobile or internet content that, among others, violates PRC laws and regulations, impairs the national security of China, is obscene, superstitious, defamatory, or may be deemed by relevant government authorities as “socially destabilizing” or leaking “state secrets” of China. Violations or perceived violations of Chinese laws arising from information displayed on, retrieved from or linked to the NetEase websites and other online and mobile platforms could result in significant penalties, including a temporary or complete cessation of our business.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Multiple organizations are involved in the administering of such regulations, including the Propaganda Department of the Chinese Communist Party, which has been given the responsibility to censor news published in China to ensure a particular political ideology, and the CAC, which has been given the responsibility to protect, supervise and administer cyber security issues in China. In addition, the MIIT has published implementing regulations that subject online information providers to potential liability for content included in their media and the actions of subscribers and others using their systems, including liability for violation of PRC laws prohibiting the distribution of content deemed to be socially destabilizing. The Ministry of Public Security has also from time to time prohibited the distribution over the internet of information which it believes to be socially destabilizing. In addition, the NRTA is involved in the supervising, administering and reviewing of the content and quality of radio and television programs and internet audio-visual programs. The MOCT is involved in guiding and administering the literary and artistic undertakings and artistic creation and production. The PRC government and regulatory authorities strengthen the regulation on internet content from time to time. For example, according to the Administrative Measures for Online Live Streaming Marketing (for Trial Implementation), which were issued by NRTA and several other government authorities jointly on April 23, 2021 and became effective on May 25, 2021, a live streaming marketing platform must be staffed with live streaming content management professionals commensurate with the scale of services, have the technical capacity to maintain the security of online live streaming content and have technical solutions that comply with relevant national standards. With respect to online performance, the Administrative Measures for Business Activities Relating to Online Performance which were issued by MOC on December 2, 2016 and took effect on January 1, 2017, requires that an online performance business operator must develop sound administrative rules for content examination, appoint examiners that meet the needs of self-examination and have obtained corresponding qualifications, and establish technical regulatory measures that meet the needs of content management. With respect to the mobile internal applications specifically, the Administrative Provisions on Mobile Internet Applications Information Services, which were issued by CAC on June 14, 2022 and became effective on August 1, 2022, requires the application providers not only to establish sound information content review and management mechanism, establish sound management measures such as user registration, account management, information review, daily inspection and emergency disposal, and be staffed with professionals and technical ability appropriate to the service scale, but also to conduct security assessment in accordance with the relevant provisions of Chinese laws before launching new technologies, new applications and new functions with the attribute of public opinions or capable of social mobilization. With respect to the internet pop-up window information push services (referring to the information push services provided to internet users in the form of pop-up message windows through operating systems, application software, websites, etc.), the Administrative Provisions on Internet Pop-up Window Information Push Services, which were issued by the CAC, MIIT and SAMR on September 9, 2022 and took effect on September 30, 2022, require that providers of internet pop-up window information push services must take responsibilities as an information content management entity and establish and improve management systems for censoring of information content, ecological governance, data security and personal information protection, and protection of minors. With respect to comment threading services (referring to the services of threading text, symbols, expressions, pictures, audio and video and other information provided for the users by way of comments, replies, messages, bullet screens, likes, etc.), the Administrative Provisions on Comment Threading Services on the Internet, or the Comment Threading Provisions, which were issued by CAC on November 16, 2022 and took effect on December 15, 2022, grant CAC the responsibility for the supervision and administration of comment threading services nationwide, and provide that the application providers will be responsible for the information contents presented and may not produce and disseminate illegal information and must consciously prevent and resist unhealthy information. For example, the Comment Threading Provisions require that comment threading service providers must regulate the management of the users of the comment threading services and the producers and business operators of official accounts in accordance with the user service agreement, while the producers and business operators of official accounts are required to strengthen the examination and management of the comment information content for the accounts, timely discover illegal and negative information content in the comment threading links and take necessary measures such as whistleblowing and handling. The Comment Threading Provisions further provide that the producers and business operators of official accounts may, according to the user service agreement, apply to the comment threading service providers for management authorities of the comment threading area, and the comment threading service providers must, after conducting a credit assessment on the comment management by the producers and business operators of the official accounts, reasonably set the management authority and provide relevant technical support.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Ministry of Public Security has the authority to require any local internet service provider to block any website maintained outside China at its sole discretion. The State Secrecy Bureau, which is directly responsible for the protection of state secrets of all PRC government and Chinese Communist Party organizations, is authorized to block any website it deems to be leaking state secrets or failing to meet the relevant regulations relating to the protection of state secrets in the distribution of online information. The term “state secrets” has been broadly interpreted by Chinese governmental authorities in the past. We may be liable under any of these pronouncements for content and materials posted, uploaded or transmitted by users on our platform. User-generated content is accessible on the NetEase websites and our other online and mobile platforms including </w:t>
      </w:r>
      <w:r>
        <w:rPr>
          <w:rFonts w:ascii="Times New Roman;Times;serif" w:hAnsi="Times New Roman;Times;serif"/>
          <w:i/>
          <w:sz w:val="20"/>
        </w:rPr>
        <w:t>Wangyi Xinwen</w:t>
      </w:r>
      <w:r>
        <w:rPr>
          <w:rFonts w:ascii="Times New Roman;Times;serif" w:hAnsi="Times New Roman;Times;serif"/>
          <w:sz w:val="20"/>
        </w:rPr>
        <w:t xml:space="preserve"> and NetEase Cloud Music, such as content and materials posted or uploaded by users on message boards, online communities and social networking platforms. We have implemented an efficient and thorough content screening and monitoring mechanism for NetEase Cloud Music and our other platforms which involve both automated filtering and manual review, to timely remove any inappropriate or illegal content, including interactive content on our platform. However, such procedures may not prevent all illegal or impropriate content or comments from being posted, and our editorial staff may fail to review and screen such content or comments effectively. To the extent that PRC regulatory authorities find any content on our platform objectionable, they may require us to limit or eliminate the dissemination of such content on our platform in the form of take-down orders or otherwise. Failure to identify and prevent illegal or inappropriate content from being distributed on our platform may subject us to liability. Recently, PRC governmental authorities have tightened regulations on online content. For example, the CAC launched the “Clear and Bright” campaign to rectify a variety of online misconduct in May 2021, in response to which certain policies were issued and enforcement actions were launched. If the PRC governmental authorities determine that we are not in compliance with all the requirements under applicable laws and regulations relating to internet content, we may be subject to fines and/or other sanctions such as an order to correct the violation, confiscation of illegal earnings, suspension or shutdown of the related business and website, cessation of business operation for rectification, and revocation of business license, any of which could disrupt our operations. In addition, PRC laws and regulations are subject to interpretation by the relevant authorities, and it may not be possible to determine in all cases the types of content that could result in our liability as a platform operator.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under the relevant regulations, internet companies which provide bulletin board systems, chat rooms or similar services, such as NetEase, must apply for the approval of the State Secrecy Bureau. As the implementing rules of these regulations have not been issued, we do not know how or when we will be expected to comply, or how our business will be affected by the application of these regulations.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We face uncertainties with respect to the interpretation and implementation of the anti-monopoly related laws in the field of internet platforms.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PRC Anti-Monopoly Law, which took effect on August 1, 2008, prohibits monopolistic conduct such as entering into monopoly agreements, abusing market dominance and concentration of undertakings that may have the effect of eliminating or restricting competition. Violations of such law can result in an order to stop the illegal conduct, confiscation of revenue earned from such conduct and a fine of 1% to 10% of the total amount of revenue earned in the prior year. On February 7, 2021, the Anti-Monopoly Commission of the State Council promulgated the Guidelines to Anti-Monopoly in the Field of Internet Platforms, or the Anti-Monopoly Guidelines, which took effect on the same date and operate as a compliance guidance for platform economy operators under the existing PRC anti-monopoly laws and regulations. The Anti-Monopoly Guidelines aim at specifying some of the circumstances under which an activity of internet platforms may be identified as monopolistic conduct as well as setting out filing procedures for concentration of undertakings involving variable interest entities. The Anti-Monopoly Guidelines mainly covers five aspects, including general provisions, monopoly agreements, abusing market dominance, concentration of undertakings, and abusing of administrative powers eliminating or restricting competition.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June 24, 2022, the Standing Committee of the National People’s Congress issued the 2022 Amendment to the Anti-Monopoly Law, which amends the penalties for illegal concentration of business operators to include the discontinuation of concentration, disposal of the shares or assets within a specified time limit, transfer of the business within a specified time limit and the adoption of other necessary measures to return to the state prior to the concentration, and a fine of no more than ten percent of its prior year’s sales revenue if the concentration of the business operators has or may have an effect of eliminating or restricting competitions; or a fine of up to RMB5 million if the concentration of business operators does not have an effect of eliminating or restricting competitions. The amendment also authorizes the relevant authority to investigate transactions where there is evidence that the concentration has or may have the effect of eliminating or restricting competitions, even if such concentration does not reach the filing threshold.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Recently, the SAMR has imposed administrative penalties in a number of anti-monopoly cases in the internet industry, and the regulatory environment for anti-monopoly in the internet industry has been entering into a phase of normalized regulation and control. Given the uncertainties of the interpretation and implementation of the Anti-Monopoly Guidelines and the newly amended Anti-Monopoly Law and considering the evolving legislative activities and varied local implementation practices of anti-monopoly and competition laws and regulations in the PRC, we may be required to make expenditures and adjust our business practice to comply with existing or future laws and regulations, which may increase our costs and limit our ability to operate our business. In addition, failure or perceived failure to comply with Anti-Monopoly Guidelines, and the newly amended Anti-Monopoly Law or other anti-monopoly related laws and regulations may result in investigations or enforcement actions, litigation or claims against us and could have an adverse effect on our business, financial conditions and results of operations.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We may not be able to adequately protect our intellectual property and may be exposed to infringement claims by third parties.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rely on a combination of copyright, trademark, patent and trade secrecy laws and contractual restrictions on disclosure to protect our intellectual property rights. Our efforts to protect our proprietary rights may not be effective in preventing unauthorized parties from copying or otherwise obtaining and using our technology or imitating our name, private label merchandise or other intellectual property. Monitoring unauthorized use of our intellectual property is difficult and costly, and we cannot be certain that the steps we take will effectively prevent misappropriation of our technology or other intellectual property.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From time to time, we may have to resort to litigation to enforce our intellectual property rights, which could result in substantial costs and diversion of our resources. In addition, our current and future business activities, including our portal service and private label merchandise, may infringe upon the proprietary rights of others, and third parties may assert infringement claims against us, including claims alleging, among other things, copyright, trademark or patent infringement. Third parties have initiated litigation against us for alleged infringement of their proprietary rights, and additional claims may arise in the future. In the event of a successful claim of infringement and our failure or inability to develop non-infringing technology or content or to license the infringed or similar technology or content on a timely basis, our business could suffer. Moreover, even if we are able to license the infringed or similar technology or content, license fees that we pay to licensors could be substantial or uneconomical. See Item 4.B. “Information on the Company—Business Overview—Intellectual Property.”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We are subject to consumer protection laws that could require us to modify our current business practices and incur increased costs.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e-commerce business is subject to numerous PRC laws and regulations that regulate retailers generally or govern online retailers specifically, such as the Consumer Protection Law. If these regulations were to change or if we or our suppliers were to violate them, the costs of certain products or services could increase, or we could be subject to fines or penalties or suffer reputational harm, which could reduce demand for the products or services offered on our e-commerce platform as well as third-party platforms and hurt our business, financial conditions and results of operations. For example, the amended Consumer Protection Law, which became effective in March 2014, strengthens the protection of consumers and imposes more stringent requirements and obligations on business operators, with a particular focus on businesses that operate via the internet. Pursuant to the Consumer Protection Law, consumers are generally entitled to return goods purchased within seven days upon receipt without giving any reasons if the purchases are made through the internet. Consumers whose interests have been harmed due to their purchase of goods or acceptance of services on e-commerce platforms may claim damages from sellers or service providers.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Laws and regulations regarding consumer protection, particularly those involving transactions conducted over the internet, frequently change and are subject to interpretation. We are therefore unable to predict the ultimate cost of compliance of the relevant laws or regulations or their effect on our operations. We may be required to make significant expenditures or modify our business practices to comply with existing or future laws and regulations, which may increase our costs and materially limit our ability to operate our business.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Regulatory restrictions on financial transactions may adversely affect the operation and profitability of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June 14, 2010, the PBOC issued the Measures for the Administration of Non-financial Institutions Engaging in Payment and Settlement Services, or the PBOC Measures, which became effective on September 1, 2010 and were revised on April 29, 2020, and require that non-financial institutions engaging in the business of effecting payments and settlements before September 1, 2010 obtain a permit from the PBOC by August 31, 2011 to continue operating their business. We currently operate an online payment platform used by both distributors of our prepaid points and end-users of our online services, which requires a permit under the PBOC Measures. In addition, on December 28, 2015, the PBOC issued a notice regarding the Administrative Measures for the Internet Payment Services of Non-bank Payment Institutions, or the PBOC Notice 43, which took effect on July 1, 2016. According to the PBOC Notice 43, a payment institution is required to follow the principles of “know your clients,” and maintain records on its clients using their real names when opening payment accounts for its clients. Pursuant to the PBOC Notice 43, a payment institution may not engage in, including in a disguised form, such businesses as securities, insurance, credit loans, financing, wealth management, guarantee, trust, currency exchange, cash deposit and withdrawal services. In addition, a payment institution is required to, based on client identity, conduct affiliated management of all the payment accounts opened by the same client. On January 13, 2017, the PBOC issued the Notice of the PBOC on Matters concerning Implementing the Centralized Deposit of the Funds of Pending Payments of Clients of Payment Institutions, which requires that from April 17, 2017, payment institutions transfer a portion of customer reserve funds to a specifically designated bank account upon the request of the PBOC and that no interest be allowed to accrue upon the transferred customer reserve funds for the time being. On June 29, 2018, the PBOC issued a further notice, namely the Notice of the General Office of PBOC on Matters Concerning the Centralized Deposit of the Full Amount of Customer Reserve Funds by Payment Institutions, which requires payment institutions to cause up to 100% of the customer reserve funds to be transferred to the above-mentioned account. On January 19, 2021, the PBOC issued the Measures for Deposit and Management of Customer Reserve Funds by Non-bank Payment Institutions, or the Measures for Customer Reserve Funds, which became effective on March 1, 2021. The Measures for Customer Reserve Funds define “Clients’ Reserves” as funds actually received by non-bank payment institutions when processing payments for clients and payable upon clients’ order, which must be fully deposited by the non-bank payment institutions into a dedicated deposit account held in the custody of banking institutions. The Measures for Customer Reserve Funds standardize the centralized deposit and management business of customer’s reserves after centralized deposit of reserves, further refine the provisions on deposit, use and transfer of reserves, clarify the corresponding reserve management responsibilities of the PBOC and its branches, clearing institutions and reserve banks, set punishment standards for violations of customer’s reserves and promote the development of the industry. On September 2, 2022, the Standing Committee of the National People’s Congress promulgated the Anti-Telecom and Online Fraud Law of the PRC, effective on December 1, 2022, which requires that non-bank payment institutions, together with banking financial institutions, must establish a customer due diligence system during the opening of bank accounts and payment accounts and the provision of payment and settlement services for customers, and during the existence of the business relationship with customers, identify the beneficial owners and take appropriate risk management measures to prevent the use of bank accounts and payment accounts for telecom or online fraud according to relevant laws. On December 9, 2023, the State Council promulgated the Regulation on Supervision and Administration of Non-bank Payment Institutions, which will become effective on May 1, 2024, to provide principal rules for regulating activities of non-bank payment institutions, such as implementing access management of the non-bank payment institutions by specifying certain access requirements and reinforcing management systems with respect to payment accounts, reserve funds and payment instructions.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are in compliance with the PBOC Notice 43 and the recent PBOC requirements to transfer our customer reserve funds to its designated bank account, and we are also in compliance with the State Council’s new regulation. However, we cannot predict how the regulations relating to financial transactions will evolve or be certain that we will be able to maintain compliance with all relevant regulations at a reasonable cost. Any inability to continue operating our current online payment platform would likely materially and adversely affect the operation and profitability of our business.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Uncertainties with respect to the PRC legal system, including uncertainties regarding the enforcement of laws, and sudden or unexpected changes in policies, laws and regulations in China, could adversely affect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Chinese legal system is a civil law system based on written statutes. Unlike common law systems, it is a system in which decided legal cases have less precedential value. In the late 1970s, the Chinese government began to promulgate a comprehensive system of laws and regulations governing economic matters. The overall effect of legislation enacted over the past 40 years has significantly enhanced the protections afforded to foreign invested enterprises in China. However, many of these laws, regulations and legal requirements are relatively recent and are evolving rapidly, and their interpretation and enforcement involve uncertainties. Since PRC administrative and court authorities have significant discretion in interpreting and implementing statutory provisions and contractual terms, it may be difficult to evaluate the outcome of administrative and court proceedings and the level of legal protection we enjoy. These uncertainties may affect our judgment on the relevance of legal requirements and our ability to enforce our contractual rights or tort claims. In addition, the regulatory uncertainties may be exploited through unmerited or frivolous legal actions or threats in attempts to extract payments or benefits from us. Furthermore, the PRC legal system is based in part on government policies and internal rules, some of which are not published on a timely basis or at all. As a result, we cannot assure that we can comply with these policies or rules at all times. In addition, any administrative and court proceedings may be protracted, resulting in substantial costs and diversion of resources and management attention.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PRC government has significant oversight and discretion over the conduct of our business and may intervene with or influence our operations as the government deems appropriate to further regulatory, political and societal goals. The PRC government has recently published new policies that adversely affected our industry and our business, and we cannot rule out the possibility that it will in the future further release regulations or policies regarding our industry that could further adversely affect our business, financial condition and results of operations.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Contract drafting, interpretation and enforcement in China involve uncertainty.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entered into numerous contracts governed by PRC law, many of which are material to our business. As compared with contracts in the United States, certain contracts governed by PRC law may contain less detail and may not be as comprehensive in defining contracting parties’ rights and obligations in some instances. As a result, those contracts are more vulnerable to disputes and legal challenges. In addition, contract interpretation and enforcement by the court in China is subject to uncertainties. Therefore, we cannot assure you that we will not be subject to disputes under our material contracts, and if such disputes arise, we cannot assure you that we will prevail. Any dispute involving material contracts, even without merit in plaintiff’s regard, may materially and adversely affect our reputation and our business operations, and may cause the price of our ADSs and/or shares to decline.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Changes in China’s political and economic policies could harm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economy of China has historically been a planned economy subject to governmental plans and quotas and has, in certain aspects, been transitioning to a more market-oriented economy. Although we believe that the economic reform and the macroeconomic measures adopted by the Chinese government have had a positive effect on the economic development of China, we cannot predict the future direction of these economic reforms or the effects these measures may have on our business, financial position or results of operations. In addition, the Chinese economy differs from the economies of most countries belonging to the Organization for Economic Co-operation and Development, or OECD. These differences include:</w:t>
      </w:r>
    </w:p>
    <w:p>
      <w:pPr>
        <w:pStyle w:val="TextBody"/>
        <w:bidi w:val="0"/>
        <w:spacing w:before="0" w:after="240"/>
        <w:ind w:left="720" w:right="0" w:hanging="0"/>
        <w:jc w:val="both"/>
        <w:rPr/>
      </w:pPr>
      <w:r>
        <w:rPr/>
        <w:t>●</w:t>
      </w:r>
      <w:r>
        <w:rPr>
          <w:rFonts w:ascii="Times New Roman;Times;serif" w:hAnsi="Times New Roman;Times;serif"/>
          <w:sz w:val="20"/>
        </w:rPr>
        <w:t>economic structure;</w:t>
      </w:r>
    </w:p>
    <w:p>
      <w:pPr>
        <w:pStyle w:val="TextBody"/>
        <w:bidi w:val="0"/>
        <w:spacing w:before="0" w:after="240"/>
        <w:ind w:left="720" w:right="0" w:hanging="0"/>
        <w:jc w:val="both"/>
        <w:rPr/>
      </w:pPr>
      <w:r>
        <w:rPr/>
        <w:t>●</w:t>
      </w:r>
      <w:r>
        <w:rPr>
          <w:rFonts w:ascii="Times New Roman;Times;serif" w:hAnsi="Times New Roman;Times;serif"/>
          <w:sz w:val="20"/>
        </w:rPr>
        <w:t>level of government involvement in the economy;</w:t>
      </w:r>
    </w:p>
    <w:p>
      <w:pPr>
        <w:pStyle w:val="TextBody"/>
        <w:bidi w:val="0"/>
        <w:spacing w:before="0" w:after="240"/>
        <w:ind w:left="720" w:right="0" w:hanging="0"/>
        <w:jc w:val="both"/>
        <w:rPr/>
      </w:pPr>
      <w:r>
        <w:rPr/>
        <w:t>●</w:t>
      </w:r>
      <w:r>
        <w:rPr>
          <w:rFonts w:ascii="Times New Roman;Times;serif" w:hAnsi="Times New Roman;Times;serif"/>
          <w:sz w:val="20"/>
        </w:rPr>
        <w:t>level of development;</w:t>
      </w:r>
    </w:p>
    <w:p>
      <w:pPr>
        <w:pStyle w:val="TextBody"/>
        <w:bidi w:val="0"/>
        <w:spacing w:before="0" w:after="240"/>
        <w:ind w:left="720" w:right="0" w:hanging="0"/>
        <w:jc w:val="both"/>
        <w:rPr/>
      </w:pPr>
      <w:r>
        <w:rPr/>
        <w:t>●</w:t>
      </w:r>
      <w:r>
        <w:rPr>
          <w:rFonts w:ascii="Times New Roman;Times;serif" w:hAnsi="Times New Roman;Times;serif"/>
          <w:sz w:val="20"/>
        </w:rPr>
        <w:t>level of capital reinvestment;</w:t>
      </w:r>
    </w:p>
    <w:p>
      <w:pPr>
        <w:pStyle w:val="TextBody"/>
        <w:bidi w:val="0"/>
        <w:spacing w:before="0" w:after="240"/>
        <w:ind w:left="720" w:right="0" w:hanging="0"/>
        <w:jc w:val="both"/>
        <w:rPr/>
      </w:pPr>
      <w:r>
        <w:rPr/>
        <w:t>●</w:t>
      </w:r>
      <w:r>
        <w:rPr>
          <w:rFonts w:ascii="Times New Roman;Times;serif" w:hAnsi="Times New Roman;Times;serif"/>
          <w:sz w:val="20"/>
        </w:rPr>
        <w:t>regulation of foreign exchange;</w:t>
      </w:r>
    </w:p>
    <w:p>
      <w:pPr>
        <w:pStyle w:val="TextBody"/>
        <w:bidi w:val="0"/>
        <w:spacing w:before="0" w:after="240"/>
        <w:ind w:left="720" w:right="0" w:hanging="0"/>
        <w:jc w:val="both"/>
        <w:rPr/>
      </w:pPr>
      <w:r>
        <w:rPr/>
        <w:t>●</w:t>
      </w:r>
      <w:r>
        <w:rPr>
          <w:rFonts w:ascii="Times New Roman;Times;serif" w:hAnsi="Times New Roman;Times;serif"/>
          <w:sz w:val="20"/>
        </w:rPr>
        <w:t>inflation rates;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720" w:right="0" w:hanging="0"/>
        <w:jc w:val="both"/>
        <w:rPr/>
      </w:pPr>
      <w:r>
        <w:rPr/>
        <w:t>●</w:t>
      </w:r>
      <w:r>
        <w:rPr>
          <w:rFonts w:ascii="Times New Roman;Times;serif" w:hAnsi="Times New Roman;Times;serif"/>
          <w:sz w:val="20"/>
        </w:rPr>
        <w:t>methods of allocating resources; and</w:t>
      </w:r>
    </w:p>
    <w:p>
      <w:pPr>
        <w:pStyle w:val="TextBody"/>
        <w:bidi w:val="0"/>
        <w:ind w:left="720" w:right="0" w:hanging="0"/>
        <w:jc w:val="both"/>
        <w:rPr/>
      </w:pPr>
      <w:r>
        <w:rPr/>
        <w:t>●</w:t>
      </w:r>
      <w:r>
        <w:rPr>
          <w:rFonts w:ascii="Times New Roman;Times;serif" w:hAnsi="Times New Roman;Times;serif"/>
          <w:sz w:val="20"/>
        </w:rPr>
        <w:t>balance of payments position.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result of these differences, our business may not develop in the same way or at the same rate as might be expected if the Chinese economy were similar to those of the OECD member countries.</w:t>
      </w:r>
    </w:p>
    <w:p>
      <w:pPr>
        <w:pStyle w:val="TextBody"/>
        <w:bidi w:val="0"/>
        <w:spacing w:before="0" w:after="180"/>
        <w:ind w:left="0" w:right="0" w:hanging="0"/>
        <w:jc w:val="both"/>
        <w:rPr>
          <w:rFonts w:ascii="Times New Roman;Times;serif" w:hAnsi="Times New Roman;Times;serif"/>
          <w:b/>
          <w:sz w:val="20"/>
        </w:rPr>
      </w:pPr>
      <w:r>
        <w:rPr>
          <w:rFonts w:ascii="Times New Roman;Times;serif" w:hAnsi="Times New Roman;Times;serif"/>
          <w:b/>
          <w:sz w:val="20"/>
        </w:rPr>
        <w:t>Our business benefits from certain PRC government incentives. Expiration of, or changes to, these incentives and PRC tax laws could have a material adverse effect on our operating results.</w:t>
      </w:r>
    </w:p>
    <w:p>
      <w:pPr>
        <w:pStyle w:val="TextBody"/>
        <w:bidi w:val="0"/>
        <w:spacing w:before="0" w:after="180"/>
        <w:ind w:left="0" w:right="0" w:firstLine="720"/>
        <w:jc w:val="both"/>
        <w:rPr>
          <w:rFonts w:ascii="Times New Roman;Times;serif" w:hAnsi="Times New Roman;Times;serif"/>
          <w:sz w:val="20"/>
        </w:rPr>
      </w:pPr>
      <w:r>
        <w:rPr>
          <w:rFonts w:ascii="Times New Roman;Times;serif" w:hAnsi="Times New Roman;Times;serif"/>
          <w:sz w:val="20"/>
        </w:rPr>
        <w:t>Under China’s Enterprise Income Tax Law, the enterprise income tax, or EIT, rate payable by domestic and foreign invested enterprises is 25.0%. Preferential tax treatments are granted to entities that conduct business in encouraged sectors and to entities that are classified as HNTEs, or “Software Enterprises” or “Key Software Enterprises,” whether such entities are foreign invested enterprises or domestic companies.</w:t>
      </w:r>
    </w:p>
    <w:p>
      <w:pPr>
        <w:pStyle w:val="TextBody"/>
        <w:bidi w:val="0"/>
        <w:spacing w:before="0" w:after="180"/>
        <w:ind w:left="0" w:right="0" w:firstLine="720"/>
        <w:jc w:val="both"/>
        <w:rPr>
          <w:rFonts w:ascii="Times New Roman;Times;serif" w:hAnsi="Times New Roman;Times;serif"/>
          <w:sz w:val="20"/>
        </w:rPr>
      </w:pPr>
      <w:r>
        <w:rPr>
          <w:rFonts w:ascii="Times New Roman;Times;serif" w:hAnsi="Times New Roman;Times;serif"/>
          <w:sz w:val="20"/>
        </w:rPr>
        <w:t xml:space="preserve">A number of our China mainland subsidiaries, such as Boguan, NetEase Hangzhou and certain other subsidiaries, enjoyed preferential tax rates of 15% for 2021, 2022 and 2023 by being recognized as an HNTE. See Item 5.A. “Operating and Financial Review and Prospects—Operating Results—Income Taxes.” </w:t>
      </w:r>
    </w:p>
    <w:p>
      <w:pPr>
        <w:pStyle w:val="TextBody"/>
        <w:bidi w:val="0"/>
        <w:spacing w:before="0" w:after="180"/>
        <w:ind w:left="0" w:right="0" w:firstLine="720"/>
        <w:jc w:val="both"/>
        <w:rPr>
          <w:rFonts w:ascii="Times New Roman;Times;serif" w:hAnsi="Times New Roman;Times;serif"/>
          <w:sz w:val="20"/>
        </w:rPr>
      </w:pPr>
      <w:r>
        <w:rPr>
          <w:rFonts w:ascii="Times New Roman;Times;serif" w:hAnsi="Times New Roman;Times;serif"/>
          <w:sz w:val="20"/>
        </w:rPr>
        <w:t>Although we will attempt to obtain or maintain similar preferential tax statuses for our subsidiaries in the future, we cannot assure you that we will obtain or maintain any particular preferential tax status, and typically the relevant government agencies do not confirm that we have obtained or maintained a particular tax status until late in a given tax year or the following tax year. The qualifications for HNTE or “Software Enterprise” or “Key Software Enterprise” status are subject to an annual assessment by the relevant government authorities in China, and the PRC policies on preferential tax treatments may change from time to time. Without any preferential tax status, the standard EIT rate of 25.0% will apply. Moreover, if there are further changes to the relevant income tax laws and their implementation, our subsidiaries and the VIEs may need to pay additional taxes, which could have a material adverse effect on our results of operations.</w:t>
      </w:r>
    </w:p>
    <w:p>
      <w:pPr>
        <w:pStyle w:val="TextBody"/>
        <w:bidi w:val="0"/>
        <w:spacing w:before="0" w:after="180"/>
        <w:ind w:left="0" w:right="0" w:hanging="0"/>
        <w:jc w:val="both"/>
        <w:rPr>
          <w:rFonts w:ascii="Times New Roman;Times;serif" w:hAnsi="Times New Roman;Times;serif"/>
          <w:b/>
          <w:sz w:val="20"/>
        </w:rPr>
      </w:pPr>
      <w:r>
        <w:rPr>
          <w:rFonts w:ascii="Times New Roman;Times;serif" w:hAnsi="Times New Roman;Times;serif"/>
          <w:b/>
          <w:sz w:val="20"/>
        </w:rPr>
        <w:t>We may be treated as a resident enterprise for PRC tax purposes under the Enterprise Income Tax Law, which may subject us to PRC income tax for our global income and result in dividends payable by us to our foreign investors, and gains on the sales of our ordinary shares or ADSs, becoming subject to taxes under PRC tax laws, which may materially reduce the value of your investment.</w:t>
      </w:r>
    </w:p>
    <w:p>
      <w:pPr>
        <w:pStyle w:val="TextBody"/>
        <w:bidi w:val="0"/>
        <w:spacing w:before="0" w:after="180"/>
        <w:ind w:left="0" w:right="0" w:firstLine="720"/>
        <w:jc w:val="both"/>
        <w:rPr>
          <w:rFonts w:ascii="Times New Roman;Times;serif" w:hAnsi="Times New Roman;Times;serif"/>
          <w:sz w:val="20"/>
        </w:rPr>
      </w:pPr>
      <w:r>
        <w:rPr>
          <w:rFonts w:ascii="Times New Roman;Times;serif" w:hAnsi="Times New Roman;Times;serif"/>
          <w:sz w:val="20"/>
        </w:rPr>
        <w:t>Under the Enterprise Income Tax Law, enterprises established outside of the PRC whose “de facto management bodies” are located in the PRC are considered “resident enterprises,” and will generally be subject to the uniform 25.0% EIT rate for their global income. Under the implementation rules of the Enterprise Income Tax Law, “de facto management body” is defined as the body that has material and overall management control over the business, personnel, accounts and properties of the enterprise. In April 2009, the PRC tax authority promulgated a circular to clarify the criteria for determining whether the “de facto management bodies” are located within the PRC for enterprises established outside of the PRC that are controlled by entities established within the PRC. However, the relevant laws and regulations remain unclear regarding treatment of an enterprise established outside the PRC that is not controlled by entities established within the PRC.</w:t>
      </w:r>
    </w:p>
    <w:p>
      <w:pPr>
        <w:pStyle w:val="TextBody"/>
        <w:bidi w:val="0"/>
        <w:spacing w:before="0" w:after="180"/>
        <w:ind w:left="0" w:right="0" w:firstLine="720"/>
        <w:jc w:val="both"/>
        <w:rPr>
          <w:rFonts w:ascii="Times New Roman;Times;serif" w:hAnsi="Times New Roman;Times;serif"/>
          <w:sz w:val="20"/>
        </w:rPr>
      </w:pPr>
      <w:r>
        <w:rPr>
          <w:rFonts w:ascii="Times New Roman;Times;serif" w:hAnsi="Times New Roman;Times;serif"/>
          <w:sz w:val="20"/>
        </w:rPr>
        <w:t>Some of our management is currently located in the PRC. Accordingly, we may be considered a “resident enterprise” and may therefore be subject to the EIT rate of 25.0% of our global income, and as a result, the amount of dividends we can pay to our shareholders could be reduced. We cannot confirm whether we will be considered a “resident enterprise” because the implementation rules are unclear at this time.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implementation rules of the Enterprise Income Tax Law, dividends paid to “non-resident enterprises” by “resident enterprises” on profits earned after January 1, 2008 are regarded as income from “sources within the PRC” and therefore subject to a 10.0% withholding income tax, while dividends on profits earned before January 1, 2008 are not subject to the withholding income tax. Similarly, gains realized on the transfer of ordinary shares or ADSs by “non-resident enterprises” are also subject to a 10.0% PRC EIT if such gains are regarded as income derived from sources within the PRC. A lower withholding income tax rate is applied if the “non-resident enterprises” are registered in Hong Kong or other jurisdictions that have a favorable tax treaty arrangement with China. Nevertheless, the Announcement on Issues Concerning “Beneficial Owners” in Tax Treaties, or the STA Circular 9, which was issued on February 3, 2018 by the STA and effective on April 1, 2018, provides that a “non-resident enterprise” which does not engage in substantive business activities may not be deemed to be a beneficial owner that is entitled to the above-mentioned reduced income tax rate of 5%. It is unclear at this stage whether STA Circular 9 applies to dividends from our China mainland subsidiaries paid to us through our Hong Kong subsidiaries. It is possible that under STA Circular 9 our Hong Kong subsidiaries would not be considered to be the beneficial owners of any such dividends, and that, if such dividends are subject to withholding, such withholding rate would be 10% rather than the favorable 5% rate generally applicable under the tax treaty between China mainland and Hong Kong.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Because we may be treated as a “resident enterprise,” any dividends paid to the investors which are considered “non-resident enterprises” and individual shareholders who are non-PRC residents may be subject to withholding income tax, and gains realized on the transfer of our ordinary shares or ADSs by such investors may be subject to PRC income tax if such dividends or gains are deemed to be from PRC sources, which may adversely and materially affect the value of the investment in our shares or ADSs. The tax rate for gains and dividends is 10% for “non-resident enterprise” shareholders and 20% for non-PRC individual shareholders, subject to any reduction or exemption set forth in applicable tax treaties. However, it is unclear whether in practice non-PRC shareholders would be able to obtain the benefits of income tax treaties entered into between PRC and their countries or areas.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We and our shareholders face uncertainties with respect to indirect transfers of equity interests in PRC resident enterprises by a non-PRC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February 3, 2015, the STA issued the Bulletin on Issues of Enterprise Income Tax on Indirect Transfers of Assets by Non-PRC Resident Enterprises, or Bulletin 7, which has been further amended by the Announcement on Issues Concerning the Withholding of Enterprise Income Tax at Source on Non-PRC Resident Enterprises, or Bulletin 37, issued by the STA on October 17, 2017 and amended on June 15, 2018. Pursuant to these bulletins, subject to a safe harbor for purchase and sale of equity securities through a public securities market, an “indirect transfer” of assets, including equity interests in a PRC resident enterprise, by non-PRC resident enterprises may be re-characterized and treated as a direct transfer of PRC taxable assets, if the arrangement does not have a reasonable commercial purpose and was established for the purpose of avoiding payment of PRC enterprise income tax. As a result, gains derived from this indirect transfer may be subject to PRC enterprise income tax.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Fluctuation in Renminbi exchange rates could adversely affect the value of our ADSs and ordinary shares and any cash dividend declared on them.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value of the Renminbi against the U.S. dollar and other currencies may fluctuate and is affected by, among other things, changes in political and economic conditions and the foreign exchange policy adopted by the PRC government. In 2021, the value of the Renminbi appreciated by approximately 2.4% against the U.S. dollar. In 2022 and 2023, the value of the Renminbi depreciated by approximately 7.6% and 2.9% against the U.S. dollar, respectively. It is difficult to predict how market forces or PRC or U.S. government policy, including any interest rate increases by the Federal Reserve, may impact the exchange rate between the Renminbi and the U.S. dollar in the future. There remains significant international pressure on the PRC government to adopt a more flexible currency policy, including from the U.S. government. In August 2019, the U.S. Treasury Department announced that it labelled China a “currency manipulator,” which was officially dropped by the U.S. Treasury Department in January 2020. However, it is uncertain whether the U.S. government may issue any similar announcement in the future. As a result of such announcement, the United States may take further actions to eliminate perceived unfair competitive advantages created by alleged manipulating actions. Any actions taken by the U.S. Treasury Department in this regard as well as China’s possible responses could result in greater fluctuation of the Renminbi against the U.S. dollar.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revenues are primarily denominated in Renminbi, and any significant depreciation of the RMB may affect the value of, and dividends (if any) payable on, our ordinary shares or ADSs in U.S. dollar terms. For example, to the extent that we need to convert U.S. dollars into RMB for our operations, appreciation of the RMB against the U.S. dollar would have an adverse effect on the RMB amount we would receive from the conversion. Conversely, if we decide to convert our RMB into U.S. dollars for the purpose of making payments for dividends on our ordinary shares, repaying our U.S. dollar denominated loans or other payment obligations or for other business purposes, appreciation of the U.S. dollar against the RMB would have a negative effect on the U.S. dollar amount available to us. In addition, appreciation or depreciation in the value of the RMB relative to U.S. dollars would affect our financial results reported in U.S. dollar terms regardless of any underlying change in our business or results of operations. For example, we experienced RMB490.5 million and RMB133.0 million net foreign exchange losses in 2021 and 2023, respectively, and in 2022, we experienced a RMB1.6 billion net foreign exchange gain, which were mainly due to the fluctuation of the exchange rate of the RMB against the U.S. dollar. Theses fluctuations had a significant effect on our profit and our cash dividend.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Restrictions on currency exchange may limit our ability to utilize our revenues effectively.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Most of our revenues and operating expenses are denominated in Renminbi. The Renminbi is currently freely convertible under the “current account” which includes dividends, trade and service-related foreign exchange transactions, but not under the “capital account” which includes foreign direct investment and loans.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existing PRC foreign exchange regulations, payments of current account items, including payment of dividends, interest payments and trade and service-related foreign exchange transactions, can be made in foreign currencies without prior approval of SAFE, by complying with certain procedural requirements. Our China mainland subsidiaries and affiliates may also retain foreign exchange in its current account to satisfy foreign exchange liabilities or to pay dividends.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Since a significant amount of our future revenues will be denominated in Renminbi, the existing and any future restrictions on currency exchange may limit our ability to utilize revenues generated in Renminbi to fund our business activities outside China, if any, or expenditures denominated in foreign currencies. In order to limit the flow of capital out of China, the overall current regulatory environment relating to foreign exchange controls in China suggests that, as a matter of practice, SAFE has been making it increasingly difficult to obtain foreign exchange approvals for offshore dividend payments or capital account settlement.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foreign exchange transactions under the capital account are subject to limitations and require registration with or approval by the relevant PRC governmental authorities. In particular, any transfer of funds from us to any of our China mainland subsidiaries or the VIEs, either as a shareholder loan or as an increase in registered capital, is subject to certain statutory limit requirements and registration or approval of the relevant PRC governmental authorities, including the relevant administration of foreign exchange and/or the relevant examining and approval authority. Our ability to use the U.S. dollar proceeds of the sale of our equity or debt to finance our business activities conducted through our China mainland subsidiaries or the VIEs will depend on our ability to obtain these governmental registrations or approvals. In addition, because of the regulatory issues related to foreign currency loans to, and foreign investment in, domestic PRC enterprises, we may not be able to finance the operations of our China mainland subsidiaries or the VIEs by loans or capital contributions. We cannot assure you that we can obtain these governmental registrations or approvals on a timely basis, if at all. Any future restrictions imposed by SAFE or tightened foreign exchange control by SAFE as a matter of practice may adversely affect our ability to utilize our revenues effectively and pay dividends to our shareholders.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Failure to comply with PRC regulations regarding the registration requirements for employee equity incentive plans may subject our PRC citizen employees or us to fines and other legal or administrative sanctions.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February 15, 2012, SAFE issued the Notices on Issues Concerning the Foreign Exchange Administration for Domestic Individuals Participating in Stock Incentive Plan of Overseas-Listed Company, or the Stock Incentive Plan Rule. Under the Stock Incentive Plan Rule, PRC citizens who are granted share options or other employee equity incentive awards by an overseas publicly-listed company are required, through a qualified PRC agent or a PRC subsidiary of such overseas publicly-listed company, to register with SAFE and complete certain other procedures related to the share options or other employee equity incentive plans. If we or such PRC participants fail to comply with these regulations, we or such PRC participants may be subject to fines and other legal or administrative sanctions.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The Chinese government has strengthened the regulation of investments made by Chinese residents in offshore companies and reinvestments in China made by these offshore companies. Our business may be adversely affected by these restrictions.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SAFE has adopted certain regulations that require registration with, and approval from, Chinese government authorities in connection with direct or indirect control of an offshore entity by Chinese residents. The term “control” under SAFE regulation is broadly defined as the operation rights, beneficiary rights or decision-making rights acquired by PRC residents in the offshore special purpose vehicles or PRC companies by means of acquisition, trust, proxy, voting rights, repurchase, convertible bonds or other arrangements. The SAFE regulations retroactively require registration of investments in non-Chinese companies previously made by Chinese residents. In particular, the SAFE regulations require Chinese residents to register with SAFE information about offshore companies in which they have directly or indirectly invested and to make follow-up registrations in connection with certain material transactions involving such offshore companies, such as mergers or division, capital increases and decreases, in equity transfer or exchange. A newly established enterprise in China which receives foreign investments is also required to provide detailed information about its controlling shareholders and to certify whether it is directly or indirectly controlled by a domestic entity or resident.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event that a Chinese shareholder with a direct or indirect stake in an offshore parent company fails to make the requisite SAFE registration, the Chinese subsidiaries of such offshore parent company may be prohibited from making distributions of profit to the offshore parent and from paying the offshore parent proceeds from any reduction in capital, share transfer or liquidation in respect of the Chinese subsidiaries. Further, failure to comply with the various SAFE registration requirements described above can result in liability under Chinese law for foreign exchange evasion.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These regulations may have a significant impact on our present and future structuring and investment. We have requested our shareholders who to our knowledge are PRC residents to make the necessary applications, registrations and amendments as required under these regulations. We intend to take all necessary measures to ensure that all required applications and registrations will be duly made and all other requirements will be met. We further intend to structure and execute our future offshore acquisitions in a manner consistent with these regulations and any other relevant legislation. However, because it is presently uncertain how the SAFE regulations, and any future legislation concerning offshore or cross-border transactions, will be interpreted and implemented by the relevant government authorities in connection with our future offshore financings or acquisitions, we cannot provide any assurances that we will be able to comply with, qualify under, or obtain any approvals required by the regulations or other legislation. Furthermore, we cannot assure you that any PRC shareholders of our company or any PRC company into which we invest will be able to comply with those requirements. The inability of our company or any PRC shareholder to secure required approvals or registrations in connection with our future offshore financings or acquisitions may subject us to legal sanctions, restrict our ability to pay dividends from our Chinese subsidiaries to our offshore holding company, and restrict our overseas or cross-border investment activities or affect our ownership structure.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OUR ADSs AND SHARES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The PCAOB had historically been unable to inspect our auditor in relation to their audit work performed for our financial statements and the inability of the PCAOB to conduct inspections of our auditor in the past has deprived our investors with the benefits of such inspections.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auditor, the independent registered public accounting firm that issues the audit report included elsewhere in this annual report, as an auditor of companies that are traded publicly in the United States and a firm registered with the PCAOB, is subject to laws in the United States pursuant to which the PCAOB conducts regular inspections to assess its compliance with the applicable professional standards. The auditor is located in China mainland a jurisdiction where the PCAOB was historically unable to conduct inspections and investigations completely before 2022. As a result, we and investors in the ADSs were deprived of the benefits of such PCAOB inspections. The inability of the PCAOB to conduct inspections of auditors in China in the past has made it more difficult to evaluate the effectiveness of our independent registered public accounting firm’s audit procedures or quality control procedures as compared to auditors outside of China that are subject to the PCAOB inspections.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December 15, 2022, the PCAOB issued a report that vacated its December 16, 2021 determination and removed China mainland and Hong Kong from the list of jurisdictions where it is unable to inspect or investigate completely registered public accounting firms. However, if the PCAOB determines in the future that it no longer has full access to inspect and investigate completely accounting firms in China mainland and Hong Kong, and we use an accounting firm headquartered in one of these jurisdictions to issue an audit report on our financial statements filed with the SEC, we and investors in our ADSs would be deprived of the benefits of such PCAOB inspections again, which could cause investors and potential investors in the ADSs to lose confidence in our audit procedures and reported financial information and the quality of our financial statements.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Our ADSs may be prohibited from trading in the United States under the HFCAA in the future if the PCAOB is unable to inspect or fully investigate auditors located in China. The delisting of our ADSs, or the threat of their being delisted, may materially and adversely affect the value of your investment.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Pursuant to the HFCAA, if the SEC determines that we have filed audit reports issued by a registered public accounting firm that has not been subject to inspections by the PCAOB for two consecutive years, the SEC will prohibit our shares or ADSs from being traded on a national securities exchange or in the over-the-counter trading market in the United States.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December 16, 2021, the PCAOB issued a report to notify the SEC of its determination that the PCAOB was unable to inspect or investigate completely registered public accounting firms headquartered in China mainland and Hong Kong and our auditor was subject to that determination. In May 2022, the SEC conclusively listed us as a Commission-Identified Issuer under the HFCAA following the filing of our annual report on Form 20-F for the fiscal year ended December 31, 2021. On December 15, 2022, the PCAOB removed China mainland and Hong Kong from the list of jurisdictions where it is unable to inspect or investigate completely registered public accounting firms. For this reason, we were not identified as a Commission-Identified Issuer under the HFCAA after we filed our annual report on Form 20-F for the fiscal year ended December 31, 2022 and do not expect to be so identified after we file this annual report on Form 20-F for the fiscal year ended December 31,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Each year, the PCAOB will determine whether it can inspect and investigate completely audit firms in China mainland and Hong Kong, among other jurisdictions. If the PCAOB determines in the future that it no longer has full access to inspect and investigate completely accounting firms in China mainland and Hong Kong and we use an accounting firm headquartered in one of these jurisdictions to issue an audit report on our financial statements filed with the SEC, we would be identified as a Commission-Identified Issuer following the filing of the annual report on Form 20-F for the relevant fiscal year. In accordance with the HFCAA, our securities would be prohibited from being traded on a national securities exchange or in the over-the-counter trading market in the United States if we are identified as a Commission-Identified Issuer for two consecutive years in the future. Although our ordinary shares have been listed on the Hong Kong Stock Exchange and the ADSs and ordinary shares are fully fungible, we cannot assure you that an active trading market for our ordinary shares on the Hong Kong Stock Exchange will be sustained or that the ADSs can be converted and traded with sufficient market recognition and liquidity, if our shares and ADSs are prohibited from trading in the United States. A prohibition of being able to trade in the United States would substantially impair your ability to sell or purchase our ADSs when you wish to do so, and the risk and uncertainty associated with delisting would have a negative impact on the price of our ADSs. Also, such a prohibition would significantly affect our ability to raise capital on terms acceptable to us, or at all, which would have a material adverse impact on our business, financial condition, and prospects.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The trading price of our ADSs and shares has been and is likely to continue to be volatile, which could result in substantial losses to holders of our ADSs and/or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trading price of our ADSs has been and is likely to continue to be volatile and could fluctuate widely in response to a variety of factors, many of which are beyond our control. The trading price of our shares, likewise, can be volatile for similar or different reasons. For example, the trading prices of our ADSs ranged from US$75.38 to US$118.90 per ADS in 2023 and the trading prices of our ordinary shares ranged from HK$111.6 to HK$185.7 per ordinary share in 2023. In addition, the performance and fluctuation of the market prices of other companies with business operations located mainly in China, especially internet and technology companies that have listed their securities in Hong Kong and/or the United States, may affect the overall investor attitude towards Chinese public companies. The securities of some of these companies have experienced and may continue to experience significant volatility, resulting from, among other things, underperformance and deteriorating financial results, negative news or perceptions about inadequate corporate governance practices, and fraudulent behaviors of such companies. Consequently, the trading performance of our shares and/or ADSs may be adversely and materially affected, regardless of our actual operation performance.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addition to market and industry factors, the price and trading volume for our shares and/or ADSs may be highly volatile for factors specific to our operation, including the following: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variations in our results of operations that are not in line with market or research analyst expectations or changes in financial estimates by securities research analysts;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studies and reports relating to the quality of our product and service offerings or those of our competitors;</w:t>
            </w:r>
          </w:p>
        </w:tc>
      </w:tr>
    </w:tbl>
    <w:tbl>
      <w:tblPr>
        <w:tblW w:w="8631" w:type="dxa"/>
        <w:jc w:val="left"/>
        <w:tblInd w:w="0" w:type="dxa"/>
        <w:tblLayout w:type="fixed"/>
        <w:tblCellMar>
          <w:top w:w="28" w:type="dxa"/>
          <w:left w:w="28" w:type="dxa"/>
          <w:bottom w:w="28" w:type="dxa"/>
          <w:right w:w="28" w:type="dxa"/>
        </w:tblCellMar>
      </w:tblPr>
      <w:tblGrid>
        <w:gridCol w:w="124"/>
        <w:gridCol w:w="256"/>
        <w:gridCol w:w="82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economic performance or market valuations of other market players in our industries;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announcements made by us or our competitors of new features or functionalities or other product and service offerings, investments, acquisitions, strategic relationships, joint ventures or capital commitments;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press and other reports, whether or not true, about our business, including negative reports published by short sellers, regardless of their veracity or materiality to us;</w:t>
            </w:r>
          </w:p>
        </w:tc>
      </w:tr>
    </w:tbl>
    <w:tbl>
      <w:tblPr>
        <w:tblW w:w="7491" w:type="dxa"/>
        <w:jc w:val="left"/>
        <w:tblInd w:w="0" w:type="dxa"/>
        <w:tblLayout w:type="fixed"/>
        <w:tblCellMar>
          <w:top w:w="28" w:type="dxa"/>
          <w:left w:w="28" w:type="dxa"/>
          <w:bottom w:w="28" w:type="dxa"/>
          <w:right w:w="28" w:type="dxa"/>
        </w:tblCellMar>
      </w:tblPr>
      <w:tblGrid>
        <w:gridCol w:w="124"/>
        <w:gridCol w:w="256"/>
        <w:gridCol w:w="71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litigation and regulatory allegations or proceedings that involve us and our directors; </w:t>
            </w:r>
          </w:p>
        </w:tc>
      </w:tr>
    </w:tbl>
    <w:tbl>
      <w:tblPr>
        <w:tblW w:w="4266" w:type="dxa"/>
        <w:jc w:val="left"/>
        <w:tblInd w:w="0" w:type="dxa"/>
        <w:tblLayout w:type="fixed"/>
        <w:tblCellMar>
          <w:top w:w="28" w:type="dxa"/>
          <w:left w:w="28" w:type="dxa"/>
          <w:bottom w:w="28" w:type="dxa"/>
          <w:right w:w="28" w:type="dxa"/>
        </w:tblCellMar>
      </w:tblPr>
      <w:tblGrid>
        <w:gridCol w:w="124"/>
        <w:gridCol w:w="256"/>
        <w:gridCol w:w="38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to or departures of our management;</w:t>
            </w:r>
          </w:p>
        </w:tc>
      </w:tr>
    </w:tbl>
    <w:tbl>
      <w:tblPr>
        <w:tblW w:w="9861" w:type="dxa"/>
        <w:jc w:val="left"/>
        <w:tblInd w:w="0" w:type="dxa"/>
        <w:tblLayout w:type="fixed"/>
        <w:tblCellMar>
          <w:top w:w="28" w:type="dxa"/>
          <w:left w:w="28" w:type="dxa"/>
          <w:bottom w:w="28" w:type="dxa"/>
          <w:right w:w="28" w:type="dxa"/>
        </w:tblCellMar>
      </w:tblPr>
      <w:tblGrid>
        <w:gridCol w:w="124"/>
        <w:gridCol w:w="256"/>
        <w:gridCol w:w="94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political or market instability or disruptions, and actual or perceived social unrest in the markets where we operate; </w:t>
            </w:r>
          </w:p>
        </w:tc>
      </w:tr>
    </w:tbl>
    <w:tbl>
      <w:tblPr>
        <w:tblW w:w="8226" w:type="dxa"/>
        <w:jc w:val="left"/>
        <w:tblInd w:w="0" w:type="dxa"/>
        <w:tblLayout w:type="fixed"/>
        <w:tblCellMar>
          <w:top w:w="28" w:type="dxa"/>
          <w:left w:w="28" w:type="dxa"/>
          <w:bottom w:w="28" w:type="dxa"/>
          <w:right w:w="28" w:type="dxa"/>
        </w:tblCellMar>
      </w:tblPr>
      <w:tblGrid>
        <w:gridCol w:w="124"/>
        <w:gridCol w:w="256"/>
        <w:gridCol w:w="78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fluctuations of exchange rates among the Renminbi, the Hong Kong dollar and the U.S. dollar;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sales or perceived potential sales or other dispositions of existing or additional ADSs or other equity or equity-linked securities; </w:t>
            </w:r>
          </w:p>
        </w:tc>
      </w:tr>
    </w:tbl>
    <w:tbl>
      <w:tblPr>
        <w:tblW w:w="7296" w:type="dxa"/>
        <w:jc w:val="left"/>
        <w:tblInd w:w="0" w:type="dxa"/>
        <w:tblLayout w:type="fixed"/>
        <w:tblCellMar>
          <w:top w:w="28" w:type="dxa"/>
          <w:left w:w="28" w:type="dxa"/>
          <w:bottom w:w="28" w:type="dxa"/>
          <w:right w:w="28" w:type="dxa"/>
        </w:tblCellMar>
      </w:tblPr>
      <w:tblGrid>
        <w:gridCol w:w="124"/>
        <w:gridCol w:w="256"/>
        <w:gridCol w:w="69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actual or alleged illegal acts of our senior management or other key employees;</w:t>
            </w:r>
          </w:p>
        </w:tc>
      </w:tr>
    </w:tbl>
    <w:tbl>
      <w:tblPr>
        <w:tblW w:w="3381" w:type="dxa"/>
        <w:jc w:val="left"/>
        <w:tblInd w:w="0" w:type="dxa"/>
        <w:tblLayout w:type="fixed"/>
        <w:tblCellMar>
          <w:top w:w="28" w:type="dxa"/>
          <w:left w:w="28" w:type="dxa"/>
          <w:bottom w:w="28" w:type="dxa"/>
          <w:right w:w="28" w:type="dxa"/>
        </w:tblCellMar>
      </w:tblPr>
      <w:tblGrid>
        <w:gridCol w:w="124"/>
        <w:gridCol w:w="256"/>
        <w:gridCol w:w="3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share repurchase program; and </w:t>
            </w:r>
          </w:p>
        </w:tc>
      </w:tr>
    </w:tbl>
    <w:tbl>
      <w:tblPr>
        <w:tblW w:w="8136" w:type="dxa"/>
        <w:jc w:val="left"/>
        <w:tblInd w:w="0" w:type="dxa"/>
        <w:tblLayout w:type="fixed"/>
        <w:tblCellMar>
          <w:top w:w="28" w:type="dxa"/>
          <w:left w:w="28" w:type="dxa"/>
          <w:bottom w:w="28" w:type="dxa"/>
          <w:right w:w="28" w:type="dxa"/>
        </w:tblCellMar>
      </w:tblPr>
      <w:tblGrid>
        <w:gridCol w:w="124"/>
        <w:gridCol w:w="256"/>
        <w:gridCol w:w="77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developments affecting us or our industry, customers, licensors and other suppliers.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particular, our revenues and results of operations have varied significantly in the past and may continue to fluctuate in the future, which may adversely impact the trading price of our ADSs and shares. Historically, usage of our online games has generally increased around the Chinese holidays, in particular winter and summer school holidays. Revenues from certain of our innovative businesses and others, including advertising services, have followed the same general seasonal trend throughout each year, with the first quarter of the year being the weakest quarter due to the Chinese New Year holiday and the traditional close of customers’ annual budgets, and the fourth quarter as the strongest. Our e-commerce business revenues are relatively lower during the Chinese New Year holiday season in the first quarter of each year, while sales in the fourth quarter are higher than each of the preceding three quarters due to a variety of promotional activities conducted by retail and e-commerce businesses in China. Accordingly, you should not rely on quarter-to-quarter comparisons of our results of operations as an indication of our future performance. It is possible that future fluctuations may cause our results of operations to be below the expectations of market analysts and investors. This could cause the trading price of our shares, ADSs or any other securities of ours which may become publicly traded to decline.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the stock market in general experiences price and volume fluctuations that are often unrelated or disproportionate to the operating performance of companies like us. These market and industry fluctuations may significantly affect the trading price of our shares and/or ADSs. In the past, following periods of instability in the market price of a company’s securities, shareholders have often instituted securities class action suits against that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our directors and employees may face additional exposure to claims and lawsuits as a result of their position in other companies. The existence of litigation, claims, investigations and proceedings against our directors and employees, even if they do not involve NetEase, may harm our reputation and adversely affect the trading price of our ADSs.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Substantial future sales or perceived potential sales of our shares, ADSs, or other equity or equity-linked securities in the public market could cause the price of our shares and/or ADSs to decline.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Sales of our shares, ADSs, or other equity or equity-linked securities in the public market, or the perception that these sales could occur, could cause the market price of our shares and/or ADSs to decline significantly. All of our shares represented by ADSs were freely transferable by persons other than our affiliates without restriction or additional registration under the U.S. Securities Act. The shares held by our affiliates are also available for sale, subject to volume and other restrictions as applicable under Rule 144 of the U.S. Securities Act, under trading plans adopted pursuant to Rule 10b5-1 or otherwise.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Divesture in the future of our shares and/or ADSs by shareholders, the announcement of any plan to divest our shares and/or ADS, or hedging activity by third-party financial institutions in connection with similar derivative or other financing arrangements entered into by shareholders, could cause the price of our shares and/or ADSs to decline.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The different characteristics of the capital markets in the United States and Hong Kong may negatively affect the trading prices of our shares and/or ADSs.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subject to Hong Kong and U.S. listing and regulatory requirements concurrently. The Nasdaq and Hong Kong Stock Exchange have different trading hours, trading characteristics (including trading volume and liquidity), trading and listing rules, and investor bases (including different levels of retail and institutional participation). As a result of these differences, the trading prices of our shares and our ADSs may not be the same, even allowing for currency differences. Fluctuations in the price of our ADSs due to circumstances peculiar to the U.S. capital markets could materially and adversely affect the price of the shares, or vice versa. Certain events having significant negative impact specifically on the U.S. capital markets may result in a decline in the trading price of our shares notwithstanding that such event may not impact the trading prices of securities listed in Hong Kong generally or to the same extent, or vice versa. Because of the different characteristics of the U.S. and Hong Kong capital markets, the historical market prices of our ADSs may not be indicative of the trading performance of our shares, and vice versa.</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Exchange between our ADSs and shares may adversely affect the liquidity and/or trading price of each other.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Subject to compliance with U.S. securities law and the terms of the deposit agreement which governs our ADS program, any holder of ADSs may withdraw the underlying shares represented by the ADSs pursuant to the terms of the deposit agreement for trading on the Hong Kong Stock Exchange. Holders of our shares may also deposit shares with the depositary in exchange for the issuance of our ADSs. In the event that a substantial number of ADSs are deposited with the depositary in exchange for shares or vice versa, the liquidity and trading price of our ADSs on Nasdaq and shares on the Hong Kong Stock Exchange may be adversely affected.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The time required for the exchange between ADSs and shares might be longer than expected and investors might not be able to settle or effect any sale of their securities during this period, and the exchange of shares into ADSs involves costs.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is no direct trading or settlement between Nasdaq and the Hong Kong Stock Exchange on which our ADSs and shares are respectively traded. In addition, the time differences between Hong Kong and New York and unforeseen market circumstances or other factors may delay the withdrawal of shares underlying the ADSs or the deposit of shares in exchange for ADSs. Investors will be prevented from settling or effecting the sale of their securities during such periods of delay. In addition, there is no assurance that any exchange of ADSs into shares (and vice versa) will be completed in accordance with the timelines investors may anticipate.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the depositary for the ADSs is entitled to charge holders fees for various services including for the issuance of ADSs upon deposit of shares, cancelation of ADSs, distributions of cash dividends or other cash distributions, distributions of ADSs pursuant to share dividends or other free share distributions, distributions of securities other than ADSs and annual service fees. As a result, shareholders who exchange shares into ADSs, and vice versa, may not achieve the level of economic return the shareholders may anticipate.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As a company incorporated in the Cayman Islands, we are permitted to adopt certain home country practices in relation to corporate governance matters that differ significantly from Nasdaq rules.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Cayman Islands exempted company listed on Nasdaq, we are subject to Nasdaq rules. However, Nasdaq rules permit a foreign private issuer like us to follow the corporate governance practices of its home country. Certain corporate governance practices in the Cayman Islands, which is our home country, may differ significantly from Nasdaq rules applicable to U.S. domestic issuers. For instance, we are not required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have a majority of the board be independent (although all of the members of the audit committee must be independent under the U.S. Exchange Act);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have a compensation committee or a nominating or corporate governance committee consisting entirely of independent directors; </w:t>
            </w:r>
          </w:p>
        </w:tc>
      </w:tr>
    </w:tbl>
    <w:tbl>
      <w:tblPr>
        <w:tblW w:w="6906" w:type="dxa"/>
        <w:jc w:val="left"/>
        <w:tblInd w:w="0" w:type="dxa"/>
        <w:tblLayout w:type="fixed"/>
        <w:tblCellMar>
          <w:top w:w="28" w:type="dxa"/>
          <w:left w:w="28" w:type="dxa"/>
          <w:bottom w:w="28" w:type="dxa"/>
          <w:right w:w="28" w:type="dxa"/>
        </w:tblCellMar>
      </w:tblPr>
      <w:tblGrid>
        <w:gridCol w:w="124"/>
        <w:gridCol w:w="256"/>
        <w:gridCol w:w="6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have regularly scheduled executive sessions for non-management directors; or </w:t>
            </w:r>
          </w:p>
        </w:tc>
      </w:tr>
    </w:tbl>
    <w:tbl>
      <w:tblPr>
        <w:tblW w:w="5886" w:type="dxa"/>
        <w:jc w:val="left"/>
        <w:tblInd w:w="0" w:type="dxa"/>
        <w:tblLayout w:type="fixed"/>
        <w:tblCellMar>
          <w:top w:w="28" w:type="dxa"/>
          <w:left w:w="28" w:type="dxa"/>
          <w:bottom w:w="28" w:type="dxa"/>
          <w:right w:w="28" w:type="dxa"/>
        </w:tblCellMar>
      </w:tblPr>
      <w:tblGrid>
        <w:gridCol w:w="124"/>
        <w:gridCol w:w="256"/>
        <w:gridCol w:w="55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have executive sessions of solely independent directors each year.</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relied on and intend to continue to rely on some of these exemptions. Specifically, although we sought and obtained shareholder’s approval for the amended and restated 2019 Share Plan at the annual general meeting of shareholders held on June 15, 2023, our board of directors had initially adopted our 2009 RSU Plan and 2019 Share Plan without seeking shareholder approval which is generally required under Rule 5635(c) of the Nasdaq Marketplace Rules. There is no specific requirement under Cayman Islands law for shareholder approval to be obtained with respect to the establishment or amendment of equity compensation arrangements. In situations where we choose to follow home country practices, our shareholders may be afforded less protection than they otherwise would under Nasdaq rules applicable to U.S. domestic issuers.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We are a foreign private issuer within the meaning of the rules under the U.S. Exchange Act, and as such we are exempt from certain provisions applicable to U.S. domestic public companies.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Because we qualify as a foreign private issuer under the U.S. Exchange Act, we are exempt from certain provisions of the securities rules and regulations in the United States that are applicable to U.S. domestic issuers,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rules under the U.S. Exchange Act requiring the filing with the SEC of quarterly reports on Form 10-Q or current reports on Form 8-K;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sections of the U.S. Exchange Act regulating the solicitation of proxies, consents, or authorizations in respect of a security registered under the U.S. Exchange Act;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sections of the U.S. Exchange Act requiring insiders to file public reports of their stock ownership and trading activities and liability for insiders who profit from trades made in a short period of time; and </w:t>
            </w:r>
          </w:p>
        </w:tc>
      </w:tr>
    </w:tbl>
    <w:tbl>
      <w:tblPr>
        <w:tblW w:w="8361" w:type="dxa"/>
        <w:jc w:val="left"/>
        <w:tblInd w:w="0" w:type="dxa"/>
        <w:tblLayout w:type="fixed"/>
        <w:tblCellMar>
          <w:top w:w="28" w:type="dxa"/>
          <w:left w:w="28" w:type="dxa"/>
          <w:bottom w:w="28" w:type="dxa"/>
          <w:right w:w="28" w:type="dxa"/>
        </w:tblCellMar>
      </w:tblPr>
      <w:tblGrid>
        <w:gridCol w:w="124"/>
        <w:gridCol w:w="256"/>
        <w:gridCol w:w="79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selective disclosure rules by issuers of material non-public information under Regulation FD.</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required to file an annual report on Form 20-F within four months of the end of each fiscal year. In addition, we intend to continue to publish our results on a quarterly basis as press releases, distributed pursuant to Nasdaq rules.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holders of our ADSs may be afforded less protection or information than they would under the U.S. Exchange Act rules applicable to U.S. domestic companies.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We are a company listed on the Hong Kong Stock Exchange under Chapter 19C and as such are not subject to certain provisions of the Hong Kong Listing Rules.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As a company listed under Chapter 19C of the Hong Kong Listing Rules, we have adopted different practices as to certain matters as compared with many other companies listed on the Hong Kong Stock Exchange. We are not subject to certain provisions of the Hong Kong Listing Rules pursuant to Rule 19C.11, including, among others, rules on notifiable transactions, connected transactions, share option schemes, content of financial statements as well as certain other continuing obligations.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we have been granted a number of waivers and/or exemptions from strict compliance with, among others, the Hong Kong Listing Rules and the SFO. We have also been granted a ruling from the Securities and Futures Commission of Hong Kong, as a result of which the Takeovers Codes do not apply to us. Therefore, we will adopt different practices as to those matters as compared with other companies listed on the Hong Kong Stock Exchange that do not enjoy those exemptions or waivers. However, if 55% or more of the total worldwide trading volume, by dollar value, of our shares and ADSs over our most recent fiscal year takes place on the Hong Kong Stock Exchange, the Hong Kong Stock Exchange will regard us as having a dual primary listing in Hong Kong and we will no longer enjoy certain exemptions or waivers from strict compliance with the requirements under the Hong Kong Listing Rules, the Takeovers Codes and the SFO, which could result in our incurring of incremental compliance costs. On December 19, 2022, we were removed from Nasdaq-100 Index, which may cause a reduction in the holdings of our ADS by some institutional investors on NASDAQ. As a result, there may be an increase in the proportion of our total worldwide trading volume taking place on Hong Kong Stock Exchange, and this in turn will increase our risk of losing our ability to enjoy exemptions or waivers from strict compliance with the requirements under the Hong Kong Listing Rules, the Takeovers Codes and the SFO.</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The voting rights of holders of ADSs are limited by the terms of the Deposit Agreement. </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Holders of ADSs may exercise their voting rights with respect to the underlying shares represented by their ADSs only in accordance with the provisions of the deposit agreement which governs our ADS programs. Upon receipt of voting instructions from them in the manner set forth in the deposit agreement, the depositary will endeavor, in so far as practicable, to vote the underlying shares represented by their ADSs in accordance with these instructions. However, the depositary and its agents may not be able to send voting instructions to holders of ADSs or carry out their voting instructions in a timely manner. We will make all reasonable efforts to cause the depositary to extend voting rights to holders of ADSs in a timely manner, but they may not receive the voting materials in time to ensure that they can instruct the depositary to vote the underlying shares represented by their ADSs. Furthermore, the depositary and its agents will not be responsible for any failure to carry out any instructions to vote, for the manner in which any vote is cast or for the effect of any vote. As a result, holders of ADSs may not be able to exercise their rights to vote and they may lack recourse if the underlying shares represented by their ADSs are not voted as they requested. </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 xml:space="preserve">Except in limited circumstances, the depositary will give us a discretionary proxy to vote our shares underlying the ADSs if holders of these ADSs do not give voting instructions to the depositary, which could adversely affect the interests of holders of shares and/or the ADSs. </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Under the deposit agreement, the depositary will give us a discretionary proxy to vote the shares underlying the ADSs at shareholders’ meetings if holders of these ADSs do not give voting instructions to the depositary, unless:</w:t>
      </w:r>
    </w:p>
    <w:tbl>
      <w:tblPr>
        <w:tblW w:w="7656" w:type="dxa"/>
        <w:jc w:val="left"/>
        <w:tblInd w:w="0" w:type="dxa"/>
        <w:tblLayout w:type="fixed"/>
        <w:tblCellMar>
          <w:top w:w="28" w:type="dxa"/>
          <w:left w:w="28" w:type="dxa"/>
          <w:bottom w:w="28" w:type="dxa"/>
          <w:right w:w="28" w:type="dxa"/>
        </w:tblCellMar>
      </w:tblPr>
      <w:tblGrid>
        <w:gridCol w:w="124"/>
        <w:gridCol w:w="256"/>
        <w:gridCol w:w="72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instructed the depositary that we do not wish a discretionary proxy to be given;</w:t>
            </w:r>
          </w:p>
        </w:tc>
      </w:tr>
    </w:tbl>
    <w:tbl>
      <w:tblPr>
        <w:tblW w:w="9651" w:type="dxa"/>
        <w:jc w:val="left"/>
        <w:tblInd w:w="0" w:type="dxa"/>
        <w:tblLayout w:type="fixed"/>
        <w:tblCellMar>
          <w:top w:w="28" w:type="dxa"/>
          <w:left w:w="28" w:type="dxa"/>
          <w:bottom w:w="28" w:type="dxa"/>
          <w:right w:w="28" w:type="dxa"/>
        </w:tblCellMar>
      </w:tblPr>
      <w:tblGrid>
        <w:gridCol w:w="124"/>
        <w:gridCol w:w="256"/>
        <w:gridCol w:w="9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informed the depositary that there is substantial opposition as to a matter to be voted on at the meeting; </w:t>
            </w:r>
          </w:p>
        </w:tc>
      </w:tr>
    </w:tbl>
    <w:tbl>
      <w:tblPr>
        <w:tblW w:w="8316" w:type="dxa"/>
        <w:jc w:val="left"/>
        <w:tblInd w:w="0" w:type="dxa"/>
        <w:tblLayout w:type="fixed"/>
        <w:tblCellMar>
          <w:top w:w="28" w:type="dxa"/>
          <w:left w:w="28" w:type="dxa"/>
          <w:bottom w:w="28" w:type="dxa"/>
          <w:right w:w="28" w:type="dxa"/>
        </w:tblCellMar>
      </w:tblPr>
      <w:tblGrid>
        <w:gridCol w:w="124"/>
        <w:gridCol w:w="256"/>
        <w:gridCol w:w="79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matter to be voted on at the meeting would have a material adverse impact on shareholders; or </w:t>
            </w:r>
          </w:p>
        </w:tc>
      </w:tr>
    </w:tbl>
    <w:tbl>
      <w:tblPr>
        <w:tblW w:w="4566" w:type="dxa"/>
        <w:jc w:val="left"/>
        <w:tblInd w:w="0" w:type="dxa"/>
        <w:tblLayout w:type="fixed"/>
        <w:tblCellMar>
          <w:top w:w="28" w:type="dxa"/>
          <w:left w:w="28" w:type="dxa"/>
          <w:bottom w:w="28" w:type="dxa"/>
          <w:right w:w="28" w:type="dxa"/>
        </w:tblCellMar>
      </w:tblPr>
      <w:tblGrid>
        <w:gridCol w:w="124"/>
        <w:gridCol w:w="256"/>
        <w:gridCol w:w="41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at the meeting is made on a show of hands.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effect of this discretionary proxy is that, if holders of ADSs fail to give voting instructions to the depositary, they cannot prevent our shares underlying their ADSs from being voted, except under the circumstances described above. This may make it more difficult for shareholders to influence our management. Holders of our shares are not subject to this discretionary proxy.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 xml:space="preserve">Holders of ADSs may be subject to limitations on transfer of their ADSs. </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 </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 xml:space="preserve">Holders of ADSs may not receive distributions on our shares if the depositary decides it is impractical or unlawful to make such distributions. </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depositary has agreed to pay cash to holders of ADSs to the extent that we decide to distribute cash dividends or other cash distributions on our shares or other deposited securities. Under our current dividend policy, the determination to make dividend distributions and the amount of such distributions in any particular quarter will be made at the discretion of our board of directors and will be based upon our operations and earnings, cash flow, financial condition and other relevant factors.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 the extent that there is a distribution in shares, rights or other securities and properties, the depositary has agreed to distribute to holders of ADSs the shares, rights or other distributions it or the custodian receives on our shares or other deposited securities after deducting its fees and expenses. ADS holders will receive these distributions in proportion to the number of shares their ADSs represent. However, the depositary may, at its discretion, decide that it is impractical to make a distribution available to holders of ADSs. For example, it would be unlawful to make a distribution to a holder of ADSs if it consists of securities that require registration under the U.S. Securities Act but that are not properly registered or distributed pursuant to an applicable exemption from registration. We have no obligation to take any other action to permit the distribution of shares, rights or anything else to holders of ADSs. This means that holders of ADSs may not receive the distributions we make on our shares if it is impractical for us to make them available. These restrictions may materially reduce the value of the ADSs.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If we fail to maintain an effective system of internal control over financial reporting, we may lose investor confidence in the reliability of our financial statements which in turn could negatively impact the trading price of our shares and/or ADSs or otherwise harm our reputation.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SEC, as required under Section 404 of the Sarbanes-Oxley Act of 2002, has adopted rules requiring public companies to include a report of management on the effectiveness of such companies’ internal control over financial reporting in their respective annual reports. In addition, an independent registered public accounting firm for a public company may be required to issue an attestation report on the effectiveness of such company’s internal control over financial reporting.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management conducted an evaluation of the effectiveness of our internal control over financial reporting and concluded that our internal control over financial reporting was effective as of December 31, 2023. Our independent registered public accounting firm has also, in its audit report, concluded that our internal control over financial reporting was effective in all material aspects as of December 31, 2023. Please refer to Item 15 “Controls and Procedures.” However, if we fail to maintain effective internal control over financial reporting in the future, our management and our independent registered public accounting firm may not be able to conclude that we have effective internal control over financial reporting in accordance with the Sarbanes-Oxley Act of 2002. Moreover, effective internal control over financial reporting is necessary for us to produce reliable financial reports. As a result, any failure to maintain effective internal control over financial reporting could result in the loss of investor confidence in the reliability of our financial statements, which in turn could negatively impact the trading price of our shares and/or ADSs or otherwise harm our reputation. Furthermore, we may need to incur additional costs and use additional management and other resources in an effort to comply with Section 404 of the Sarbanes-Oxley Act of 2002 and other requirements going forward.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Holders of our ADSs and shares may have difficulty effecting service of process and enforcing judgments obtained against us and our management, the ability of U.S. authorities to bring actions in the PRC may also be limited, and our Articles of Association include certain provisions that may be different from common practices in Hong Kong.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company is incorporated in the Cayman Islands, and the major portion of our assets are located outside the United States and Hong Kong. A substantial portion of our current operations are conducted in the PRC. In addition, some of our directors and executive officers are nationals and residents of countries or areas other than the United States and Hong Kong. A substantial portion of the assets of these persons are located outside the United States and Hong Kong. As a result, it may be difficult or impossible for holders of our shares and ADSs to effect service of process within the United States or Hong Kong upon these persons, or to bring an action against us or against these individuals in the United States or Hong Kong in the event that they believe that their rights have been infringed under the U.S. federal securities laws, Hong Kong laws or otherwise. Even if shareholders are successful in bringing an action of this kind, the laws of the Cayman Islands and China may render them unable to enforce a judgment against our assets or the assets of our directors and officers. There is uncertainty as to whether the courts of the Cayman Islands or the PRC would recognize or enforce judgments. Furthermore, class action lawsuits, which are available in the United States for investors to seek remedies, are generally uncommon in the Cayman Islands and the PRC.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SEC, the U.S. Department of Justice and other U.S. authorities may also have difficulties in bringing and enforcing actions against us or our directors or executive officers in the PRC. The SEC has stated that there are significant legal and other obstacles to obtaining information needed for investigations or litigation in China. China has adopted a revised securities law which provides, among other things, that without governmental approval in China, no entity or individual in China may provide documents and information relating to securities business activities to overseas regulators which could present significant legal and other obstacles to obtaining information needed for investigations and litigation conducted outside of China.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our Articles of Association are specific to us and include certain provisions that may be different from common practices in Hong Kong, such as the absence of requirements that the appointment, removal and remuneration of auditors must be approved by a majority of our shareholders.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result of the foregoing, our public shareholders may have more difficulty in protecting their interests through actions against us, our management, our directors or our major shareholders than they would as public shareholders of a company incorporated in the United States or Hong Kong.</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It may be difficult for overseas regulators to conduct investigations or collect evidence within China.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Shareholder claims or regulatory investigation that are common in the United States generally are difficult to pursue as a matter of law or practicality in China. For example, in China, there are significant legal and other obstacles to providing information needed for regulatory investigations or litigation initiated outside China. 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Unities States may not be efficient in the absence of mutual and practical cooperation mechanisms. Furthermore, according to Article 177 of the PRC Securities Law, or Article 177, which became effective in March 2020, no overseas securities regulator is allowed to directly conduct investigations or evidence collection activities within the territory of the PRC. While detailed interpretations of or implementation rules under Article 177 have yet to be promulgated, the inability for an overseas securities regulator to directly conduct investigations or evidence collection activities within China may further increase difficulties you may face in protecting your interests. In addition, on February 24, 2023, CSRC and other three PRC regulatory authorities jointly issued the Confidentiality and Archives Administration Provisions, which took effect on March 31, 2023, according to which, overseas securities regulators and competent overseas authorities may request to inspect, investigate or collect evidence from a domestic company concerning its overseas offering and listing or from the domestic securities companies and securities service providers that undertake relevant businesses for such domestic companies, such inspection, investigation and evidence collection shall be conducted under a cross-border regulatory cooperation mechanism, and the CSRC or other competent Chinese authorities will provide necessary assistance pursuant to bilateral and multilateral cooperation mechanisms. The domestic company, securities companies and securities service providers shall first obtain approval from the CSRC or other competent Chinese authorities before cooperating with the inspection and investigation by the overseas securities regulator or competent overseas authority, or providing documents and materials requested in such inspection and investigation. As the Confidentiality and Archives Administration Provisions are relatively new, there are substantial uncertainties with respect to their interpretation and implementation.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If we are classified as a passive foreign investment company, or a PFIC, for United States federal income tax purposes, such classification could result in adverse U.S. federal income tax consequences to U.S. investors.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If we are classified as a PFIC for U.S. federal income tax purposes, such characterization could result in adverse U.S. federal income tax consequences to you if you are a U.S. investor. For example, U.S. investors who owned our ADSs or ordinary shares during any taxable year in which we were a PFIC generally are subject to increased U.S. tax liabilities and reporting requirements for that taxable year and all succeeding years, regardless of whether we actually continue to be a PFIC, although a shareholder election to terminate such deemed PFIC status may be available in certain circumstances.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determination of whether or not we are a PFIC is made on an annual basis and depends on the composition of our income and assets, including goodwill, from time to time. We would be classified as a PFIC for U.S. tax purposes for a taxable year if either (a) 75% or more of our gross income for such taxable year is “passive income” (as defined in the relevant provisions of the U.S. Internal Revenue Code of 1986, as amended, or the Code), or (b) 50% or more of the value of our assets (generally determined on the basis of a quarterly average) during such taxable year is attributable to assets that either produce passive income or are held for the production of passive income. For such purposes, if we directly or indirectly own 25% or more of the shares of another corporation, we generally will be treated as if we (a) held directly a proportionate share of the other corporation’s assets, and (b) received directly a proportionate share of the other corporation’s income.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Based on the value of our assets, including goodwill, and the composition of our income and assets, we do not believe that we were a PFIC for the taxable year ended December 31, 2023. We have not obtained any opinion of counsel or any rulings from the U.S. Internal Revenue Service, or the IRS, regarding our status as a PFIC. The PFIC determination is highly fact-intensive and made at the end of each taxable year. We hold and will continue to hold a substantial amount of cash and cash equivalents. In addition, the value of our assets, including goodwill, for purposes of the asset test will generally be determined by reference to the market price of the ADSs and ordinary shares, which may fluctuate significantly. Moreover, the application of the PFIC rules is subject to uncertainty in several respects. For these reasons, there can be no assurance that we were not a PFIC in any prior taxable years and will not be a PFIC in the current taxable year or any future taxable year or that the IRS will not challenge our determination concerning our PFIC status.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are or become a PFIC, and, if so, if one or more of our subsidiaries or the VIEs are treated as PFICs, U.S. investors would be subject to adverse U.S. federal income tax consequences, such as increased tax liability on capital gains and actual or deemed dividends, interest charges on certain taxes treated as deferred, and additional reporting requirements under U.S. federal income tax laws and regulations. Whether U.S. investors make (or are eligible to make) a timely mark-to-market election may affect the U.S. federal income tax consequences to U.S. investors with respect to the acquisition, ownership and disposition of our ADSs or ordinary shares and any distributions such U.S. investors may receive. We do not expect to provide the information regarding our income that would be necessary in order for a U.S. investor to make a qualified electing fund, or the QEF, election if we are classified as a PFIC. Investors should consult their tax advisors regarding all aspects of the application of the PFIC rules to our ADSs or ordinary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are a PFIC in any year with respect to a U.S. investor, the U.S. investor will generally be required to file an annual information return on IRS Form 8621 (or other then applicable IRS Form or statement) regarding distributions received on our ADSs or ordinary shares, and certain U.S. investors will be required to file an annual information return (also on IRS Form 8621 or other then applicable IRS Form or statement) relating to their ownership of our ADSs or ordinary shares. U.S. investors should consult their tax advisors regarding the potential application of the PFIC regime and related reporting requirements.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further discussion of the adverse U.S. federal income tax consequences in the event we are classified as a PFIC, see Item 10.E. “Additional Information—Taxation—Material United States Federal Income Taxation Considerations.”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If a United States person is treated as owning at least 10% of our ADSs or ordinary shares, such holder may be subject to adverse U.S. federal income tax consequences.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a U.S. Holder (as defined in Item 10.E. “Additional Information—Taxation—Material United States Federal Income Taxation Considerations”) is treated as owning (directly, indirectly or constructively) at least 10% of the value or voting power of our ADSs or ordinary shares, such U.S. Holder will be treated as a “United States shareholder” with respect to each “controlled foreign corporation” in our group. Because our group includes one or more U.S. subsidiaries, certain of our non-U.S. subsidiaries will be treated as “controlled foreign corporations” (regardless of whether we are treated as a “controlled foreign corporation”). A “United States shareholder” of a “controlled foreign corporation” may be required to report annually and include in its U.S. taxable income its pro rata share of “Subpart F income,” “global intangible low-taxed income” and investments in U.S. property by “controlled foreign corporations,” regardless of whether we make any distributions. Failure to comply with these reporting obligations may subject a “United States shareholder” to significant monetary penalties and may prevent the statute of limitations from starting with respect to such shareholder’s U.S. federal income tax return for the year for which reporting was due. Further, an individual that is a “United States shareholder” with respect to a “controlled foreign corporation” generally would not be allowed certain tax deductions or foreign tax credits that would be allowed to a “United States shareholder” that is a U.S. corporation. We cannot provide any assurances that we will assist investors in determining whether any of our non-U.S. subsidiaries are treated as a “controlled foreign corporation” or whether such investor is treated as a “United States shareholder” with respect to any of such “controlled foreign corporations.” Further, we cannot provide any assurances that we will furnish to any “United States shareholders” information that may be necessary to comply with the aforementioned reporting and tax payment obligations. U.S. Holders should consult their tax advisors regarding the potential application of these rules to their investment in our ADSs or ordinary shares.</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There is uncertainty as to whether Hong Kong stamp duty will apply to deposits of our ordinary shares into or withdrawal of our ordinary shares from the ADS facility or trading of our ADSs.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In connection with our initial public offering of shares in Hong Kong, we established a branch register of members in Hong Kong, or the Hong Kong share register. Our shares that are traded on the Hong Kong Stock Exchange, as well as shares represented by ADSs, are registered on the Hong Kong share register, and the trading of these shares on the Hong Kong Stock Exchange are subject to the Hong Kong stamp duty. To facilitate conversion between ADSs and shares and their respective trading on Nasdaq and the Hong Kong Stock Exchange, we moved a portion of our issued shares, including all of the ordinary shares deposited in our ADS program, from our Cayman share register to our Hong Kong share register.</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Under the Hong Kong Stamp Duty Ordinance, any person who effects any sale or purchase of Hong Kong stock, defined as stock the transfer of which is required to be registered in Hong Kong, is required to pay Hong Kong stamp duty. The stamp duty is currently set at a total rate of 0.2% of the greater of the consideration for, or the value of, shares transferred, with 0.1% payable by each of the buyer and the seller.</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To the best of our knowledge, Hong Kong stamp duty has not been levied in practice on the trading of ADSs representing shares of companies that are listed in both the United States and Hong Kong and that have maintained all or a portion of their ordinary shares, including ordinary shares underlying ADSs, in their Hong Kong share registers, or on the deposit of shares in or withdrawal of shares from ADS facilities of that kind. However, it is unclear whether, as a matter of Hong Kong law, the trading of ADSs representing shares of these dual-listed companies or the deposit of shares in or withdrawal of shares from those ADS facilities constitutes a sale or purchase of the underlying Hong Kong-registered ordinary shares that is subject to Hong Kong stamp duty. We advise investors to consult their own tax advisors on this matter. If Hong Kong stamp duty is determined by the competent authority to apply to the trading of those ADSs or deposits of shares in or withdrawal of shares from those ADS facilities, the trading price and the value of your investment in our ADSs and/or shares may be affected.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80"/>
        <w:ind w:left="0" w:right="0" w:hanging="0"/>
        <w:jc w:val="both"/>
        <w:rPr>
          <w:rFonts w:ascii="Times New Roman;Times;serif" w:hAnsi="Times New Roman;Times;serif"/>
          <w:b/>
          <w:sz w:val="20"/>
        </w:rPr>
      </w:pPr>
      <w:bookmarkStart w:id="70" w:name="Item4InformationontheCompany_628867"/>
      <w:bookmarkStart w:id="71" w:name="_77afb9f1_83d0_403c_86e9_b2b49cf3ac4d"/>
      <w:bookmarkEnd w:id="70"/>
      <w:bookmarkEnd w:id="71"/>
      <w:r>
        <w:rPr>
          <w:rFonts w:ascii="Times New Roman;Times;serif" w:hAnsi="Times New Roman;Times;serif"/>
          <w:b/>
          <w:sz w:val="20"/>
        </w:rPr>
        <w:t>Item 4.   Information on the Company</w:t>
      </w:r>
    </w:p>
    <w:p>
      <w:pPr>
        <w:pStyle w:val="TextBody"/>
        <w:bidi w:val="0"/>
        <w:spacing w:before="0" w:after="180"/>
        <w:ind w:left="0" w:right="0" w:hanging="0"/>
        <w:jc w:val="both"/>
        <w:rPr>
          <w:rFonts w:ascii="Times New Roman;Times;serif" w:hAnsi="Times New Roman;Times;serif"/>
          <w:b/>
          <w:sz w:val="20"/>
        </w:rPr>
      </w:pPr>
      <w:r>
        <w:rPr>
          <w:rFonts w:ascii="Times New Roman;Times;serif" w:hAnsi="Times New Roman;Times;serif"/>
          <w:b/>
          <w:sz w:val="20"/>
        </w:rPr>
        <w:t xml:space="preserve">A.           History and Development of the Company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business was founded in June 1997 and our company was incorporated on July 6, 1999 under the Cayman Companies Act (As Revised). Our principal executive offices are located at NetEase Building, No. 599 Wangshang Road, Binjiang District, Hangzhou, People’s Republic of China 310052. Our telephone number is (86-571) 8985-3378.</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key business milestones are summarized below:</w:t>
      </w:r>
    </w:p>
    <w:tbl>
      <w:tblPr>
        <w:tblW w:w="10205" w:type="dxa"/>
        <w:jc w:val="left"/>
        <w:tblInd w:w="0" w:type="dxa"/>
        <w:tblLayout w:type="fixed"/>
        <w:tblCellMar>
          <w:top w:w="0" w:type="dxa"/>
          <w:left w:w="0" w:type="dxa"/>
          <w:bottom w:w="0" w:type="dxa"/>
          <w:right w:w="0" w:type="dxa"/>
        </w:tblCellMar>
      </w:tblPr>
      <w:tblGrid>
        <w:gridCol w:w="9634"/>
        <w:gridCol w:w="571"/>
      </w:tblGrid>
      <w:tr>
        <w:trPr/>
        <w:tc>
          <w:tcPr>
            <w:tcW w:w="96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117590" cy="175260"/>
                      <wp:effectExtent l="0" t="0" r="0" b="0"/>
                      <wp:wrapNone/>
                      <wp:docPr id="3" name="Frame3"/>
                      <a:graphic xmlns:a="http://schemas.openxmlformats.org/drawingml/2006/main">
                        <a:graphicData uri="http://schemas.microsoft.com/office/word/2010/wordprocessingShape">
                          <wps:wsp>
                            <wps:cNvSpPr txBox="1"/>
                            <wps:spPr>
                              <a:xfrm>
                                <a:off x="0" y="0"/>
                                <a:ext cx="611759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362585" cy="175260"/>
                      <wp:effectExtent l="0" t="0" r="0" b="0"/>
                      <wp:wrapNone/>
                      <wp:docPr id="4" name="Frame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9634" w:type="dxa"/>
            <w:tcBorders/>
            <w:vAlign w:val="center"/>
          </w:tcPr>
          <w:p>
            <w:pPr>
              <w:pStyle w:val="TableContents"/>
              <w:bidi w:val="0"/>
              <w:spacing w:before="0" w:after="0"/>
              <w:jc w:val="both"/>
              <w:rPr/>
            </w:pPr>
            <w:r>
              <w:rPr/>
              <w:t>●</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Founding of our business</w:t>
            </w:r>
          </w:p>
        </w:tc>
        <w:tc>
          <w:tcPr>
            <w:tcW w:w="57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1997</w:t>
            </w:r>
          </w:p>
        </w:tc>
      </w:tr>
      <w:tr>
        <w:trPr/>
        <w:tc>
          <w:tcPr>
            <w:tcW w:w="9634"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both"/>
              <w:rPr/>
            </w:pPr>
            <w:r>
              <w:rPr/>
              <w:t>​</w:t>
            </w:r>
          </w:p>
        </w:tc>
      </w:tr>
      <w:tr>
        <w:trPr/>
        <w:tc>
          <w:tcPr>
            <w:tcW w:w="9634" w:type="dxa"/>
            <w:tcBorders/>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Launch of free web-based e-mail services, and business model shifted from software development to internet technology with the launch of our NetEase website (“</w:t>
            </w:r>
            <w:r>
              <w:rPr>
                <w:rFonts w:ascii="Times New Roman;Times;serif" w:hAnsi="Times New Roman;Times;serif"/>
                <w:b/>
                <w:i w:val="false"/>
                <w:caps w:val="false"/>
                <w:smallCaps w:val="false"/>
                <w:sz w:val="20"/>
              </w:rPr>
              <w:t>www.163.com</w:t>
            </w:r>
            <w:r>
              <w:rPr>
                <w:rFonts w:ascii="Times New Roman;Times;serif" w:hAnsi="Times New Roman;Times;serif"/>
                <w:caps w:val="false"/>
                <w:smallCaps w:val="false"/>
                <w:sz w:val="20"/>
              </w:rPr>
              <w:t>”</w:t>
            </w:r>
            <w:r>
              <w:rPr>
                <w:rFonts w:ascii="Times New Roman;Times;serif" w:hAnsi="Times New Roman;Times;serif"/>
                <w:b w:val="false"/>
                <w:i w:val="false"/>
                <w:caps w:val="false"/>
                <w:smallCaps w:val="false"/>
                <w:sz w:val="20"/>
              </w:rPr>
              <w:t>)</w:t>
            </w:r>
          </w:p>
        </w:tc>
        <w:tc>
          <w:tcPr>
            <w:tcW w:w="57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1998</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both"/>
              <w:rPr/>
            </w:pPr>
            <w:r>
              <w:rPr/>
              <w:t>​</w:t>
            </w:r>
          </w:p>
        </w:tc>
      </w:tr>
      <w:tr>
        <w:trPr/>
        <w:tc>
          <w:tcPr>
            <w:tcW w:w="9634" w:type="dxa"/>
            <w:tcBorders/>
            <w:vAlign w:val="center"/>
          </w:tcPr>
          <w:p>
            <w:pPr>
              <w:pStyle w:val="TableContents"/>
              <w:bidi w:val="0"/>
              <w:spacing w:before="0" w:after="0"/>
              <w:jc w:val="both"/>
              <w:rPr/>
            </w:pPr>
            <w:r>
              <w:rPr/>
              <w:t>●</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Launches of advertisement services, online platforms, online shopping malls, and other internet services in China</w:t>
            </w:r>
          </w:p>
        </w:tc>
        <w:tc>
          <w:tcPr>
            <w:tcW w:w="57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1999</w:t>
            </w:r>
          </w:p>
        </w:tc>
      </w:tr>
      <w:tr>
        <w:trPr/>
        <w:tc>
          <w:tcPr>
            <w:tcW w:w="9634"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both"/>
              <w:rPr/>
            </w:pPr>
            <w:r>
              <w:rPr/>
              <w:t>​</w:t>
            </w:r>
          </w:p>
        </w:tc>
      </w:tr>
      <w:tr>
        <w:trPr/>
        <w:tc>
          <w:tcPr>
            <w:tcW w:w="9634" w:type="dxa"/>
            <w:tcBorders/>
            <w:vAlign w:val="center"/>
          </w:tcPr>
          <w:p>
            <w:pPr>
              <w:pStyle w:val="TableContents"/>
              <w:bidi w:val="0"/>
              <w:spacing w:before="0" w:after="0"/>
              <w:jc w:val="both"/>
              <w:rPr/>
            </w:pPr>
            <w:r>
              <w:rPr/>
              <w:t>●</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Listing on Nasdaq on June 30</w:t>
            </w:r>
          </w:p>
        </w:tc>
        <w:tc>
          <w:tcPr>
            <w:tcW w:w="57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2000</w:t>
            </w:r>
          </w:p>
        </w:tc>
      </w:tr>
      <w:tr>
        <w:trPr/>
        <w:tc>
          <w:tcPr>
            <w:tcW w:w="9634"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both"/>
              <w:rPr/>
            </w:pPr>
            <w:r>
              <w:rPr/>
              <w:t>​</w:t>
            </w:r>
          </w:p>
        </w:tc>
      </w:tr>
      <w:tr>
        <w:trPr/>
        <w:tc>
          <w:tcPr>
            <w:tcW w:w="9634" w:type="dxa"/>
            <w:tcBorders/>
            <w:vAlign w:val="center"/>
          </w:tcPr>
          <w:p>
            <w:pPr>
              <w:pStyle w:val="TableContents"/>
              <w:bidi w:val="0"/>
              <w:spacing w:before="0" w:after="0"/>
              <w:jc w:val="both"/>
              <w:rPr/>
            </w:pPr>
            <w:r>
              <w:rPr/>
              <w:t>●</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Introduction of fee-based premium services and online entertainment services, including online games, wireless value-added services and other subscription-type services</w:t>
            </w:r>
          </w:p>
        </w:tc>
        <w:tc>
          <w:tcPr>
            <w:tcW w:w="57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2001</w:t>
            </w:r>
          </w:p>
        </w:tc>
      </w:tr>
      <w:tr>
        <w:trPr/>
        <w:tc>
          <w:tcPr>
            <w:tcW w:w="9634"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both"/>
              <w:rPr/>
            </w:pPr>
            <w:r>
              <w:rPr/>
              <w:t>​</w:t>
            </w:r>
          </w:p>
        </w:tc>
      </w:tr>
      <w:tr>
        <w:trPr/>
        <w:tc>
          <w:tcPr>
            <w:tcW w:w="9634" w:type="dxa"/>
            <w:tcBorders/>
            <w:vAlign w:val="center"/>
          </w:tcPr>
          <w:p>
            <w:pPr>
              <w:pStyle w:val="TableContents"/>
              <w:bidi w:val="0"/>
              <w:spacing w:before="0" w:after="0"/>
              <w:jc w:val="both"/>
              <w:rPr/>
            </w:pPr>
            <w:r>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val="false"/>
                <w:i w:val="false"/>
                <w:caps w:val="false"/>
                <w:smallCaps w:val="false"/>
                <w:sz w:val="20"/>
              </w:rPr>
              <w:t xml:space="preserve">Launch of our first PC-client MMORPG game, </w:t>
            </w:r>
            <w:r>
              <w:rPr>
                <w:rFonts w:ascii="Times New Roman;Times;serif" w:hAnsi="Times New Roman;Times;serif"/>
                <w:b w:val="false"/>
                <w:i/>
                <w:sz w:val="20"/>
              </w:rPr>
              <w:t>Westward Journey Online</w:t>
            </w:r>
            <w:r>
              <w:rPr>
                <w:rFonts w:ascii="Times New Roman;Times;serif" w:hAnsi="Times New Roman;Times;serif"/>
                <w:b w:val="false"/>
                <w:i w:val="false"/>
                <w:caps w:val="false"/>
                <w:smallCaps w:val="false"/>
                <w:sz w:val="20"/>
              </w:rPr>
              <w:t>, our widely popular in-house developed game series</w:t>
            </w:r>
          </w:p>
        </w:tc>
        <w:tc>
          <w:tcPr>
            <w:tcW w:w="57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2001</w:t>
            </w:r>
          </w:p>
        </w:tc>
      </w:tr>
      <w:tr>
        <w:trPr/>
        <w:tc>
          <w:tcPr>
            <w:tcW w:w="9634"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both"/>
              <w:rPr/>
            </w:pPr>
            <w:r>
              <w:rPr/>
              <w:t>​</w:t>
            </w:r>
          </w:p>
        </w:tc>
      </w:tr>
      <w:tr>
        <w:trPr/>
        <w:tc>
          <w:tcPr>
            <w:tcW w:w="9634" w:type="dxa"/>
            <w:tcBorders/>
            <w:vAlign w:val="center"/>
          </w:tcPr>
          <w:p>
            <w:pPr>
              <w:pStyle w:val="TableContents"/>
              <w:bidi w:val="0"/>
              <w:spacing w:before="0" w:after="0"/>
              <w:jc w:val="both"/>
              <w:rPr/>
            </w:pPr>
            <w:r>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val="false"/>
                <w:i w:val="false"/>
                <w:caps w:val="false"/>
                <w:smallCaps w:val="false"/>
                <w:sz w:val="20"/>
              </w:rPr>
              <w:t xml:space="preserve">Launch of our </w:t>
            </w:r>
            <w:r>
              <w:rPr>
                <w:rFonts w:ascii="Times New Roman;Times;serif" w:hAnsi="Times New Roman;Times;serif"/>
                <w:b w:val="false"/>
                <w:i/>
                <w:sz w:val="20"/>
              </w:rPr>
              <w:t>Fantasy Westward Journey</w:t>
            </w:r>
            <w:r>
              <w:rPr>
                <w:rFonts w:ascii="Times New Roman;Times;serif" w:hAnsi="Times New Roman;Times;serif"/>
                <w:caps w:val="false"/>
                <w:smallCaps w:val="false"/>
                <w:sz w:val="20"/>
              </w:rPr>
              <w:t xml:space="preserve"> </w:t>
            </w:r>
            <w:r>
              <w:rPr>
                <w:rFonts w:ascii="Times New Roman;Times;serif" w:hAnsi="Times New Roman;Times;serif"/>
                <w:b w:val="false"/>
                <w:i w:val="false"/>
                <w:caps w:val="false"/>
                <w:smallCaps w:val="false"/>
                <w:sz w:val="20"/>
              </w:rPr>
              <w:t>series, our second widely popular original game series</w:t>
            </w:r>
          </w:p>
        </w:tc>
        <w:tc>
          <w:tcPr>
            <w:tcW w:w="57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2004</w:t>
            </w:r>
          </w:p>
        </w:tc>
      </w:tr>
      <w:tr>
        <w:trPr/>
        <w:tc>
          <w:tcPr>
            <w:tcW w:w="9634"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both"/>
              <w:rPr/>
            </w:pPr>
            <w:r>
              <w:rPr/>
              <w:t>​</w:t>
            </w:r>
          </w:p>
        </w:tc>
      </w:tr>
      <w:tr>
        <w:trPr/>
        <w:tc>
          <w:tcPr>
            <w:tcW w:w="9634" w:type="dxa"/>
            <w:tcBorders/>
            <w:vAlign w:val="center"/>
          </w:tcPr>
          <w:p>
            <w:pPr>
              <w:pStyle w:val="TableContents"/>
              <w:bidi w:val="0"/>
              <w:spacing w:before="0" w:after="0"/>
              <w:jc w:val="both"/>
              <w:rPr/>
            </w:pPr>
            <w:r>
              <w:rPr/>
              <w:t>●</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Founding of Youdao, an intelligent learning company that now offers learning content, applications and solutions, as well as online marketing services</w:t>
            </w:r>
          </w:p>
        </w:tc>
        <w:tc>
          <w:tcPr>
            <w:tcW w:w="57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2006</w:t>
            </w:r>
          </w:p>
        </w:tc>
      </w:tr>
      <w:tr>
        <w:trPr/>
        <w:tc>
          <w:tcPr>
            <w:tcW w:w="9634"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both"/>
              <w:rPr/>
            </w:pPr>
            <w:r>
              <w:rPr/>
              <w:t>​</w:t>
            </w:r>
          </w:p>
        </w:tc>
      </w:tr>
      <w:tr>
        <w:trPr/>
        <w:tc>
          <w:tcPr>
            <w:tcW w:w="9634" w:type="dxa"/>
            <w:tcBorders/>
            <w:vAlign w:val="center"/>
          </w:tcPr>
          <w:p>
            <w:pPr>
              <w:pStyle w:val="TableContents"/>
              <w:bidi w:val="0"/>
              <w:spacing w:before="0" w:after="0"/>
              <w:jc w:val="both"/>
              <w:rPr/>
            </w:pPr>
            <w:r>
              <w:rPr/>
              <w:t>●</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Launch of NetEase Cloud Music, our music streaming platform</w:t>
            </w:r>
          </w:p>
        </w:tc>
        <w:tc>
          <w:tcPr>
            <w:tcW w:w="57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2013</w:t>
            </w:r>
          </w:p>
        </w:tc>
      </w:tr>
      <w:tr>
        <w:trPr/>
        <w:tc>
          <w:tcPr>
            <w:tcW w:w="9634"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both"/>
              <w:rPr/>
            </w:pPr>
            <w:r>
              <w:rPr/>
              <w:t>​</w:t>
            </w:r>
          </w:p>
        </w:tc>
      </w:tr>
      <w:tr>
        <w:trPr/>
        <w:tc>
          <w:tcPr>
            <w:tcW w:w="9634" w:type="dxa"/>
            <w:tcBorders/>
            <w:vAlign w:val="center"/>
          </w:tcPr>
          <w:p>
            <w:pPr>
              <w:pStyle w:val="TableContents"/>
              <w:bidi w:val="0"/>
              <w:spacing w:before="0" w:after="0"/>
              <w:jc w:val="both"/>
              <w:rPr/>
            </w:pPr>
            <w:r>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val="false"/>
                <w:i w:val="false"/>
                <w:caps w:val="false"/>
                <w:smallCaps w:val="false"/>
                <w:sz w:val="20"/>
              </w:rPr>
              <w:t xml:space="preserve">Launch of our first mobile game, the mobile version of </w:t>
            </w:r>
            <w:r>
              <w:rPr>
                <w:rFonts w:ascii="Times New Roman;Times;serif" w:hAnsi="Times New Roman;Times;serif"/>
                <w:b w:val="false"/>
                <w:i/>
                <w:sz w:val="20"/>
              </w:rPr>
              <w:t>Fantasy Westward Journey II</w:t>
            </w:r>
          </w:p>
        </w:tc>
        <w:tc>
          <w:tcPr>
            <w:tcW w:w="57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2013</w:t>
            </w:r>
          </w:p>
        </w:tc>
      </w:tr>
      <w:tr>
        <w:trPr/>
        <w:tc>
          <w:tcPr>
            <w:tcW w:w="9634"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both"/>
              <w:rPr/>
            </w:pPr>
            <w:r>
              <w:rPr/>
              <w:t>​</w:t>
            </w:r>
          </w:p>
        </w:tc>
      </w:tr>
      <w:tr>
        <w:trPr/>
        <w:tc>
          <w:tcPr>
            <w:tcW w:w="9634" w:type="dxa"/>
            <w:tcBorders/>
            <w:vAlign w:val="center"/>
          </w:tcPr>
          <w:p>
            <w:pPr>
              <w:pStyle w:val="TableContents"/>
              <w:bidi w:val="0"/>
              <w:spacing w:before="0" w:after="0"/>
              <w:jc w:val="both"/>
              <w:rPr/>
            </w:pPr>
            <w:r>
              <w:rPr/>
              <w:t>●</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Launch of Yanxuan, our e-commerce business</w:t>
            </w:r>
          </w:p>
        </w:tc>
        <w:tc>
          <w:tcPr>
            <w:tcW w:w="57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2016</w:t>
            </w:r>
          </w:p>
        </w:tc>
      </w:tr>
      <w:tr>
        <w:trPr/>
        <w:tc>
          <w:tcPr>
            <w:tcW w:w="9634"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both"/>
              <w:rPr/>
            </w:pPr>
            <w:r>
              <w:rPr/>
              <w:t>​</w:t>
            </w:r>
          </w:p>
        </w:tc>
      </w:tr>
      <w:tr>
        <w:trPr/>
        <w:tc>
          <w:tcPr>
            <w:tcW w:w="9634" w:type="dxa"/>
            <w:tcBorders/>
            <w:vAlign w:val="center"/>
          </w:tcPr>
          <w:p>
            <w:pPr>
              <w:pStyle w:val="TableContents"/>
              <w:bidi w:val="0"/>
              <w:spacing w:before="0" w:after="0"/>
              <w:jc w:val="both"/>
              <w:rPr/>
            </w:pPr>
            <w:r>
              <w:rPr/>
              <w:t>●</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Listing of Youdao on the New York Stock Exchange on October 26</w:t>
            </w:r>
          </w:p>
        </w:tc>
        <w:tc>
          <w:tcPr>
            <w:tcW w:w="57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2019</w:t>
            </w:r>
          </w:p>
        </w:tc>
      </w:tr>
      <w:tr>
        <w:trPr/>
        <w:tc>
          <w:tcPr>
            <w:tcW w:w="9634"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both"/>
              <w:rPr/>
            </w:pPr>
            <w:r>
              <w:rPr/>
              <w:t>​</w:t>
            </w:r>
          </w:p>
        </w:tc>
      </w:tr>
      <w:tr>
        <w:trPr/>
        <w:tc>
          <w:tcPr>
            <w:tcW w:w="9634" w:type="dxa"/>
            <w:tcBorders/>
            <w:vAlign w:val="center"/>
          </w:tcPr>
          <w:p>
            <w:pPr>
              <w:pStyle w:val="TableContents"/>
              <w:bidi w:val="0"/>
              <w:spacing w:before="0" w:after="0"/>
              <w:jc w:val="both"/>
              <w:rPr/>
            </w:pPr>
            <w:r>
              <w:rPr/>
              <w:t>●</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Listing on the Hong Kong Stock Exchange on June 11</w:t>
            </w:r>
          </w:p>
        </w:tc>
        <w:tc>
          <w:tcPr>
            <w:tcW w:w="57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2020</w:t>
            </w:r>
          </w:p>
        </w:tc>
      </w:tr>
      <w:tr>
        <w:trPr/>
        <w:tc>
          <w:tcPr>
            <w:tcW w:w="9634"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both"/>
              <w:rPr/>
            </w:pPr>
            <w:r>
              <w:rPr/>
              <w:t>​</w:t>
            </w:r>
          </w:p>
        </w:tc>
      </w:tr>
      <w:tr>
        <w:trPr/>
        <w:tc>
          <w:tcPr>
            <w:tcW w:w="9634" w:type="dxa"/>
            <w:tcBorders/>
            <w:vAlign w:val="center"/>
          </w:tcPr>
          <w:p>
            <w:pPr>
              <w:pStyle w:val="TableContents"/>
              <w:bidi w:val="0"/>
              <w:spacing w:before="0" w:after="0"/>
              <w:jc w:val="both"/>
              <w:rPr/>
            </w:pPr>
            <w:r>
              <w:rPr/>
              <w:t>●</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Listing of Cloud Music on the Hong Kong Stock Exchange on December 2</w:t>
            </w:r>
          </w:p>
        </w:tc>
        <w:tc>
          <w:tcPr>
            <w:tcW w:w="57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2021</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principal capital expenditures for 2023 and 2022 consisted mainly of expenditures related to our new office buildings in Shanghai and Hangzhou in China and the acquisition of new servers in connection with the operation of our business for a total of approximately RMB2.3 billion and RMB2.1 billion, respectively. Our principal capital expenditures for 2021 consisted mainly of the construction of our new office buildings in Guangzhou and Shanghai in China and the acquisition of new servers in connection with the operation of our businesses for a total of approximately RMB1.6 billion.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December 31, 2023, we had capital expenditure commitments of RMB1.9 billion (US$273.7 million) for 2024 and thereafter, which primarily consist of commitments made in connection with the construction of new office buildings in Shanghai, Hangzhou and other cities.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SEC maintains a website that contains reports, proxy and information statements, and other information regarding issuers that file electronically with the SEC, including us, at http://www.sec.gov. Our corporate website can be accessed at http://ir.netease.com. The information on our website is not part of this annual report.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B.            Business Overview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ORGANIZATIONAL STRUCTURE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conduct our business in China through our subsidiaries and the VIEs. Due to legal restrictions and prohibitions on foreign investment in Chinese companies providing, among other things, value-added telecommunications services, internet cultural services and internet publication services, we operate our primary businesses, including the online games, music streaming, online intelligent learning services and internet content services businesses in China mainland, through contractual arrangements with the VIEs and their nominee shareholders. The contractual arrangements provide us with the: (a) the power to direct the activities that most significantly impact the economic performance of the VIEs and their subsidiaries; (b) the economic benefits of these VIEs and their subsidiaries; and (c) an exclusive option to purchase all or part of the equity interests in the VIEs when and to the extent permissible under PRC laws. The VIEs hold ICP licenses and other regulated licenses in which foreign investment is restricted or prohibited and operate our internet businesses and other businesses. Under the contractual arrangements, we provide our computer software, mobile applications, technologies and relevant services to such VIEs, and they operate the NetEase game services in China, education platforms, websites, as well as our other online businesses. For more information on these agreements, see Item 7.B. “Major Shareholders and Related Party Transactions—Related Party Transactions.”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result of these contractual arrangements, we bear the risks of, and enjoy the rewards associated with, and therefore are the primary beneficiary of these entities. We therefore consolidate the results of operations of these entities and their subsidiaries in our consolidated financial statements. See also Item 5 “Operating and Financial Review and Prospects.”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violations by the VIEs of our agreements with them could disrupt our operations or adversely affect our services. See Item 3.D. “Key Information—Risk Factors” for a detailed discussion of the risks to NetEase, Inc. regarding its dependency on these companies.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80"/>
        <w:ind w:left="0" w:right="0" w:firstLine="720"/>
        <w:jc w:val="both"/>
        <w:rPr>
          <w:rFonts w:ascii="Times New Roman;Times;serif" w:hAnsi="Times New Roman;Times;serif"/>
          <w:sz w:val="20"/>
        </w:rPr>
      </w:pPr>
      <w:r>
        <w:rPr>
          <w:rFonts w:ascii="Times New Roman;Times;serif" w:hAnsi="Times New Roman;Times;serif"/>
          <w:sz w:val="20"/>
        </w:rPr>
        <w:t>The diagram below summarizes our corporate structure as of March 31, 2024 and identifies the subsidiaries and the VIEs that together are representative of our major business units, including our significant subsidiaries, as that term is defined under Section 1-02 of Regulation S-X under the Securities Act, and other representative subsidiaries:</w:t>
      </w:r>
    </w:p>
    <w:p>
      <w:pPr>
        <w:pStyle w:val="TextBody"/>
        <w:bidi w:val="0"/>
        <w:spacing w:before="0" w:after="0"/>
        <w:ind w:left="0" w:right="0" w:hanging="0"/>
        <w:jc w:val="center"/>
        <w:rPr/>
      </w:pPr>
      <w:r>
        <w:rPr/>
        <w:drawing>
          <wp:inline distT="0" distB="0" distL="0" distR="0">
            <wp:extent cx="4602480" cy="598932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4602480" cy="5989320"/>
                    </a:xfrm>
                    <a:prstGeom prst="rect">
                      <a:avLst/>
                    </a:prstGeom>
                  </pic:spPr>
                </pic:pic>
              </a:graphicData>
            </a:graphic>
          </wp:inline>
        </w:drawing>
      </w:r>
    </w:p>
    <w:tbl>
      <w:tblPr>
        <w:tblW w:w="7307" w:type="dxa"/>
        <w:jc w:val="left"/>
        <w:tblInd w:w="0" w:type="dxa"/>
        <w:tblLayout w:type="fixed"/>
        <w:tblCellMar>
          <w:top w:w="0" w:type="dxa"/>
          <w:left w:w="0" w:type="dxa"/>
          <w:bottom w:w="0" w:type="dxa"/>
          <w:right w:w="0" w:type="dxa"/>
        </w:tblCellMar>
      </w:tblPr>
      <w:tblGrid>
        <w:gridCol w:w="346"/>
        <w:gridCol w:w="696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9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Hangzhou NetEase Leihuo Technology Co., Ltd. is owned by two of our employees.</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Guangzhou NetEase Computer System Co., Ltd. and Hangzhou Yuedu Technology Co., Ltd. is 99.0% owned by William Lei Ding, our founder, Chief Executive Officer and director, and 1.0% by two of our employees, respectively. Our indirect, wholly owned subsidiary NetEase Information Technology (Beijing) Co., Ltd. is also a party to certain contractual arrangements with Guangzhou NetEase Computer System Co., Ltd.</w:t>
            </w:r>
          </w:p>
        </w:tc>
      </w:tr>
    </w:tbl>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Beijing NetEase Youdao Computer System Co., Ltd. is 71.1% owned by William Lei Ding and 28.9% owned by the chief executive officer of Youdao, Inc.</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a successful online game business, developing and operating a rich portfolio of highly popular titles. We currently offer over 100 mobile and PC games across a wide range of genres, satisfying the ever growing and diversifying needs of the gamer community. Leveraging our user insights and execution expertise, we have also incubated and developed in-house a pipeline of innovative and successful businesses, including intelligent learning and other businesses, ranging from music streaming and e-commerce to advertising services, e-mail, payment platform and other services. For a breakdown of total revenue by segment for the last three financial years, see Item 5.A. “Operating and Financial Review and Prospects—Operating Results.”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Games and Related Value-added Services</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Our Games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game products and services are comprised of in-house developed mobile and PC games (including certain games co-developed with our collaboration partners) as well as games licensed from renowned global developers. As a global early mover that anticipated and captured the trend toward mobile games, we have significantly expanded our portfolio of mobile game offerings in recent years. At the same time, our flagship titles continue to provide solid support for our online games business with persistent longevity and user loyalty. In addition, while solidifying our leadership position in the Chinese domestic market, we have also expanded globally with launches in Japan, Southeast Asia, the United States and other international markets.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Game Library</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Mobile games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Mobile games have gained increasing popularity and an expanding user base as internet users in China and across the world rely more and more on mobile devices to access the internet. We are one of the largest mobile game providers globally in terms of game revenue, offering over 100 mobile games of various genres as of December 31, 2023, including in-house developed and licensed MMORPGs, casual games, CCGs, battle arena games and SLGs, as well as other types of games.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To date, the majority of our most popular mobile games are in-house developed games. We have launched the mobile versions of our in-house developed flagship MMORPGs, including the </w:t>
      </w:r>
      <w:r>
        <w:rPr>
          <w:rFonts w:ascii="Times New Roman;Times;serif" w:hAnsi="Times New Roman;Times;serif"/>
          <w:i/>
          <w:sz w:val="20"/>
        </w:rPr>
        <w:t>Fantasy Westward Journey</w:t>
      </w:r>
      <w:r>
        <w:rPr>
          <w:rFonts w:ascii="Times New Roman;Times;serif" w:hAnsi="Times New Roman;Times;serif"/>
          <w:sz w:val="20"/>
        </w:rPr>
        <w:t xml:space="preserve"> and </w:t>
      </w:r>
      <w:r>
        <w:rPr>
          <w:rFonts w:ascii="Times New Roman;Times;serif" w:hAnsi="Times New Roman;Times;serif"/>
          <w:i/>
          <w:sz w:val="20"/>
        </w:rPr>
        <w:t>Westward Journey Online</w:t>
      </w:r>
      <w:r>
        <w:rPr>
          <w:rFonts w:ascii="Times New Roman;Times;serif" w:hAnsi="Times New Roman;Times;serif"/>
          <w:sz w:val="20"/>
        </w:rPr>
        <w:t xml:space="preserve"> mobile games. We distribute our mobile games through partnerships with major Android- and iOS-based application stores in China, as well as our proprietary platforms. We offer a variety of in-game virtual items that players can purchase, including avatars, skills, privileges and other in-game consumables, features and functionalities.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table below sets forth certain of our major in-house developed mobile games:</w:t>
      </w:r>
    </w:p>
    <w:tbl>
      <w:tblPr>
        <w:tblW w:w="8530" w:type="dxa"/>
        <w:jc w:val="left"/>
        <w:tblInd w:w="0" w:type="dxa"/>
        <w:tblLayout w:type="fixed"/>
        <w:tblCellMar>
          <w:top w:w="0" w:type="dxa"/>
          <w:left w:w="0" w:type="dxa"/>
          <w:bottom w:w="28" w:type="dxa"/>
          <w:right w:w="0" w:type="dxa"/>
        </w:tblCellMar>
      </w:tblPr>
      <w:tblGrid>
        <w:gridCol w:w="4126"/>
        <w:gridCol w:w="326"/>
        <w:gridCol w:w="2281"/>
        <w:gridCol w:w="326"/>
        <w:gridCol w:w="1471"/>
      </w:tblGrid>
      <w:tr>
        <w:trPr/>
        <w:tc>
          <w:tcPr>
            <w:tcW w:w="4126" w:type="dxa"/>
            <w:tcBorders>
              <w:bottom w:val="single" w:sz="2" w:space="0" w:color="000000"/>
            </w:tcBorders>
            <w:vAlign w:val="center"/>
          </w:tcPr>
          <w:p>
            <w:pPr>
              <w:pStyle w:val="TableHeading"/>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Game</w:t>
            </w:r>
          </w:p>
        </w:tc>
        <w:tc>
          <w:tcPr>
            <w:tcW w:w="326" w:type="dxa"/>
            <w:tcBorders>
              <w:bottom w:val="single" w:sz="2" w:space="0" w:color="000000"/>
            </w:tcBorders>
            <w:vAlign w:val="center"/>
          </w:tcPr>
          <w:p>
            <w:pPr>
              <w:pStyle w:val="TableHeading"/>
              <w:bidi w:val="0"/>
              <w:spacing w:before="0" w:after="0"/>
              <w:ind w:left="0" w:right="0" w:hanging="0"/>
              <w:jc w:val="left"/>
              <w:rPr/>
            </w:pPr>
            <w:r>
              <w:rPr/>
              <w:t>    </w:t>
            </w:r>
          </w:p>
        </w:tc>
        <w:tc>
          <w:tcPr>
            <w:tcW w:w="2281" w:type="dxa"/>
            <w:tcBorders>
              <w:bottom w:val="single" w:sz="2" w:space="0" w:color="000000"/>
            </w:tcBorders>
            <w:vAlign w:val="center"/>
          </w:tcPr>
          <w:p>
            <w:pPr>
              <w:pStyle w:val="TableHeading"/>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Genre</w:t>
            </w:r>
          </w:p>
        </w:tc>
        <w:tc>
          <w:tcPr>
            <w:tcW w:w="326" w:type="dxa"/>
            <w:tcBorders>
              <w:bottom w:val="single" w:sz="2" w:space="0" w:color="000000"/>
            </w:tcBorders>
            <w:vAlign w:val="center"/>
          </w:tcPr>
          <w:p>
            <w:pPr>
              <w:pStyle w:val="TableHeading"/>
              <w:bidi w:val="0"/>
              <w:spacing w:before="0" w:after="0"/>
              <w:ind w:left="0" w:right="0" w:hanging="0"/>
              <w:jc w:val="left"/>
              <w:rPr/>
            </w:pPr>
            <w:r>
              <w:rPr/>
              <w:t>    </w:t>
            </w:r>
          </w:p>
        </w:tc>
        <w:tc>
          <w:tcPr>
            <w:tcW w:w="1471" w:type="dxa"/>
            <w:tcBorders>
              <w:bottom w:val="single" w:sz="2" w:space="0" w:color="000000"/>
            </w:tcBorders>
            <w:vAlign w:val="center"/>
          </w:tcPr>
          <w:p>
            <w:pPr>
              <w:pStyle w:val="TableHeading"/>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Date of Initial</w:t>
              <w:br/>
              <w:t>Launch</w:t>
            </w:r>
          </w:p>
        </w:tc>
      </w:tr>
      <w:tr>
        <w:trPr/>
        <w:tc>
          <w:tcPr>
            <w:tcW w:w="4126"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Mobile Version of Fantasy Westward Journey II </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2281"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Turn-based MMORPG</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1471"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2013</w:t>
            </w:r>
          </w:p>
        </w:tc>
      </w:tr>
      <w:tr>
        <w:trPr/>
        <w:tc>
          <w:tcPr>
            <w:tcW w:w="412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Fantasy Westward Journey mobile game</w:t>
            </w:r>
          </w:p>
        </w:tc>
        <w:tc>
          <w:tcPr>
            <w:tcW w:w="326" w:type="dxa"/>
            <w:tcBorders/>
            <w:tcMar>
              <w:bottom w:w="0" w:type="dxa"/>
            </w:tcMar>
            <w:vAlign w:val="center"/>
          </w:tcPr>
          <w:p>
            <w:pPr>
              <w:pStyle w:val="TableContents"/>
              <w:bidi w:val="0"/>
              <w:spacing w:before="0" w:after="0"/>
              <w:ind w:left="0" w:right="0" w:hanging="0"/>
              <w:jc w:val="left"/>
              <w:rPr/>
            </w:pPr>
            <w:r>
              <w:rPr/>
              <w:t>​</w:t>
            </w:r>
          </w:p>
        </w:tc>
        <w:tc>
          <w:tcPr>
            <w:tcW w:w="228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Turn-based MMORPG</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47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2015</w:t>
            </w:r>
          </w:p>
        </w:tc>
      </w:tr>
      <w:tr>
        <w:trPr/>
        <w:tc>
          <w:tcPr>
            <w:tcW w:w="412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Westward Journey Online mobile game</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228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Turn-based MMORPG</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147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 2015</w:t>
            </w:r>
          </w:p>
        </w:tc>
      </w:tr>
      <w:tr>
        <w:trPr/>
        <w:tc>
          <w:tcPr>
            <w:tcW w:w="412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Infinite Borders (previously known as Invincible)</w:t>
            </w:r>
          </w:p>
        </w:tc>
        <w:tc>
          <w:tcPr>
            <w:tcW w:w="326" w:type="dxa"/>
            <w:tcBorders/>
            <w:tcMar>
              <w:bottom w:w="0" w:type="dxa"/>
            </w:tcMar>
            <w:vAlign w:val="center"/>
          </w:tcPr>
          <w:p>
            <w:pPr>
              <w:pStyle w:val="TableContents"/>
              <w:bidi w:val="0"/>
              <w:spacing w:before="0" w:after="0"/>
              <w:ind w:left="0" w:right="0" w:hanging="0"/>
              <w:jc w:val="left"/>
              <w:rPr/>
            </w:pPr>
            <w:r>
              <w:rPr/>
              <w:t>​</w:t>
            </w:r>
          </w:p>
        </w:tc>
        <w:tc>
          <w:tcPr>
            <w:tcW w:w="228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SLG</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47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October 2015</w:t>
            </w:r>
          </w:p>
        </w:tc>
      </w:tr>
      <w:tr>
        <w:trPr/>
        <w:tc>
          <w:tcPr>
            <w:tcW w:w="412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mobile version of Ghost</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228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Real-time MMORPG</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147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2016</w:t>
            </w:r>
          </w:p>
        </w:tc>
      </w:tr>
      <w:tr>
        <w:trPr/>
        <w:tc>
          <w:tcPr>
            <w:tcW w:w="412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Onmyoji</w:t>
            </w:r>
          </w:p>
        </w:tc>
        <w:tc>
          <w:tcPr>
            <w:tcW w:w="326" w:type="dxa"/>
            <w:tcBorders/>
            <w:tcMar>
              <w:bottom w:w="0" w:type="dxa"/>
            </w:tcMar>
            <w:vAlign w:val="center"/>
          </w:tcPr>
          <w:p>
            <w:pPr>
              <w:pStyle w:val="TableContents"/>
              <w:bidi w:val="0"/>
              <w:spacing w:before="0" w:after="0"/>
              <w:ind w:left="0" w:right="0" w:hanging="0"/>
              <w:jc w:val="left"/>
              <w:rPr/>
            </w:pPr>
            <w:r>
              <w:rPr/>
              <w:t>​</w:t>
            </w:r>
          </w:p>
        </w:tc>
        <w:tc>
          <w:tcPr>
            <w:tcW w:w="228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CCG &amp; RPG</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47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 2016</w:t>
            </w:r>
          </w:p>
        </w:tc>
      </w:tr>
      <w:tr>
        <w:trPr/>
        <w:tc>
          <w:tcPr>
            <w:tcW w:w="412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Knives Out</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228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Battle Arena</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147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November 2017</w:t>
            </w:r>
          </w:p>
        </w:tc>
      </w:tr>
      <w:tr>
        <w:trPr/>
        <w:tc>
          <w:tcPr>
            <w:tcW w:w="412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Identity V</w:t>
            </w:r>
          </w:p>
        </w:tc>
        <w:tc>
          <w:tcPr>
            <w:tcW w:w="326" w:type="dxa"/>
            <w:tcBorders/>
            <w:tcMar>
              <w:bottom w:w="0" w:type="dxa"/>
            </w:tcMar>
            <w:vAlign w:val="center"/>
          </w:tcPr>
          <w:p>
            <w:pPr>
              <w:pStyle w:val="TableContents"/>
              <w:bidi w:val="0"/>
              <w:spacing w:before="0" w:after="0"/>
              <w:ind w:left="0" w:right="0" w:hanging="0"/>
              <w:jc w:val="left"/>
              <w:rPr/>
            </w:pPr>
            <w:r>
              <w:rPr/>
              <w:t>​</w:t>
            </w:r>
          </w:p>
        </w:tc>
        <w:tc>
          <w:tcPr>
            <w:tcW w:w="228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Battle Arena</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47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2018</w:t>
            </w:r>
          </w:p>
        </w:tc>
      </w:tr>
      <w:tr>
        <w:trPr/>
        <w:tc>
          <w:tcPr>
            <w:tcW w:w="412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LifeAfter</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228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Cooperative Survival RPG</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147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November 2018</w:t>
            </w:r>
          </w:p>
        </w:tc>
      </w:tr>
      <w:tr>
        <w:trPr/>
        <w:tc>
          <w:tcPr>
            <w:tcW w:w="412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Fantasy Westward Journey H5</w:t>
            </w:r>
          </w:p>
        </w:tc>
        <w:tc>
          <w:tcPr>
            <w:tcW w:w="326" w:type="dxa"/>
            <w:tcBorders/>
            <w:tcMar>
              <w:bottom w:w="0" w:type="dxa"/>
            </w:tcMar>
            <w:vAlign w:val="center"/>
          </w:tcPr>
          <w:p>
            <w:pPr>
              <w:pStyle w:val="TableContents"/>
              <w:bidi w:val="0"/>
              <w:spacing w:before="0" w:after="0"/>
              <w:ind w:left="0" w:right="0" w:hanging="0"/>
              <w:jc w:val="left"/>
              <w:rPr/>
            </w:pPr>
            <w:r>
              <w:rPr/>
              <w:t>​</w:t>
            </w:r>
          </w:p>
        </w:tc>
        <w:tc>
          <w:tcPr>
            <w:tcW w:w="228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MMORPG</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47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2020</w:t>
            </w:r>
          </w:p>
        </w:tc>
      </w:tr>
      <w:tr>
        <w:trPr/>
        <w:tc>
          <w:tcPr>
            <w:tcW w:w="412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Harry Potter: Magic Awakened* </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228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CCGRPG</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147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 2021</w:t>
            </w:r>
          </w:p>
        </w:tc>
      </w:tr>
      <w:tr>
        <w:trPr/>
        <w:tc>
          <w:tcPr>
            <w:tcW w:w="412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Eggy Party</w:t>
            </w:r>
          </w:p>
        </w:tc>
        <w:tc>
          <w:tcPr>
            <w:tcW w:w="326" w:type="dxa"/>
            <w:tcBorders/>
            <w:tcMar>
              <w:bottom w:w="0" w:type="dxa"/>
            </w:tcMar>
            <w:vAlign w:val="center"/>
          </w:tcPr>
          <w:p>
            <w:pPr>
              <w:pStyle w:val="TableContents"/>
              <w:bidi w:val="0"/>
              <w:spacing w:before="0" w:after="0"/>
              <w:ind w:left="0" w:right="0" w:hanging="0"/>
              <w:jc w:val="left"/>
              <w:rPr/>
            </w:pPr>
            <w:r>
              <w:rPr/>
              <w:t>​</w:t>
            </w:r>
          </w:p>
        </w:tc>
        <w:tc>
          <w:tcPr>
            <w:tcW w:w="228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Casual Party Mobile Game</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47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2022</w:t>
            </w:r>
          </w:p>
        </w:tc>
      </w:tr>
      <w:tr>
        <w:trPr/>
        <w:tc>
          <w:tcPr>
            <w:tcW w:w="412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Diablo® Immortal™* </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228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MMO Action-RPG </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147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2022</w:t>
            </w:r>
          </w:p>
        </w:tc>
      </w:tr>
      <w:tr>
        <w:trPr/>
        <w:tc>
          <w:tcPr>
            <w:tcW w:w="412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Racing Master</w:t>
            </w:r>
          </w:p>
        </w:tc>
        <w:tc>
          <w:tcPr>
            <w:tcW w:w="326" w:type="dxa"/>
            <w:tcBorders/>
            <w:tcMar>
              <w:bottom w:w="0" w:type="dxa"/>
            </w:tcMar>
            <w:vAlign w:val="center"/>
          </w:tcPr>
          <w:p>
            <w:pPr>
              <w:pStyle w:val="TableContents"/>
              <w:bidi w:val="0"/>
              <w:spacing w:before="0" w:after="0"/>
              <w:ind w:left="0" w:right="0" w:hanging="0"/>
              <w:jc w:val="left"/>
              <w:rPr/>
            </w:pPr>
            <w:r>
              <w:rPr/>
              <w:t>​</w:t>
            </w:r>
          </w:p>
        </w:tc>
        <w:tc>
          <w:tcPr>
            <w:tcW w:w="228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Racing Simulation</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47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2023</w:t>
            </w:r>
          </w:p>
        </w:tc>
      </w:tr>
      <w:tr>
        <w:trPr/>
        <w:tc>
          <w:tcPr>
            <w:tcW w:w="412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Justice mobile game</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228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MMORPG</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147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2023</w:t>
            </w:r>
          </w:p>
        </w:tc>
      </w:tr>
      <w:tr>
        <w:trPr/>
        <w:tc>
          <w:tcPr>
            <w:tcW w:w="412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Dunk City Dynasty</w:t>
            </w:r>
          </w:p>
        </w:tc>
        <w:tc>
          <w:tcPr>
            <w:tcW w:w="326" w:type="dxa"/>
            <w:tcBorders/>
            <w:tcMar>
              <w:bottom w:w="0" w:type="dxa"/>
            </w:tcMar>
            <w:vAlign w:val="center"/>
          </w:tcPr>
          <w:p>
            <w:pPr>
              <w:pStyle w:val="TableContents"/>
              <w:bidi w:val="0"/>
              <w:spacing w:before="0" w:after="0"/>
              <w:ind w:left="0" w:right="0" w:hanging="0"/>
              <w:jc w:val="left"/>
              <w:rPr/>
            </w:pPr>
            <w:r>
              <w:rPr/>
              <w:t>​</w:t>
            </w:r>
          </w:p>
        </w:tc>
        <w:tc>
          <w:tcPr>
            <w:tcW w:w="228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Basketball</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47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2023</w:t>
            </w:r>
          </w:p>
        </w:tc>
      </w:tr>
    </w:tbl>
    <w:p>
      <w:pPr>
        <w:pStyle w:val="TextBody"/>
        <w:bidi w:val="0"/>
        <w:spacing w:lineRule="auto" w:line="240" w:before="0" w:after="240"/>
        <w:ind w:left="0" w:right="0" w:hanging="0"/>
        <w:jc w:val="left"/>
        <w:rPr>
          <w:rFonts w:ascii="Times New Roman;Times;serif" w:hAnsi="Times New Roman;Times;serif"/>
          <w:sz w:val="20"/>
        </w:rPr>
      </w:pPr>
      <w:r>
        <w:rPr>
          <w:rFonts w:ascii="Times New Roman;Times;serif" w:hAnsi="Times New Roman;Times;serif"/>
          <w:sz w:val="20"/>
        </w:rPr>
        <w:t xml:space="preserve">* </w:t>
      </w:r>
      <w:r>
        <w:rPr>
          <w:rFonts w:ascii="Times New Roman;Times;serif" w:hAnsi="Times New Roman;Times;serif"/>
          <w:i/>
          <w:sz w:val="20"/>
        </w:rPr>
        <w:t xml:space="preserve">Harry Potter: Magic Awakened </w:t>
      </w:r>
      <w:r>
        <w:rPr>
          <w:rFonts w:ascii="Times New Roman;Times;serif" w:hAnsi="Times New Roman;Times;serif"/>
          <w:sz w:val="20"/>
        </w:rPr>
        <w:t xml:space="preserve">and </w:t>
      </w:r>
      <w:r>
        <w:rPr>
          <w:rFonts w:ascii="Times New Roman;Times;serif" w:hAnsi="Times New Roman;Times;serif"/>
          <w:i/>
          <w:sz w:val="20"/>
        </w:rPr>
        <w:t>Diablo</w:t>
      </w:r>
      <w:r>
        <w:rPr>
          <w:rFonts w:ascii="Times New Roman;Times;serif" w:hAnsi="Times New Roman;Times;serif"/>
          <w:i/>
          <w:sz w:val="15"/>
        </w:rPr>
        <w:t>®</w:t>
      </w:r>
      <w:r>
        <w:rPr>
          <w:rFonts w:ascii="Times New Roman;Times;serif" w:hAnsi="Times New Roman;Times;serif"/>
          <w:sz w:val="20"/>
        </w:rPr>
        <w:t xml:space="preserve"> </w:t>
      </w:r>
      <w:r>
        <w:rPr>
          <w:rFonts w:ascii="Times New Roman;Times;serif" w:hAnsi="Times New Roman;Times;serif"/>
          <w:i/>
          <w:sz w:val="20"/>
        </w:rPr>
        <w:t>Immortal™</w:t>
      </w:r>
      <w:r>
        <w:rPr>
          <w:rFonts w:ascii="Times New Roman;Times;serif" w:hAnsi="Times New Roman;Times;serif"/>
          <w:sz w:val="20"/>
        </w:rPr>
        <w:t xml:space="preserve"> were co-developed with Warner Bros. Games and Blizzard, respectively.</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PC games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launched our first PC based MMORPG, </w:t>
      </w:r>
      <w:r>
        <w:rPr>
          <w:rFonts w:ascii="Times New Roman;Times;serif" w:hAnsi="Times New Roman;Times;serif"/>
          <w:i/>
          <w:sz w:val="20"/>
        </w:rPr>
        <w:t>Westward Journey Online</w:t>
      </w:r>
      <w:r>
        <w:rPr>
          <w:rFonts w:ascii="Times New Roman;Times;serif" w:hAnsi="Times New Roman;Times;serif"/>
          <w:sz w:val="20"/>
        </w:rPr>
        <w:t xml:space="preserve">, in December 2001. Subsequently, we launched </w:t>
      </w:r>
      <w:r>
        <w:rPr>
          <w:rFonts w:ascii="Times New Roman;Times;serif" w:hAnsi="Times New Roman;Times;serif"/>
          <w:i/>
          <w:sz w:val="20"/>
        </w:rPr>
        <w:t>Westward Journey Online II</w:t>
      </w:r>
      <w:r>
        <w:rPr>
          <w:rFonts w:ascii="Times New Roman;Times;serif" w:hAnsi="Times New Roman;Times;serif"/>
          <w:sz w:val="20"/>
        </w:rPr>
        <w:t xml:space="preserve"> in August 2002 and our second original PC based MMORPG, </w:t>
      </w:r>
      <w:r>
        <w:rPr>
          <w:rFonts w:ascii="Times New Roman;Times;serif" w:hAnsi="Times New Roman;Times;serif"/>
          <w:i/>
          <w:sz w:val="20"/>
        </w:rPr>
        <w:t>Fantasy Westward Journey</w:t>
      </w:r>
      <w:r>
        <w:rPr>
          <w:rFonts w:ascii="Times New Roman;Times;serif" w:hAnsi="Times New Roman;Times;serif"/>
          <w:sz w:val="20"/>
        </w:rPr>
        <w:t xml:space="preserve">, in January 2004. </w:t>
      </w:r>
      <w:r>
        <w:rPr>
          <w:rFonts w:ascii="Times New Roman;Times;serif" w:hAnsi="Times New Roman;Times;serif"/>
          <w:i/>
          <w:sz w:val="20"/>
        </w:rPr>
        <w:t>Westward Journey Online II</w:t>
      </w:r>
      <w:r>
        <w:rPr>
          <w:rFonts w:ascii="Times New Roman;Times;serif" w:hAnsi="Times New Roman;Times;serif"/>
          <w:sz w:val="20"/>
        </w:rPr>
        <w:t xml:space="preserve"> and </w:t>
      </w:r>
      <w:r>
        <w:rPr>
          <w:rFonts w:ascii="Times New Roman;Times;serif" w:hAnsi="Times New Roman;Times;serif"/>
          <w:i/>
          <w:sz w:val="20"/>
        </w:rPr>
        <w:t>Fantasy Westward Journey</w:t>
      </w:r>
      <w:r>
        <w:rPr>
          <w:rFonts w:ascii="Times New Roman;Times;serif" w:hAnsi="Times New Roman;Times;serif"/>
          <w:sz w:val="20"/>
        </w:rPr>
        <w:t xml:space="preserve"> were upgraded to </w:t>
      </w:r>
      <w:r>
        <w:rPr>
          <w:rFonts w:ascii="Times New Roman;Times;serif" w:hAnsi="Times New Roman;Times;serif"/>
          <w:i/>
          <w:sz w:val="20"/>
        </w:rPr>
        <w:t>New Westward Journey Online II</w:t>
      </w:r>
      <w:r>
        <w:rPr>
          <w:rFonts w:ascii="Times New Roman;Times;serif" w:hAnsi="Times New Roman;Times;serif"/>
          <w:sz w:val="20"/>
        </w:rPr>
        <w:t xml:space="preserve"> and </w:t>
      </w:r>
      <w:r>
        <w:rPr>
          <w:rFonts w:ascii="Times New Roman;Times;serif" w:hAnsi="Times New Roman;Times;serif"/>
          <w:i/>
          <w:sz w:val="20"/>
        </w:rPr>
        <w:t>Fantasy Westward Journey Online</w:t>
      </w:r>
      <w:r>
        <w:rPr>
          <w:rFonts w:ascii="Times New Roman;Times;serif" w:hAnsi="Times New Roman;Times;serif"/>
          <w:sz w:val="20"/>
        </w:rPr>
        <w:t xml:space="preserve"> in 2013. Both game series remain popular with gamers today as a result of continued content updating and innovation in play modes over the past two decades. In July 2021, we launched our action battle royale game, </w:t>
      </w:r>
      <w:r>
        <w:rPr>
          <w:rFonts w:ascii="Times New Roman;Times;serif" w:hAnsi="Times New Roman;Times;serif"/>
          <w:i/>
          <w:sz w:val="20"/>
        </w:rPr>
        <w:t>Naraka: Bladepoint</w:t>
      </w:r>
      <w:r>
        <w:rPr>
          <w:rFonts w:ascii="Times New Roman;Times;serif" w:hAnsi="Times New Roman;Times;serif"/>
          <w:sz w:val="20"/>
        </w:rPr>
        <w:t>, which was well received by players with great success and named a “Top Seller” on Steam’s Best of 2021 games list.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PC game players can purchase prepaid points to pay for game playing time, virtual items and other fee-based services that enhance their playing experience such as special powers, costumes, weapons and other accessories. We regularly introduce new virtual items and other fee-based services, as well as change the features of virtual items based on player feedback, market trends and other factors.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table below sets forth our major in-house developed PC games:</w:t>
      </w:r>
    </w:p>
    <w:p>
      <w:pPr>
        <w:pStyle w:val="TextBody"/>
        <w:bidi w:val="0"/>
        <w:spacing w:before="0" w:after="0"/>
        <w:ind w:left="0" w:right="0" w:firstLine="720"/>
        <w:jc w:val="left"/>
        <w:rPr/>
      </w:pPr>
      <w:r>
        <w:rPr/>
        <w:t>​</w:t>
      </w:r>
    </w:p>
    <w:tbl>
      <w:tblPr>
        <w:tblW w:w="10205" w:type="dxa"/>
        <w:jc w:val="left"/>
        <w:tblInd w:w="0" w:type="dxa"/>
        <w:tblLayout w:type="fixed"/>
        <w:tblCellMar>
          <w:top w:w="0" w:type="dxa"/>
          <w:left w:w="0" w:type="dxa"/>
          <w:bottom w:w="28" w:type="dxa"/>
          <w:right w:w="0" w:type="dxa"/>
        </w:tblCellMar>
      </w:tblPr>
      <w:tblGrid>
        <w:gridCol w:w="4608"/>
        <w:gridCol w:w="326"/>
        <w:gridCol w:w="2328"/>
        <w:gridCol w:w="326"/>
        <w:gridCol w:w="2617"/>
      </w:tblGrid>
      <w:tr>
        <w:trPr/>
        <w:tc>
          <w:tcPr>
            <w:tcW w:w="4608" w:type="dxa"/>
            <w:tcBorders>
              <w:bottom w:val="single" w:sz="2" w:space="0" w:color="000000"/>
            </w:tcBorders>
            <w:vAlign w:val="center"/>
          </w:tcPr>
          <w:p>
            <w:pPr>
              <w:pStyle w:val="TableHeading"/>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Game</w:t>
            </w:r>
          </w:p>
        </w:tc>
        <w:tc>
          <w:tcPr>
            <w:tcW w:w="326" w:type="dxa"/>
            <w:tcBorders>
              <w:bottom w:val="single" w:sz="2" w:space="0" w:color="000000"/>
            </w:tcBorders>
            <w:vAlign w:val="center"/>
          </w:tcPr>
          <w:p>
            <w:pPr>
              <w:pStyle w:val="TableHeading"/>
              <w:bidi w:val="0"/>
              <w:spacing w:before="0" w:after="0"/>
              <w:ind w:left="0" w:right="0" w:hanging="0"/>
              <w:jc w:val="left"/>
              <w:rPr/>
            </w:pPr>
            <w:r>
              <w:rPr/>
              <w:t>    </w:t>
            </w:r>
          </w:p>
        </w:tc>
        <w:tc>
          <w:tcPr>
            <w:tcW w:w="2328" w:type="dxa"/>
            <w:tcBorders>
              <w:bottom w:val="single" w:sz="2" w:space="0" w:color="000000"/>
            </w:tcBorders>
            <w:vAlign w:val="center"/>
          </w:tcPr>
          <w:p>
            <w:pPr>
              <w:pStyle w:val="TableHeading"/>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Genre</w:t>
            </w:r>
          </w:p>
        </w:tc>
        <w:tc>
          <w:tcPr>
            <w:tcW w:w="326" w:type="dxa"/>
            <w:tcBorders>
              <w:bottom w:val="single" w:sz="2" w:space="0" w:color="000000"/>
            </w:tcBorders>
            <w:vAlign w:val="center"/>
          </w:tcPr>
          <w:p>
            <w:pPr>
              <w:pStyle w:val="TableHeading"/>
              <w:bidi w:val="0"/>
              <w:spacing w:before="0" w:after="0"/>
              <w:ind w:left="0" w:right="0" w:hanging="0"/>
              <w:jc w:val="left"/>
              <w:rPr/>
            </w:pPr>
            <w:r>
              <w:rPr/>
              <w:t>    </w:t>
            </w:r>
          </w:p>
        </w:tc>
        <w:tc>
          <w:tcPr>
            <w:tcW w:w="2617" w:type="dxa"/>
            <w:tcBorders>
              <w:bottom w:val="single" w:sz="2" w:space="0" w:color="000000"/>
            </w:tcBorders>
            <w:vAlign w:val="center"/>
          </w:tcPr>
          <w:p>
            <w:pPr>
              <w:pStyle w:val="TableHeading"/>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Date(s) of Launch and Major Upgrade</w:t>
            </w:r>
          </w:p>
        </w:tc>
      </w:tr>
      <w:tr>
        <w:trPr/>
        <w:tc>
          <w:tcPr>
            <w:tcW w:w="4608" w:type="dxa"/>
            <w:tcBorders>
              <w:top w:val="single" w:sz="2" w:space="0" w:color="000000"/>
            </w:tcBorders>
            <w:shd w:fill="CCEEFF" w:val="clear"/>
            <w:tcMar>
              <w:top w:w="28" w:type="dxa"/>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Westward Journey Online II (a comprehensive upgrade of Westward Journey Online II)</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2328"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2D MMORPG, classical Chinese setting</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2617"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August 2002 </w:t>
              <w:br/>
              <w:t>September 2013</w:t>
            </w:r>
          </w:p>
        </w:tc>
      </w:tr>
      <w:tr>
        <w:trPr/>
        <w:tc>
          <w:tcPr>
            <w:tcW w:w="4608"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Fantasy Westward Journey Online (previously known as Fantasy Westward Journey II)</w:t>
            </w:r>
          </w:p>
        </w:tc>
        <w:tc>
          <w:tcPr>
            <w:tcW w:w="326" w:type="dxa"/>
            <w:tcBorders/>
            <w:tcMar>
              <w:bottom w:w="0" w:type="dxa"/>
            </w:tcMar>
            <w:vAlign w:val="center"/>
          </w:tcPr>
          <w:p>
            <w:pPr>
              <w:pStyle w:val="TableContents"/>
              <w:bidi w:val="0"/>
              <w:spacing w:before="0" w:after="0"/>
              <w:ind w:left="0" w:right="0" w:hanging="0"/>
              <w:jc w:val="left"/>
              <w:rPr/>
            </w:pPr>
            <w:r>
              <w:rPr/>
              <w:t>​</w:t>
            </w:r>
          </w:p>
        </w:tc>
        <w:tc>
          <w:tcPr>
            <w:tcW w:w="232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2D MMORPG, classical Chinese setting</w:t>
            </w:r>
          </w:p>
        </w:tc>
        <w:tc>
          <w:tcPr>
            <w:tcW w:w="326" w:type="dxa"/>
            <w:tcBorders/>
            <w:tcMar>
              <w:bottom w:w="0" w:type="dxa"/>
            </w:tcMar>
            <w:vAlign w:val="center"/>
          </w:tcPr>
          <w:p>
            <w:pPr>
              <w:pStyle w:val="TableContents"/>
              <w:bidi w:val="0"/>
              <w:spacing w:before="0" w:after="0"/>
              <w:ind w:left="0" w:right="0" w:hanging="0"/>
              <w:jc w:val="left"/>
              <w:rPr/>
            </w:pPr>
            <w:r>
              <w:rPr/>
              <w:t>​</w:t>
            </w:r>
          </w:p>
        </w:tc>
        <w:tc>
          <w:tcPr>
            <w:tcW w:w="261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January 2004</w:t>
              <w:br/>
              <w:t>July 2013</w:t>
            </w:r>
          </w:p>
        </w:tc>
      </w:tr>
      <w:tr>
        <w:trPr/>
        <w:tc>
          <w:tcPr>
            <w:tcW w:w="4608" w:type="dxa"/>
            <w:tcBorders/>
            <w:shd w:fill="CCEEFF" w:val="clear"/>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Tianxia III</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2328"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3D MMORPG, classical Chinese setting</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2617"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October 2011</w:t>
            </w:r>
          </w:p>
        </w:tc>
      </w:tr>
      <w:tr>
        <w:trPr/>
        <w:tc>
          <w:tcPr>
            <w:tcW w:w="4608"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Ghost (a new version of Ghost II)</w:t>
            </w:r>
          </w:p>
        </w:tc>
        <w:tc>
          <w:tcPr>
            <w:tcW w:w="326" w:type="dxa"/>
            <w:tcBorders/>
            <w:tcMar>
              <w:bottom w:w="0" w:type="dxa"/>
            </w:tcMar>
            <w:vAlign w:val="center"/>
          </w:tcPr>
          <w:p>
            <w:pPr>
              <w:pStyle w:val="TableContents"/>
              <w:bidi w:val="0"/>
              <w:spacing w:before="0" w:after="0"/>
              <w:ind w:left="0" w:right="0" w:hanging="0"/>
              <w:jc w:val="left"/>
              <w:rPr/>
            </w:pPr>
            <w:r>
              <w:rPr/>
              <w:t>​</w:t>
            </w:r>
          </w:p>
        </w:tc>
        <w:tc>
          <w:tcPr>
            <w:tcW w:w="232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2.5D MMORPG, classical Chinese setting</w:t>
            </w:r>
          </w:p>
        </w:tc>
        <w:tc>
          <w:tcPr>
            <w:tcW w:w="326" w:type="dxa"/>
            <w:tcBorders/>
            <w:tcMar>
              <w:bottom w:w="0" w:type="dxa"/>
            </w:tcMar>
            <w:vAlign w:val="center"/>
          </w:tcPr>
          <w:p>
            <w:pPr>
              <w:pStyle w:val="TableContents"/>
              <w:bidi w:val="0"/>
              <w:spacing w:before="0" w:after="0"/>
              <w:ind w:left="0" w:right="0" w:hanging="0"/>
              <w:jc w:val="left"/>
              <w:rPr/>
            </w:pPr>
            <w:r>
              <w:rPr/>
              <w:t>​</w:t>
            </w:r>
          </w:p>
        </w:tc>
        <w:tc>
          <w:tcPr>
            <w:tcW w:w="261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2012</w:t>
              <w:br/>
              <w:t>September 2015</w:t>
            </w:r>
          </w:p>
        </w:tc>
      </w:tr>
      <w:tr>
        <w:trPr/>
        <w:tc>
          <w:tcPr>
            <w:tcW w:w="4608" w:type="dxa"/>
            <w:tcBorders/>
            <w:shd w:fill="CCEEFF" w:val="clear"/>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Justice</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2328"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3D MMORPG, classical Chinese setting</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2617"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2018</w:t>
            </w:r>
          </w:p>
        </w:tc>
      </w:tr>
      <w:tr>
        <w:trPr/>
        <w:tc>
          <w:tcPr>
            <w:tcW w:w="4608"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Naraka: Bladepoint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232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Action Battle Royale</w:t>
            </w:r>
          </w:p>
        </w:tc>
        <w:tc>
          <w:tcPr>
            <w:tcW w:w="326" w:type="dxa"/>
            <w:tcBorders/>
            <w:tcMar>
              <w:bottom w:w="0" w:type="dxa"/>
            </w:tcMar>
            <w:vAlign w:val="center"/>
          </w:tcPr>
          <w:p>
            <w:pPr>
              <w:pStyle w:val="TableContents"/>
              <w:bidi w:val="0"/>
              <w:spacing w:before="0" w:after="0"/>
              <w:ind w:left="0" w:right="0" w:hanging="0"/>
              <w:jc w:val="left"/>
              <w:rPr/>
            </w:pPr>
            <w:r>
              <w:rPr/>
              <w:t>​</w:t>
            </w:r>
          </w:p>
        </w:tc>
        <w:tc>
          <w:tcPr>
            <w:tcW w:w="261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2021</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Licensed Games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to our in-house developed mobile and PC games, we also offer games licensed from other international game developers, including Blizzard and Microsoft. For further details, see Item 4.B. “Information on the Company—Business Overview—Our Services—Games and Related Value-added Services—International Partnerships.” Revenues from licensed games accounted for 9.5%, 9.5% and 4.6% of our total revenues in 2021, 2022 and 2023, respectively.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Global Presence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continue to advance our games and make inroads that expand our reach in overseas markets. We have launched numerous mobile games in global markets since 2015. Our mobile game, </w:t>
      </w:r>
      <w:r>
        <w:rPr>
          <w:rFonts w:ascii="Times New Roman;Times;serif" w:hAnsi="Times New Roman;Times;serif"/>
          <w:i/>
          <w:sz w:val="20"/>
        </w:rPr>
        <w:t>Knives Out</w:t>
      </w:r>
      <w:r>
        <w:rPr>
          <w:rFonts w:ascii="Times New Roman;Times;serif" w:hAnsi="Times New Roman;Times;serif"/>
          <w:sz w:val="20"/>
        </w:rPr>
        <w:t xml:space="preserve">, has remained popular in Japan since its launch in 2017 and topped Japan’s iOS grossing chart multiple times in 2021 and in 2022. </w:t>
      </w:r>
      <w:r>
        <w:rPr>
          <w:rFonts w:ascii="Times New Roman;Times;serif" w:hAnsi="Times New Roman;Times;serif"/>
          <w:i/>
          <w:sz w:val="20"/>
        </w:rPr>
        <w:t>Identity V</w:t>
      </w:r>
      <w:r>
        <w:rPr>
          <w:rFonts w:ascii="Times New Roman;Times;serif" w:hAnsi="Times New Roman;Times;serif"/>
          <w:sz w:val="20"/>
        </w:rPr>
        <w:t xml:space="preserve">, which we launched in Japan in 2018, and </w:t>
      </w:r>
      <w:r>
        <w:rPr>
          <w:rFonts w:ascii="Times New Roman;Times;serif" w:hAnsi="Times New Roman;Times;serif"/>
          <w:i/>
          <w:sz w:val="20"/>
        </w:rPr>
        <w:t>LifeAfter</w:t>
      </w:r>
      <w:r>
        <w:rPr>
          <w:rFonts w:ascii="Times New Roman;Times;serif" w:hAnsi="Times New Roman;Times;serif"/>
          <w:sz w:val="20"/>
        </w:rPr>
        <w:t>, which we launched in Japan in 2019, were also ranked in Japan’s iOS grossing chart multiple times in 2021 and in 2022 further evidencing our potential to operate a diverse range of games in overseas markets over the long term.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addition to our success in Japan, we have expanded our footprint across more regions. In 2021, we launched </w:t>
      </w:r>
      <w:r>
        <w:rPr>
          <w:rFonts w:ascii="Times New Roman;Times;serif" w:hAnsi="Times New Roman;Times;serif"/>
          <w:i/>
          <w:sz w:val="20"/>
        </w:rPr>
        <w:t>The Lord of the Rings: Rise to War</w:t>
      </w:r>
      <w:r>
        <w:rPr>
          <w:rFonts w:ascii="Times New Roman;Times;serif" w:hAnsi="Times New Roman;Times;serif"/>
          <w:sz w:val="20"/>
        </w:rPr>
        <w:t xml:space="preserve"> in Europe, the Americas, Oceania and Southeast Asia. In June 2022, we launched </w:t>
      </w:r>
      <w:r>
        <w:rPr>
          <w:rFonts w:ascii="Times New Roman;Times;serif" w:hAnsi="Times New Roman;Times;serif"/>
          <w:i/>
          <w:sz w:val="20"/>
        </w:rPr>
        <w:t xml:space="preserve">Naraka: Bladepoint </w:t>
      </w:r>
      <w:r>
        <w:rPr>
          <w:rFonts w:ascii="Times New Roman;Times;serif" w:hAnsi="Times New Roman;Times;serif"/>
          <w:sz w:val="20"/>
        </w:rPr>
        <w:t xml:space="preserve">on Xbox Series X and S and with Xbox Game Pass for console and PC globally. In the first two weeks of the title being available on the Xbox console, an impressive one million new players have joined the game, which is known for its fast-paced and agile melee combat. In 2023, we launched </w:t>
      </w:r>
      <w:r>
        <w:rPr>
          <w:rFonts w:ascii="Times New Roman;Times;serif" w:hAnsi="Times New Roman;Times;serif"/>
          <w:i/>
          <w:sz w:val="20"/>
        </w:rPr>
        <w:t xml:space="preserve">Racing Master </w:t>
      </w:r>
      <w:r>
        <w:rPr>
          <w:rFonts w:ascii="Times New Roman;Times;serif" w:hAnsi="Times New Roman;Times;serif"/>
          <w:sz w:val="20"/>
        </w:rPr>
        <w:t>in Hong Kong, Macau and Taiwan, which quickly gained widespread acclaim.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also strengthened our global R&amp;D capabilities by launching or acquiring overseas game studios and working with top international game developers. For example: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We launched our first game studio in Montréal, Canada in 2019 and subsequently appointed industry veteran Emile Liang as its lead producer, bringing the studio more than two decades of rich industry expertise in triple-A game production. Then we acquired SkyBox Labs, a full-service game studio founded in 2011 and based in Burnaby and Victoria, Canada. Subsequently, we launched two new game studios in Canada: Bad Brain Game Studios, led by Sean Crooks, an experienced producer who has worked on the </w:t>
            </w:r>
            <w:r>
              <w:rPr>
                <w:rFonts w:ascii="Times New Roman;Times;serif" w:hAnsi="Times New Roman;Times;serif"/>
                <w:b w:val="false"/>
                <w:i/>
                <w:sz w:val="20"/>
              </w:rPr>
              <w:t xml:space="preserve">Watch Dogs </w:t>
            </w:r>
            <w:r>
              <w:rPr>
                <w:rFonts w:ascii="Times New Roman;Times;serif" w:hAnsi="Times New Roman;Times;serif"/>
                <w:b w:val="false"/>
                <w:i w:val="false"/>
                <w:caps w:val="false"/>
                <w:smallCaps w:val="false"/>
                <w:sz w:val="20"/>
              </w:rPr>
              <w:t xml:space="preserve">franchise, and </w:t>
            </w:r>
            <w:r>
              <w:rPr>
                <w:rFonts w:ascii="Times New Roman;Times;serif" w:hAnsi="Times New Roman;Times;serif"/>
                <w:b w:val="false"/>
                <w:i/>
                <w:sz w:val="20"/>
              </w:rPr>
              <w:t xml:space="preserve">Driver: San Francisco </w:t>
            </w:r>
            <w:r>
              <w:rPr>
                <w:rFonts w:ascii="Times New Roman;Times;serif" w:hAnsi="Times New Roman;Times;serif"/>
                <w:b w:val="false"/>
                <w:i w:val="false"/>
                <w:caps w:val="false"/>
                <w:smallCaps w:val="false"/>
                <w:sz w:val="20"/>
              </w:rPr>
              <w:t>and Worlds Untold, led by Mac Walters, an experienced producer and industry veteran with over two decades of experience in games and writing, including his work on the acclaimed Mass Effect titles.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In Japan, we have launched several game studios in the past few years, such as Sakura Studio in 2020, and Nagoshi Studio Inc. in 2022, which is led by Toshihiro Nagoshi, the former producer of the </w:t>
            </w:r>
            <w:r>
              <w:rPr>
                <w:rFonts w:ascii="Times New Roman;Times;serif" w:hAnsi="Times New Roman;Times;serif"/>
                <w:b w:val="false"/>
                <w:i/>
                <w:sz w:val="20"/>
              </w:rPr>
              <w:t>Yakuza</w:t>
            </w:r>
            <w:r>
              <w:rPr>
                <w:caps w:val="false"/>
                <w:smallCaps w:val="false"/>
              </w:rPr>
              <w:t xml:space="preserve"> </w:t>
            </w:r>
            <w:r>
              <w:rPr>
                <w:rFonts w:ascii="Times New Roman;Times;serif" w:hAnsi="Times New Roman;Times;serif"/>
                <w:b w:val="false"/>
                <w:i w:val="false"/>
                <w:caps w:val="false"/>
                <w:smallCaps w:val="false"/>
                <w:sz w:val="20"/>
              </w:rPr>
              <w:t>game series. In 2021, we also acquired Grasshopper Manufacture Inc., an interactive entertainment software development company based in Tokyo which has more than 20 years of experience in console-focused game development and successfully developed more than 25 games. In 2023, we established a new game studio named PinCool, Inc. based in Tokyo which mainly focuses on developing titles for game consoles and is involved in planning and producing a range of additional forms of entertainment.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We established our first-ever first-party U.S. studio, Jackalope Games, in 2022 to create new and exciting PC and console games, which is led by industry veteran Jack Emmert who has worked on numerous well-known games. In the same year, we set up another U.S.-based first-party studio, Jar of Sparks, led by Jerry Hook, the former Head of Design on the game </w:t>
            </w:r>
            <w:r>
              <w:rPr>
                <w:rFonts w:ascii="Times New Roman;Times;serif" w:hAnsi="Times New Roman;Times;serif"/>
                <w:b w:val="false"/>
                <w:i/>
                <w:sz w:val="20"/>
              </w:rPr>
              <w:t>Halo Infinite</w:t>
            </w:r>
            <w:r>
              <w:rPr>
                <w:rFonts w:ascii="Times New Roman;Times;serif" w:hAnsi="Times New Roman;Times;serif"/>
                <w:b w:val="false"/>
                <w:i w:val="false"/>
                <w:caps w:val="false"/>
                <w:smallCaps w:val="false"/>
                <w:sz w:val="20"/>
              </w:rPr>
              <w:t xml:space="preserve">. In 2023, we established two new game studios in the U.S.: Fantastic Pixel Castle, led by an experienced creative design leader, Greg Street, who led development on massively successful games including </w:t>
            </w:r>
            <w:r>
              <w:rPr>
                <w:rFonts w:ascii="Times New Roman;Times;serif" w:hAnsi="Times New Roman;Times;serif"/>
                <w:b w:val="false"/>
                <w:i/>
                <w:sz w:val="20"/>
              </w:rPr>
              <w:t xml:space="preserve">World of Warcraft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sz w:val="20"/>
              </w:rPr>
              <w:t>League of Legends</w:t>
            </w:r>
            <w:r>
              <w:rPr>
                <w:rFonts w:ascii="Times New Roman;Times;serif" w:hAnsi="Times New Roman;Times;serif"/>
                <w:b w:val="false"/>
                <w:i w:val="false"/>
                <w:caps w:val="false"/>
                <w:smallCaps w:val="false"/>
                <w:sz w:val="20"/>
              </w:rPr>
              <w:t xml:space="preserve">, and T-Minus Zero Entertainment, led by Rich Vogel, an experienced studio head who led development on </w:t>
            </w:r>
            <w:r>
              <w:rPr>
                <w:rFonts w:ascii="Times New Roman;Times;serif" w:hAnsi="Times New Roman;Times;serif"/>
                <w:b w:val="false"/>
                <w:i/>
                <w:sz w:val="20"/>
              </w:rPr>
              <w:t>Ultima Online</w:t>
            </w:r>
            <w:r>
              <w:rPr>
                <w:caps w:val="false"/>
                <w:smallCaps w:val="false"/>
              </w:rPr>
              <w:t xml:space="preserve">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sz w:val="20"/>
              </w:rPr>
              <w:t>Star Wars: The Old Republic.</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2022, we acquired Quantic Dream S.A., one of the premier independent game developers in the world based in Paris, France and Montréal, Canada. Quantic Dream is known for creating games with a strong narrative focus and nonlinear stories that reward players’ choices.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early 2023, we announced the establishment of Spliced Inc Limited, a new global, remote-working game studio which brings together a talented group of passionate industry veterans from a variety of backgrounds, including participating in the development of a number of major gaming franchise. Subsequently, we also announced the establishment of Anchor Point Studios, with its main hub in Spain, which is dedicated to developing action-adventure games for console and PC that push the boundaries of entertainment and bring elements of surprise into the gameplay.</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also invest in other leading global studios across the world to strengthen our development capabilities and diversity, including investments in Bungie, a game studio in the United States which was later acquired by Sony Interactive Entertainment LLC, and Behaviour Interactive Inc., one of Canada’s leading independent game studios.</w:t>
      </w:r>
    </w:p>
    <w:p>
      <w:pPr>
        <w:pStyle w:val="TextBody"/>
        <w:bidi w:val="0"/>
        <w:spacing w:before="0" w:after="240"/>
        <w:ind w:left="0" w:right="0" w:firstLine="720"/>
        <w:jc w:val="both"/>
        <w:rPr>
          <w:rFonts w:ascii="Times New Roman;Times;serif" w:hAnsi="Times New Roman;Times;serif"/>
          <w:b/>
          <w:i/>
          <w:sz w:val="20"/>
        </w:rPr>
      </w:pPr>
      <w:r>
        <w:rPr>
          <w:rFonts w:ascii="Times New Roman;Times;serif" w:hAnsi="Times New Roman;Times;serif"/>
          <w:b/>
          <w:i/>
          <w:sz w:val="20"/>
        </w:rPr>
        <w:t xml:space="preserve">International Partnerships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Building on our strong in-house content development capabilities, we have formed strategic partnerships and collaborations with world-famous game studios and content owners. As a leader in online games in China, we have successfully partnered with leading international game studios and content owners with our development and operational capabilities, such as Blizzard, Marvel, Microsoft and Warner Bros. Games, to co-develop and/or operate games in China and abroad. In addition, we established a series of IP collaborations with various third parties.</w:t>
      </w:r>
    </w:p>
    <w:p>
      <w:pPr>
        <w:pStyle w:val="TextBody"/>
        <w:bidi w:val="0"/>
        <w:spacing w:lineRule="auto" w:line="240"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For example, we entered into an exclusive license agreement with Blizzard in 2024 to operate a number of its titles including </w:t>
      </w:r>
      <w:r>
        <w:rPr>
          <w:rFonts w:ascii="Times New Roman;Times;serif" w:hAnsi="Times New Roman;Times;serif"/>
          <w:i/>
          <w:sz w:val="20"/>
        </w:rPr>
        <w:t>World of Warcraft</w:t>
      </w:r>
      <w:r>
        <w:rPr>
          <w:rFonts w:ascii="Times New Roman;Times;serif" w:hAnsi="Times New Roman;Times;serif"/>
          <w:sz w:val="15"/>
        </w:rPr>
        <w:t>®</w:t>
      </w:r>
      <w:r>
        <w:rPr>
          <w:rFonts w:ascii="Times New Roman;Times;serif" w:hAnsi="Times New Roman;Times;serif"/>
          <w:sz w:val="20"/>
        </w:rPr>
        <w:t xml:space="preserve">, </w:t>
      </w:r>
      <w:r>
        <w:rPr>
          <w:rFonts w:ascii="Times New Roman;Times;serif" w:hAnsi="Times New Roman;Times;serif"/>
          <w:i/>
          <w:sz w:val="20"/>
        </w:rPr>
        <w:t>Hearthstone</w:t>
      </w:r>
      <w:r>
        <w:rPr>
          <w:rFonts w:ascii="Times New Roman;Times;serif" w:hAnsi="Times New Roman;Times;serif"/>
          <w:i/>
          <w:sz w:val="15"/>
        </w:rPr>
        <w:t>®</w:t>
      </w:r>
      <w:r>
        <w:rPr>
          <w:rFonts w:ascii="Times New Roman;Times;serif" w:hAnsi="Times New Roman;Times;serif"/>
          <w:sz w:val="20"/>
        </w:rPr>
        <w:t xml:space="preserve"> </w:t>
      </w:r>
      <w:r>
        <w:rPr>
          <w:rFonts w:ascii="Times New Roman;Times;serif" w:hAnsi="Times New Roman;Times;serif"/>
          <w:i/>
          <w:sz w:val="20"/>
        </w:rPr>
        <w:t>and other titles in the Warcraft</w:t>
      </w:r>
      <w:r>
        <w:rPr>
          <w:rFonts w:ascii="Times New Roman;Times;serif" w:hAnsi="Times New Roman;Times;serif"/>
          <w:i/>
          <w:sz w:val="15"/>
        </w:rPr>
        <w:t>®</w:t>
      </w:r>
      <w:r>
        <w:rPr>
          <w:rFonts w:ascii="Times New Roman;Times;serif" w:hAnsi="Times New Roman;Times;serif"/>
          <w:i/>
          <w:sz w:val="20"/>
        </w:rPr>
        <w:t>, Overwatch</w:t>
      </w:r>
      <w:r>
        <w:rPr>
          <w:rFonts w:ascii="Times New Roman;Times;serif" w:hAnsi="Times New Roman;Times;serif"/>
          <w:i/>
          <w:sz w:val="15"/>
        </w:rPr>
        <w:t>®</w:t>
      </w:r>
      <w:r>
        <w:rPr>
          <w:rFonts w:ascii="Times New Roman;Times;serif" w:hAnsi="Times New Roman;Times;serif"/>
          <w:i/>
          <w:sz w:val="20"/>
        </w:rPr>
        <w:t>, Diablo</w:t>
      </w:r>
      <w:r>
        <w:rPr>
          <w:rFonts w:ascii="Times New Roman;Times;serif" w:hAnsi="Times New Roman;Times;serif"/>
          <w:i/>
          <w:sz w:val="15"/>
        </w:rPr>
        <w:t>®</w:t>
      </w:r>
      <w:r>
        <w:rPr>
          <w:rFonts w:ascii="Times New Roman;Times;serif" w:hAnsi="Times New Roman;Times;serif"/>
          <w:i/>
          <w:sz w:val="20"/>
        </w:rPr>
        <w:t>, and StarCraft</w:t>
      </w:r>
      <w:r>
        <w:rPr>
          <w:rFonts w:ascii="Times New Roman;Times;serif" w:hAnsi="Times New Roman;Times;serif"/>
          <w:i/>
          <w:sz w:val="15"/>
        </w:rPr>
        <w:t>®</w:t>
      </w:r>
      <w:r>
        <w:rPr>
          <w:rFonts w:ascii="Times New Roman;Times;serif" w:hAnsi="Times New Roman;Times;serif"/>
          <w:sz w:val="20"/>
        </w:rPr>
        <w:t xml:space="preserve"> </w:t>
      </w:r>
      <w:r>
        <w:rPr>
          <w:rFonts w:ascii="Times New Roman;Times;serif" w:hAnsi="Times New Roman;Times;serif"/>
          <w:i/>
          <w:sz w:val="20"/>
        </w:rPr>
        <w:t>universes</w:t>
      </w:r>
      <w:r>
        <w:rPr>
          <w:rFonts w:ascii="Times New Roman;Times;serif" w:hAnsi="Times New Roman;Times;serif"/>
          <w:sz w:val="20"/>
        </w:rPr>
        <w:t xml:space="preserve"> in China mainland. We had previously partnered with Blizzard for the operation of many of these games pursuant to a prior license arrangement from 2008 to 2023. </w:t>
      </w:r>
    </w:p>
    <w:p>
      <w:pPr>
        <w:pStyle w:val="TextBody"/>
        <w:bidi w:val="0"/>
        <w:spacing w:lineRule="auto" w:line="240"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have also co-developed and successfully launched </w:t>
      </w:r>
      <w:r>
        <w:rPr>
          <w:rFonts w:ascii="Times New Roman;Times;serif" w:hAnsi="Times New Roman;Times;serif"/>
          <w:i/>
          <w:sz w:val="20"/>
        </w:rPr>
        <w:t>Diablo</w:t>
      </w:r>
      <w:r>
        <w:rPr>
          <w:rFonts w:ascii="Times New Roman;Times;serif" w:hAnsi="Times New Roman;Times;serif"/>
          <w:i/>
          <w:sz w:val="15"/>
        </w:rPr>
        <w:t>®</w:t>
      </w:r>
      <w:r>
        <w:rPr>
          <w:rFonts w:ascii="Times New Roman;Times;serif" w:hAnsi="Times New Roman;Times;serif"/>
          <w:sz w:val="20"/>
        </w:rPr>
        <w:t xml:space="preserve"> </w:t>
      </w:r>
      <w:r>
        <w:rPr>
          <w:rFonts w:ascii="Times New Roman;Times;serif" w:hAnsi="Times New Roman;Times;serif"/>
          <w:i/>
          <w:sz w:val="20"/>
        </w:rPr>
        <w:t>Immortal</w:t>
      </w:r>
      <w:r>
        <w:rPr>
          <w:rFonts w:ascii="Times New Roman;Times;serif" w:hAnsi="Times New Roman;Times;serif"/>
          <w:sz w:val="15"/>
        </w:rPr>
        <w:t>TM</w:t>
      </w:r>
      <w:r>
        <w:rPr>
          <w:rFonts w:ascii="Times New Roman;Times;serif" w:hAnsi="Times New Roman;Times;serif"/>
          <w:sz w:val="20"/>
        </w:rPr>
        <w:t xml:space="preserve">, an MMO action-RPG, with Blizzard in 2022 and entered into a license agreement with Marvel in May 2019 to create original entertainment content based on internationally beloved Marvel characters and stories. We commercially launched </w:t>
      </w:r>
      <w:r>
        <w:rPr>
          <w:rFonts w:ascii="Times New Roman;Times;serif" w:hAnsi="Times New Roman;Times;serif"/>
          <w:i/>
          <w:sz w:val="20"/>
        </w:rPr>
        <w:t xml:space="preserve">Marvel Duel </w:t>
      </w:r>
      <w:r>
        <w:rPr>
          <w:rFonts w:ascii="Times New Roman;Times;serif" w:hAnsi="Times New Roman;Times;serif"/>
          <w:sz w:val="20"/>
        </w:rPr>
        <w:t xml:space="preserve">in 2020 and are continuing our joint product development in games that feature Marvel characters for users in China and beyond. In 2019, we launched in the PRC </w:t>
      </w:r>
      <w:r>
        <w:rPr>
          <w:rFonts w:ascii="Times New Roman;Times;serif" w:hAnsi="Times New Roman;Times;serif"/>
          <w:i/>
          <w:sz w:val="20"/>
        </w:rPr>
        <w:t>Sky</w:t>
      </w:r>
      <w:r>
        <w:rPr>
          <w:rFonts w:ascii="Times New Roman;Times;serif" w:hAnsi="Times New Roman;Times;serif"/>
          <w:sz w:val="20"/>
        </w:rPr>
        <w:t xml:space="preserve"> which is an award-winning adventure mobile game featuring unique graphics and gameplay that we have licensed from thatgamecompany, Inc.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addition, in May 2016, we entered into an exclusive agreement with Microsoft, pursuant to which Microsoft agreed to license both the mobile and PC versions of </w:t>
      </w:r>
      <w:r>
        <w:rPr>
          <w:rFonts w:ascii="Times New Roman;Times;serif" w:hAnsi="Times New Roman;Times;serif"/>
          <w:i/>
          <w:sz w:val="20"/>
        </w:rPr>
        <w:t>Minecraft</w:t>
      </w:r>
      <w:r>
        <w:rPr>
          <w:rFonts w:ascii="Times New Roman;Times;serif" w:hAnsi="Times New Roman;Times;serif"/>
          <w:sz w:val="20"/>
        </w:rPr>
        <w:t xml:space="preserve"> to us for operation in China until 2022. The term of such license was extended in 2019 and further renewed in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have co-developed the mobile game </w:t>
      </w:r>
      <w:r>
        <w:rPr>
          <w:rFonts w:ascii="Times New Roman;Times;serif" w:hAnsi="Times New Roman;Times;serif"/>
          <w:i/>
          <w:sz w:val="20"/>
        </w:rPr>
        <w:t xml:space="preserve">Harry Potter: Magic Awakened </w:t>
      </w:r>
      <w:r>
        <w:rPr>
          <w:rFonts w:ascii="Times New Roman;Times;serif" w:hAnsi="Times New Roman;Times;serif"/>
          <w:sz w:val="20"/>
        </w:rPr>
        <w:t>with Warner Bros. Games under the Portkey Games label. We successfully launched this game in Chinese mainland, Hong Kong, Macau and Taiwan in September 2021 and launched it globally across various platforms in June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continue to establish and deepen collaboration with other leading international game studios, including entering into a joint development agreement with Codemasters, a leading United Kingdom game studio focusing on racing games. In conjunction with Codemasters, we launched </w:t>
      </w:r>
      <w:r>
        <w:rPr>
          <w:rFonts w:ascii="Times New Roman;Times;serif" w:hAnsi="Times New Roman;Times;serif"/>
          <w:i/>
          <w:sz w:val="20"/>
        </w:rPr>
        <w:t>Racing Master</w:t>
      </w:r>
      <w:r>
        <w:rPr>
          <w:rFonts w:ascii="Times New Roman;Times;serif" w:hAnsi="Times New Roman;Times;serif"/>
          <w:sz w:val="20"/>
        </w:rPr>
        <w:t>, a real-time simulation racing game that has gained widespread acclaim in Hong Kong, Macau, Taiwan and the PRC.</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Game Design and Development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Building upon the success of our classic titles, we have accumulated a better and deeper understanding of our users in terms of their interests and preferences in style, aesthetics and gameplay. We have integrated our experience and know-how into the design of our new games, enhancing our ability to deliver popular titles to users. We have established multiple studios of game developers to research and develop new games and expansion packs.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Our Franchises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continue to build upon existing successful games to offer multi-dimensional content by leveraging our in-house developed franchises and intellectual property. Our </w:t>
      </w:r>
      <w:r>
        <w:rPr>
          <w:rFonts w:ascii="Times New Roman;Times;serif" w:hAnsi="Times New Roman;Times;serif"/>
          <w:i/>
          <w:sz w:val="20"/>
        </w:rPr>
        <w:t>Fantasy Westward Journey</w:t>
      </w:r>
      <w:r>
        <w:rPr>
          <w:rFonts w:ascii="Times New Roman;Times;serif" w:hAnsi="Times New Roman;Times;serif"/>
          <w:sz w:val="20"/>
        </w:rPr>
        <w:t xml:space="preserve"> and </w:t>
      </w:r>
      <w:r>
        <w:rPr>
          <w:rFonts w:ascii="Times New Roman;Times;serif" w:hAnsi="Times New Roman;Times;serif"/>
          <w:i/>
          <w:sz w:val="20"/>
        </w:rPr>
        <w:t>Westward Journey Online</w:t>
      </w:r>
      <w:r>
        <w:rPr>
          <w:rFonts w:ascii="Times New Roman;Times;serif" w:hAnsi="Times New Roman;Times;serif"/>
          <w:sz w:val="20"/>
        </w:rPr>
        <w:t xml:space="preserve"> franchises remain popular and have been instilled in the collective memory of a generation of Chinese players. We further expanded the reach of these franchises through the introduction of </w:t>
      </w:r>
      <w:r>
        <w:rPr>
          <w:rFonts w:ascii="Times New Roman;Times;serif" w:hAnsi="Times New Roman;Times;serif"/>
          <w:i/>
          <w:sz w:val="20"/>
        </w:rPr>
        <w:t>Fantasy Westward Journey 3D</w:t>
      </w:r>
      <w:r>
        <w:rPr>
          <w:rFonts w:ascii="Times New Roman;Times;serif" w:hAnsi="Times New Roman;Times;serif"/>
          <w:sz w:val="20"/>
        </w:rPr>
        <w:t xml:space="preserve"> and </w:t>
      </w:r>
      <w:r>
        <w:rPr>
          <w:rFonts w:ascii="Times New Roman;Times;serif" w:hAnsi="Times New Roman;Times;serif"/>
          <w:i/>
          <w:sz w:val="20"/>
        </w:rPr>
        <w:t>Fantasy Westward Journey H5</w:t>
      </w:r>
      <w:r>
        <w:rPr>
          <w:rFonts w:ascii="Times New Roman;Times;serif" w:hAnsi="Times New Roman;Times;serif"/>
          <w:sz w:val="20"/>
        </w:rPr>
        <w:t xml:space="preserve"> in 2019 and 2020, respectively, captivating both returning fans and new players. We subsequently successfully launched </w:t>
      </w:r>
      <w:r>
        <w:rPr>
          <w:rFonts w:ascii="Times New Roman;Times;serif" w:hAnsi="Times New Roman;Times;serif"/>
          <w:i/>
          <w:sz w:val="20"/>
        </w:rPr>
        <w:t>Westward Journey Return</w:t>
      </w:r>
      <w:r>
        <w:rPr>
          <w:rFonts w:ascii="Times New Roman;Times;serif" w:hAnsi="Times New Roman;Times;serif"/>
          <w:sz w:val="20"/>
        </w:rPr>
        <w:t xml:space="preserve"> in early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addition to growing and strengthening our existing franchises, we have continually incubated new ideas and delivered new and long-lasting game titles to our users. For example, one of our in-house developed young IPs is </w:t>
      </w:r>
      <w:r>
        <w:rPr>
          <w:rFonts w:ascii="Times New Roman;Times;serif" w:hAnsi="Times New Roman;Times;serif"/>
          <w:i/>
          <w:sz w:val="20"/>
        </w:rPr>
        <w:t>Identity V</w:t>
      </w:r>
      <w:r>
        <w:rPr>
          <w:rFonts w:ascii="Times New Roman;Times;serif" w:hAnsi="Times New Roman;Times;serif"/>
          <w:sz w:val="20"/>
        </w:rPr>
        <w:t xml:space="preserve">, which we believe has the potential to become another successful NetEase franchise. We are continually enriching this IP through a variety of initiatives, including e-sports, game collaborations and off-line activities. We have hosted a number of high-profile events featuring </w:t>
      </w:r>
      <w:r>
        <w:rPr>
          <w:rFonts w:ascii="Times New Roman;Times;serif" w:hAnsi="Times New Roman;Times;serif"/>
          <w:i/>
          <w:sz w:val="20"/>
        </w:rPr>
        <w:t>Identity V</w:t>
      </w:r>
      <w:r>
        <w:rPr>
          <w:rFonts w:ascii="Times New Roman;Times;serif" w:hAnsi="Times New Roman;Times;serif"/>
          <w:sz w:val="20"/>
        </w:rPr>
        <w:t xml:space="preserve">, including both international and regional series tournaments. More recently, we drove strong revenue and user growth of </w:t>
      </w:r>
      <w:r>
        <w:rPr>
          <w:rFonts w:ascii="Times New Roman;Times;serif" w:hAnsi="Times New Roman;Times;serif"/>
          <w:i/>
          <w:sz w:val="20"/>
        </w:rPr>
        <w:t>Eggy Party</w:t>
      </w:r>
      <w:r>
        <w:rPr>
          <w:rFonts w:ascii="Times New Roman;Times;serif" w:hAnsi="Times New Roman;Times;serif"/>
          <w:sz w:val="20"/>
        </w:rPr>
        <w:t>, a casual party mobile game initially launched in the Chinese mainland in 2022, accumulating the highest daily active users of any game in our history.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prerequisite to building a successful franchise is the ability to create popular game IPs in-house, which is propelled by our strong R&amp;D capabilities. Over the past two decades, we have built a large in-house R&amp;D team with talented and passionate game creators. We empower each of our talent with our game-enthusiastic corporate culture and our carefully-designed training programs. For more description on our R&amp;D capabilities, see Item 4.B. “Information on the Company—Business Overview—Our Services—Games and Related Value-added Services—Game R&amp;D and Technologies.”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Content Quality and User Experience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focus on providing an innovative and superior user experience in game design and development and strive to make games of the highest quality. From the initial proposal to final launch, our games will typically go through a number of carefully designed steps including market research, proposal, demo, repeated prototype review and beta testing to ensure that the best quality and user experience can be delivered to our players.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to creating a highly realistic and immersive gaming experience through the use of advanced technologies, we also employ innovative gamification thinking that takes into consideration both the in-game and out-of-game user experience. We have also launched offline gaming experience stores to allow for dynamic and spontaneous offline interactions among game players, as well as create an offline user feedback channel.</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Game R&amp;D and Technologies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consistent and significant investment in innovative game R&amp;D is a key contributor to the success of our online game business and has been widely recognized in the games industry. During the 2022 Chinese Games Industry Annual Conference, a conference supervised by the NPPA and organized by China Audio-video and Digital Publishing Association, Guangzhou NetEase was named as the Enterprise for Excellent Technological Innovation, and our game </w:t>
      </w:r>
      <w:r>
        <w:rPr>
          <w:rFonts w:ascii="Times New Roman;Times;serif" w:hAnsi="Times New Roman;Times;serif"/>
          <w:i/>
          <w:sz w:val="20"/>
        </w:rPr>
        <w:t>Infinite Lagrange</w:t>
      </w:r>
      <w:r>
        <w:rPr>
          <w:rFonts w:ascii="Times New Roman;Times;serif" w:hAnsi="Times New Roman;Times;serif"/>
          <w:sz w:val="20"/>
        </w:rPr>
        <w:t xml:space="preserve"> was awarded for Excellence in Game Art Design.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Our Proprietary Game R&amp;D Capabilities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Proprietary R&amp;D is the key focus of our game business. We continually strengthen and upgrade our game R&amp;D infrastructure through recruiting and cultivating top talent, optimizing our game production pipeline and fostering a culture of creativity and innovation. We have founded a number of in-house research institutions to explore the application of various technologies in games.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strive to recruit and grow the best talent in the industry. Our </w:t>
      </w:r>
      <w:r>
        <w:rPr>
          <w:rFonts w:ascii="Times New Roman;Times;serif" w:hAnsi="Times New Roman;Times;serif"/>
          <w:i/>
          <w:sz w:val="20"/>
        </w:rPr>
        <w:t>NetEase Games Academy</w:t>
      </w:r>
      <w:r>
        <w:rPr>
          <w:rFonts w:ascii="Times New Roman;Times;serif" w:hAnsi="Times New Roman;Times;serif"/>
          <w:sz w:val="20"/>
        </w:rPr>
        <w:t xml:space="preserve"> is widely recognized in China as a premier online games training institution which offer a wide range of programs for creative minds. We were awarded the 2023-2024 ATD Excellence in Practice Award by the Association for Talent Development, one of the most authoritative international awards in the global talent development industry. In addition, we established our in-house game advanced technology research institutions to focus on researching, among other things, reinforcement learning, computer vision and graphics, natural language processing, speech synthesis and music generation. Having built a virtuous cycle among our talent, established development pipeline and dynamic culture of innovation and craftsmanship, our strong R&amp;D capabilities continue to enable high-quality production and expansion of successful games.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Key Game Technologies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game R&amp;D is centered around using technologies to deliver a superior and differentiated user experience. The key areas of our proprietary game technologies include: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Proprietary game engines:</w:t>
      </w:r>
      <w:r>
        <w:rPr>
          <w:rFonts w:ascii="Times New Roman;Times;serif" w:hAnsi="Times New Roman;Times;serif"/>
          <w:sz w:val="20"/>
        </w:rPr>
        <w:t xml:space="preserve"> In addition to game development, we have continually invested in proprietary game engine R&amp;D. Since the initial launch of our first game engine, NeoX, in 2005, we have continually expanded and optimized our proprietary engines to systematically support enhanced game features and aesthetics. As part of our early strategy to focus on mobile games, we successfully adapted NeoX to iOS and Android systems as well as developed Messiah, a 3D game engine specifically designed for mobile platforms. We believe that our R&amp;D in game engines and games reinforces each other and promotes a virtuous cycle of innovation. NeoX and Messiah enable us to systematically develop mobile games with the highest quality in lighting, audio, special effects, physics and animation, and other key game features, while our drive for better games in turn motivates development of more powerful engines.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User profile analytics:</w:t>
      </w:r>
      <w:r>
        <w:rPr>
          <w:rFonts w:ascii="Times New Roman;Times;serif" w:hAnsi="Times New Roman;Times;serif"/>
          <w:sz w:val="20"/>
        </w:rPr>
        <w:t xml:space="preserve"> We perform an in-depth analysis of our users profile by analyzing activities and performances in games, in-game purchasing preferences and other data and information. We leverage our user data on an aggregate basis to guide game development and upgrades, marketing and other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Intelligent non-player characters (NPCs): </w:t>
      </w:r>
      <w:r>
        <w:rPr>
          <w:rFonts w:ascii="Times New Roman;Times;serif" w:hAnsi="Times New Roman;Times;serif"/>
          <w:sz w:val="20"/>
        </w:rPr>
        <w:t xml:space="preserve">Enabled by deep learning technology, we have created intelligent NPCs that can join players’ in-game activities, simulate real-life interactions, facial expressions and body language and enable a more engaging gaming experience. We also deploy multiple reinforcement learning technologies to produce NPCs with diverse styles and difficulty levels, catering to a wide range of player preferences.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Natural language processing (NLP): </w:t>
      </w:r>
      <w:r>
        <w:rPr>
          <w:rFonts w:ascii="Times New Roman;Times;serif" w:hAnsi="Times New Roman;Times;serif"/>
          <w:sz w:val="20"/>
        </w:rPr>
        <w:t>We apply NLP technology in our games to enable players to develop their own storyline by carrying out conversations with NPCs and explore hidden elements in the game, creating an immersive gaming experience for players.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Advanced game graphics: </w:t>
      </w:r>
      <w:r>
        <w:rPr>
          <w:rFonts w:ascii="Times New Roman;Times;serif" w:hAnsi="Times New Roman;Times;serif"/>
          <w:sz w:val="20"/>
        </w:rPr>
        <w:t>Our advanced game graphics enable game players to create unique characters with customized facial features. We also offer automatic character customization based on real-life photographs uploaded by players. In addition, we deploy high-quality 3D game graphics and automatic scene generation in our games.</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Related Value-added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related value-added services include the NetEase CC live streaming service, a platform offering various live streaming content with primary focus on game broadcasting, and other related or ancillary value-added services related to games such as the sales of game-themed merchandise.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Intelligent Learning Services – Youdao</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Youdao’s Products and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Youdao is a leading technology-focused intelligent learning company in China and operates in a number of overseas markets. We founded Youdao in 2006 and launched the flagship Youdao Dictionary in 2007, which remains the top language app in China in terms of MAUs. Youdao has experienced rapid growth since its founding and completed its public listing on the New York Stock Exchange in October 2019.</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Building on the early success of Youdao Dictionary, we have attracted a massive user base, built a strong brand, and expanded into a broad range of products and services addressing people’s lifelong learning needs, including online knowledge tools, learning services, smart devices and education digitalization solutions. Youdao has historically offered a major portion of its services through its Academic AST Business, but it disposed of such business in 2021 in order to comply with applicable PRC regulatory requirements adopted by the PRC government. Leveraging its strong course and content development capabilities, accumulated from developing its Academic AST Business, Youdao continues to develop online learning services, which mainly include digital content services, STEAM courses, adult and vocational courses, and other courses such as </w:t>
      </w:r>
      <w:r>
        <w:rPr>
          <w:rFonts w:ascii="Times New Roman;Times;serif" w:hAnsi="Times New Roman;Times;serif"/>
          <w:i/>
          <w:sz w:val="20"/>
        </w:rPr>
        <w:t>China University MOOC</w:t>
      </w:r>
      <w:r>
        <w:rPr>
          <w:rFonts w:ascii="Times New Roman;Times;serif" w:hAnsi="Times New Roman;Times;serif"/>
          <w:sz w:val="20"/>
        </w:rPr>
        <w:t>. Youdao’s smart devices seamlessly integrate advanced artificial intelligence, or AI, algorithms and data analytics which supplement its online learning services and further enhance the user experience and efficiency.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Youdao’s revenues consist of three parts: learning services, smart devices and online marketing services. We currently generate the majority of the revenues of Youdao’s learning services from its tutoring services, which mainly include its online courses and digital content services. In addition, we generate revenues from sales of smart devices and from Youdao’s online marketing services through the provision of different formats of advertisements.</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Online Knowledge and AI Tools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Youdao Dictionary</w:t>
            </w:r>
            <w:r>
              <w:rPr>
                <w:rFonts w:ascii="Times New Roman;Times;serif" w:hAnsi="Times New Roman;Times;serif"/>
                <w:b w:val="false"/>
                <w:i w:val="false"/>
                <w:caps w:val="false"/>
                <w:smallCaps w:val="false"/>
                <w:sz w:val="20"/>
              </w:rPr>
              <w:t>. Launched in 2007, Youdao Dictionary is Youdao’s first major product and flagship online language tool. Today, it is China’s most popular and trusted online dictionary and translation tool with 45.8 million MAUs in 2023. As of December 31, 2023, Youdao Dictionary offered over 672 million entries across 109 languages.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Other Online Dictionary and Translation Tools</w:t>
            </w:r>
            <w:r>
              <w:rPr>
                <w:rFonts w:ascii="Times New Roman;Times;serif" w:hAnsi="Times New Roman;Times;serif"/>
                <w:b w:val="false"/>
                <w:i w:val="false"/>
                <w:caps w:val="false"/>
                <w:smallCaps w:val="false"/>
                <w:sz w:val="20"/>
              </w:rPr>
              <w:t>. In addition to Youdao Dictionary, we also offer Youdao Translation, a tool specifically designed to support translation needs of business and leisure travelers across over 31 languages via camera and speech translation, U-Dictionary, an online dictionary and translation app we offer in Indonesia and other overseas markets, and Youdao Kids’ Dictionary, a smart tool that offers translation services in Chinese and English.</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Interactive Learning Apps. </w:t>
            </w:r>
            <w:r>
              <w:rPr>
                <w:rFonts w:ascii="Times New Roman;Times;serif" w:hAnsi="Times New Roman;Times;serif"/>
                <w:b w:val="false"/>
                <w:i w:val="false"/>
                <w:caps w:val="false"/>
                <w:smallCaps w:val="false"/>
                <w:sz w:val="20"/>
              </w:rPr>
              <w:t>We offer a wide range of interactive learning apps to nearly all age groups. We are committed to delivering a fun and effective learning experience across these apps through an abundance of gamified features, as well as social functions allowing users and students to share their learning progress with friends through social networking platforms.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AI Tools</w:t>
            </w:r>
            <w:r>
              <w:rPr>
                <w:rFonts w:ascii="Times New Roman;Times;serif" w:hAnsi="Times New Roman;Times;serif"/>
                <w:b w:val="false"/>
                <w:i w:val="false"/>
                <w:caps w:val="false"/>
                <w:smallCaps w:val="false"/>
                <w:sz w:val="20"/>
              </w:rPr>
              <w:t xml:space="preserve">. We launched </w:t>
            </w:r>
            <w:r>
              <w:rPr>
                <w:rFonts w:ascii="Times New Roman;Times;serif" w:hAnsi="Times New Roman;Times;serif"/>
                <w:b w:val="false"/>
                <w:i/>
                <w:sz w:val="20"/>
              </w:rPr>
              <w:t>Ziyue</w:t>
            </w:r>
            <w:r>
              <w:rPr>
                <w:rFonts w:ascii="Times New Roman;Times;serif" w:hAnsi="Times New Roman;Times;serif"/>
                <w:b w:val="false"/>
                <w:i w:val="false"/>
                <w:caps w:val="false"/>
                <w:smallCaps w:val="false"/>
                <w:sz w:val="20"/>
              </w:rPr>
              <w:t xml:space="preserve">, our own large language model (LLM), in 2023, which is China’s first LLM specifically designed for the education sector. Powered by </w:t>
            </w:r>
            <w:r>
              <w:rPr>
                <w:rFonts w:ascii="Times New Roman;Times;serif" w:hAnsi="Times New Roman;Times;serif"/>
                <w:b w:val="false"/>
                <w:i/>
                <w:sz w:val="20"/>
              </w:rPr>
              <w:t>Ziyue</w:t>
            </w:r>
            <w:r>
              <w:rPr>
                <w:rFonts w:ascii="Times New Roman;Times;serif" w:hAnsi="Times New Roman;Times;serif"/>
                <w:b w:val="false"/>
                <w:i w:val="false"/>
                <w:caps w:val="false"/>
                <w:smallCaps w:val="false"/>
                <w:sz w:val="20"/>
              </w:rPr>
              <w:t xml:space="preserve">, we also launched </w:t>
            </w:r>
            <w:r>
              <w:rPr>
                <w:rFonts w:ascii="Times New Roman;Times;serif" w:hAnsi="Times New Roman;Times;serif"/>
                <w:b w:val="false"/>
                <w:i/>
                <w:sz w:val="20"/>
              </w:rPr>
              <w:t>Hi Echo</w:t>
            </w:r>
            <w:r>
              <w:rPr>
                <w:rFonts w:ascii="Times New Roman;Times;serif" w:hAnsi="Times New Roman;Times;serif"/>
                <w:b w:val="false"/>
                <w:i w:val="false"/>
                <w:caps w:val="false"/>
                <w:smallCaps w:val="false"/>
                <w:sz w:val="20"/>
              </w:rPr>
              <w:t xml:space="preserve">, an AI-driven virtual English-speaking tutor, and </w:t>
            </w:r>
            <w:r>
              <w:rPr>
                <w:rFonts w:ascii="Times New Roman;Times;serif" w:hAnsi="Times New Roman;Times;serif"/>
                <w:b w:val="false"/>
                <w:i/>
                <w:sz w:val="20"/>
              </w:rPr>
              <w:t>Mr. P AI Tutor</w:t>
            </w:r>
            <w:r>
              <w:rPr>
                <w:rFonts w:ascii="Times New Roman;Times;serif" w:hAnsi="Times New Roman;Times;serif"/>
                <w:b w:val="false"/>
                <w:i w:val="false"/>
                <w:caps w:val="false"/>
                <w:smallCaps w:val="false"/>
                <w:sz w:val="20"/>
              </w:rPr>
              <w:t xml:space="preserve">, a conversation-based tutorial function designed for real-time and multi-modality tutoring across major subjects for students. Additionally, throughout 2023, we launched a series of products and features powered by the </w:t>
            </w:r>
            <w:r>
              <w:rPr>
                <w:rFonts w:ascii="Times New Roman;Times;serif" w:hAnsi="Times New Roman;Times;serif"/>
                <w:b w:val="false"/>
                <w:i/>
                <w:sz w:val="20"/>
              </w:rPr>
              <w:t>Ziyue</w:t>
            </w:r>
            <w:r>
              <w:rPr>
                <w:caps w:val="false"/>
                <w:smallCaps w:val="false"/>
              </w:rPr>
              <w:t xml:space="preserve"> </w:t>
            </w:r>
            <w:r>
              <w:rPr>
                <w:rFonts w:ascii="Times New Roman;Times;serif" w:hAnsi="Times New Roman;Times;serif"/>
                <w:b w:val="false"/>
                <w:i w:val="false"/>
                <w:caps w:val="false"/>
                <w:smallCaps w:val="false"/>
                <w:sz w:val="20"/>
              </w:rPr>
              <w:t xml:space="preserve">LLM, including </w:t>
            </w:r>
            <w:r>
              <w:rPr>
                <w:rFonts w:ascii="Times New Roman;Times;serif" w:hAnsi="Times New Roman;Times;serif"/>
                <w:b w:val="false"/>
                <w:i/>
                <w:sz w:val="20"/>
              </w:rPr>
              <w:t xml:space="preserve">AIBox, AI writing refinement, AI translation, AI University Application Adviser, AI Q&amp;A, AI quiz recommendation </w:t>
            </w:r>
            <w:r>
              <w:rPr>
                <w:rFonts w:ascii="Times New Roman;Times;serif" w:hAnsi="Times New Roman;Times;serif"/>
                <w:b w:val="false"/>
                <w:i w:val="false"/>
                <w:caps w:val="false"/>
                <w:smallCaps w:val="false"/>
                <w:sz w:val="20"/>
              </w:rPr>
              <w:t>and</w:t>
            </w:r>
            <w:r>
              <w:rPr/>
              <w:t xml:space="preserve"> </w:t>
            </w:r>
            <w:r>
              <w:rPr>
                <w:rFonts w:ascii="Times New Roman;Times;serif" w:hAnsi="Times New Roman;Times;serif"/>
                <w:b w:val="false"/>
                <w:i/>
                <w:sz w:val="20"/>
              </w:rPr>
              <w:t>AI grammar instruction</w:t>
            </w:r>
            <w:r>
              <w:rPr>
                <w:rFonts w:ascii="Times New Roman;Times;serif" w:hAnsi="Times New Roman;Times;serif"/>
                <w:b w:val="false"/>
                <w:i w:val="false"/>
                <w:caps w:val="false"/>
                <w:smallCaps w:val="false"/>
                <w:sz w:val="20"/>
              </w:rPr>
              <w:t>.</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Learning Services.</w:t>
      </w:r>
      <w:r>
        <w:rPr>
          <w:rFonts w:ascii="Times New Roman;Times;serif" w:hAnsi="Times New Roman;Times;serif"/>
          <w:sz w:val="20"/>
        </w:rPr>
        <w:t xml:space="preserve"> We have developed a comprehensive offering of learning services catering to the diverse learning needs of different age groups. Our learning service offerings primarily consist of (i) STEAM courses, (ii) digital content services, (iii) adult and vocational courses, and (iv) other courses, such as </w:t>
      </w:r>
      <w:r>
        <w:rPr>
          <w:rFonts w:ascii="Times New Roman;Times;serif" w:hAnsi="Times New Roman;Times;serif"/>
          <w:i/>
          <w:sz w:val="20"/>
        </w:rPr>
        <w:t>China University MOOC</w:t>
      </w:r>
      <w:r>
        <w:rPr>
          <w:rFonts w:ascii="Times New Roman;Times;serif" w:hAnsi="Times New Roman;Times;serif"/>
          <w:sz w:val="20"/>
        </w:rPr>
        <w:t>. In the past, our learning service offerings also included K-9 after-school tutoring courses as part of Youdao’s Academic AST Business, which cover the entire K-9 grades and a wide range of academic subject matters. In order to comply with applicable PRC regulatory requirements adopted by the PRC government in the second half of 2021, we disposed the Academic AST Business in 2021.</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Digital Content Services</w:t>
            </w:r>
            <w:r>
              <w:rPr>
                <w:rFonts w:ascii="Times New Roman;Times;serif" w:hAnsi="Times New Roman;Times;serif"/>
                <w:b w:val="false"/>
                <w:i w:val="false"/>
                <w:caps w:val="false"/>
                <w:smallCaps w:val="false"/>
                <w:sz w:val="20"/>
              </w:rPr>
              <w:t xml:space="preserve">. In 2022, we launched digital content services with interactive learning features, primarily including </w:t>
            </w:r>
            <w:r>
              <w:rPr>
                <w:rFonts w:ascii="Times New Roman;Times;serif" w:hAnsi="Times New Roman;Times;serif"/>
                <w:b w:val="false"/>
                <w:i/>
                <w:sz w:val="20"/>
              </w:rPr>
              <w:t>Youdao Lingshi</w:t>
            </w:r>
            <w:r>
              <w:rPr>
                <w:caps w:val="false"/>
                <w:smallCaps w:val="false"/>
              </w:rPr>
              <w:t xml:space="preserve">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sz w:val="20"/>
              </w:rPr>
              <w:t>Youdao Literature</w:t>
            </w:r>
            <w:r>
              <w:rPr>
                <w:rFonts w:ascii="Times New Roman;Times;serif" w:hAnsi="Times New Roman;Times;serif"/>
                <w:b w:val="false"/>
                <w:i w:val="false"/>
                <w:caps w:val="false"/>
                <w:smallCaps w:val="false"/>
                <w:sz w:val="20"/>
              </w:rPr>
              <w:t xml:space="preserve">. For example, within </w:t>
            </w:r>
            <w:r>
              <w:rPr>
                <w:rFonts w:ascii="Times New Roman;Times;serif" w:hAnsi="Times New Roman;Times;serif"/>
                <w:b w:val="false"/>
                <w:i/>
                <w:sz w:val="20"/>
              </w:rPr>
              <w:t>Youdao Lingshi</w:t>
            </w:r>
            <w:r>
              <w:rPr>
                <w:caps w:val="false"/>
                <w:smallCaps w:val="false"/>
              </w:rPr>
              <w:t xml:space="preserve"> </w:t>
            </w:r>
            <w:r>
              <w:rPr>
                <w:rFonts w:ascii="Times New Roman;Times;serif" w:hAnsi="Times New Roman;Times;serif"/>
                <w:b w:val="false"/>
                <w:i w:val="false"/>
                <w:caps w:val="false"/>
                <w:smallCaps w:val="false"/>
                <w:sz w:val="20"/>
              </w:rPr>
              <w:t xml:space="preserve">we customize learning tracks for students based on their diverse and ever-evolving learning needs, providing them with personalized exercise banks and quizzes to enhance their learning experience. In addition, our video tutorials offer fragmented knowledge and exercises to help students achieve superior learning outcomes.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STEAM Courses.</w:t>
            </w:r>
            <w:r>
              <w:rPr>
                <w:caps w:val="false"/>
                <w:smallCaps w:val="false"/>
              </w:rPr>
              <w:t xml:space="preserve"> </w:t>
            </w:r>
            <w:r>
              <w:rPr>
                <w:rFonts w:ascii="Times New Roman;Times;serif" w:hAnsi="Times New Roman;Times;serif"/>
                <w:b w:val="false"/>
                <w:i w:val="false"/>
                <w:caps w:val="false"/>
                <w:smallCaps w:val="false"/>
                <w:sz w:val="20"/>
              </w:rPr>
              <w:t xml:space="preserve">In connection with our disposal of our Academic AST Business, we have been strategically shifting our focus to offering STEAM courses under the brand of </w:t>
            </w:r>
            <w:r>
              <w:rPr>
                <w:rFonts w:ascii="Times New Roman;Times;serif" w:hAnsi="Times New Roman;Times;serif"/>
                <w:b w:val="false"/>
                <w:i/>
                <w:sz w:val="20"/>
              </w:rPr>
              <w:t>Youdao Premium Courses</w:t>
            </w:r>
            <w:r>
              <w:rPr>
                <w:rFonts w:ascii="Times New Roman;Times;serif" w:hAnsi="Times New Roman;Times;serif"/>
                <w:b w:val="false"/>
                <w:i w:val="false"/>
                <w:caps w:val="false"/>
                <w:smallCaps w:val="false"/>
                <w:sz w:val="20"/>
              </w:rPr>
              <w:t xml:space="preserve">. Our current STEAM courses primarily include (i) </w:t>
            </w:r>
            <w:r>
              <w:rPr>
                <w:rFonts w:ascii="Times New Roman;Times;serif" w:hAnsi="Times New Roman;Times;serif"/>
                <w:b w:val="false"/>
                <w:i/>
                <w:sz w:val="20"/>
              </w:rPr>
              <w:t>Youdao Weiqi</w:t>
            </w:r>
            <w:r>
              <w:rPr>
                <w:rFonts w:ascii="Times New Roman;Times;serif" w:hAnsi="Times New Roman;Times;serif"/>
                <w:b w:val="false"/>
                <w:i w:val="false"/>
                <w:caps w:val="false"/>
                <w:smallCaps w:val="false"/>
                <w:sz w:val="20"/>
              </w:rPr>
              <w:t>, an interest course that combines animation teaching with AI-powered quizzes and practices, (ii) computer coding courses and (iii) other STEAM courses.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Adult and Vocational Courses</w:t>
            </w:r>
            <w:r>
              <w:rPr>
                <w:rFonts w:ascii="Times New Roman;Times;serif" w:hAnsi="Times New Roman;Times;serif"/>
                <w:b w:val="false"/>
                <w:i w:val="false"/>
                <w:caps w:val="false"/>
                <w:smallCaps w:val="false"/>
                <w:sz w:val="20"/>
              </w:rPr>
              <w:t xml:space="preserve">. We offer adult and vocational courses primarily through our </w:t>
            </w:r>
            <w:r>
              <w:rPr>
                <w:rFonts w:ascii="Times New Roman;Times;serif" w:hAnsi="Times New Roman;Times;serif"/>
                <w:b w:val="false"/>
                <w:i/>
                <w:sz w:val="20"/>
              </w:rPr>
              <w:t>NetEase Cloud Classroom,</w:t>
            </w:r>
            <w:r>
              <w:rPr>
                <w:caps w:val="false"/>
                <w:smallCaps w:val="false"/>
              </w:rPr>
              <w:t xml:space="preserve"> </w:t>
            </w:r>
            <w:r>
              <w:rPr>
                <w:rFonts w:ascii="Times New Roman;Times;serif" w:hAnsi="Times New Roman;Times;serif"/>
                <w:b w:val="false"/>
                <w:i w:val="false"/>
                <w:caps w:val="false"/>
                <w:smallCaps w:val="false"/>
                <w:sz w:val="20"/>
              </w:rPr>
              <w:t xml:space="preserve">a platform providing tutoring services mainly targeting adults in China. Our adult and vocational courses primarily include graduate school entrance exam courses, foreign language courses, professional certification and skill courses and digital training courses of Amazon Web Services.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Other Courses.</w:t>
            </w:r>
            <w:r>
              <w:rPr>
                <w:caps w:val="false"/>
                <w:smallCaps w:val="false"/>
              </w:rPr>
              <w:t xml:space="preserve"> </w:t>
            </w:r>
            <w:r>
              <w:rPr>
                <w:rFonts w:ascii="Times New Roman;Times;serif" w:hAnsi="Times New Roman;Times;serif"/>
                <w:b w:val="false"/>
                <w:i w:val="false"/>
                <w:caps w:val="false"/>
                <w:smallCaps w:val="false"/>
                <w:sz w:val="20"/>
              </w:rPr>
              <w:t xml:space="preserve">Our other courses primarily include </w:t>
            </w:r>
            <w:r>
              <w:rPr>
                <w:rFonts w:ascii="Times New Roman;Times;serif" w:hAnsi="Times New Roman;Times;serif"/>
                <w:b w:val="false"/>
                <w:i/>
                <w:sz w:val="20"/>
              </w:rPr>
              <w:t>China University MOOC</w:t>
            </w:r>
            <w:r>
              <w:rPr>
                <w:rFonts w:ascii="Times New Roman;Times;serif" w:hAnsi="Times New Roman;Times;serif"/>
                <w:b w:val="false"/>
                <w:i w:val="false"/>
                <w:caps w:val="false"/>
                <w:smallCaps w:val="false"/>
                <w:sz w:val="20"/>
              </w:rPr>
              <w:t xml:space="preserve">. MOOC stands for “massive open online course,” which is a course designed to offer free or low-cost access to learning resources to a wide audience. In collaboration with the Higher Education Press, a publishing house under the supervision of the MOE, we operate </w:t>
            </w:r>
            <w:r>
              <w:rPr>
                <w:rFonts w:ascii="Times New Roman;Times;serif" w:hAnsi="Times New Roman;Times;serif"/>
                <w:b w:val="false"/>
                <w:i/>
                <w:sz w:val="20"/>
              </w:rPr>
              <w:t>China University MOOC</w:t>
            </w:r>
            <w:r>
              <w:rPr>
                <w:rFonts w:ascii="Times New Roman;Times;serif" w:hAnsi="Times New Roman;Times;serif"/>
                <w:b w:val="false"/>
                <w:i w:val="false"/>
                <w:caps w:val="false"/>
                <w:smallCaps w:val="false"/>
                <w:sz w:val="20"/>
              </w:rPr>
              <w:t>, a platform offering online courses primarily targeting college students and adults in China.</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Smart Devices</w:t>
      </w:r>
      <w:r>
        <w:rPr>
          <w:rFonts w:ascii="Times New Roman;Times;serif" w:hAnsi="Times New Roman;Times;serif"/>
          <w:sz w:val="20"/>
        </w:rPr>
        <w:t xml:space="preserve">. We develop and offer smart devices, including </w:t>
      </w:r>
      <w:r>
        <w:rPr>
          <w:rFonts w:ascii="Times New Roman;Times;serif" w:hAnsi="Times New Roman;Times;serif"/>
          <w:i/>
          <w:sz w:val="20"/>
        </w:rPr>
        <w:t>Youdao Dictionary Pen, Youdao Listening Pod and Youdao Smart Learning Pad</w:t>
      </w:r>
      <w:r>
        <w:rPr>
          <w:rFonts w:ascii="Times New Roman;Times;serif" w:hAnsi="Times New Roman;Times;serif"/>
          <w:sz w:val="20"/>
        </w:rPr>
        <w:t>, to make learning more productive and efficient for our users. Our smart devices are developed and designed by us or in collaboration with third parties, while the manufacturing of such devices is outsourced to third-party manufacturers under original equipment manufacturer agreements.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Youdao Dictionary Pen. </w:t>
            </w:r>
            <w:r>
              <w:rPr>
                <w:rFonts w:ascii="Times New Roman;Times;serif" w:hAnsi="Times New Roman;Times;serif"/>
                <w:b w:val="false"/>
                <w:i w:val="false"/>
                <w:caps w:val="false"/>
                <w:smallCaps w:val="false"/>
                <w:sz w:val="20"/>
              </w:rPr>
              <w:t xml:space="preserve">In July 2018, we launched Youdao Dictionary Pen, a sleek, modern electronic translation pen with powerful Chinese/English translation capabilities. With our NMT and OCR technologies, users can simply scan the words and the screen will instantly display the translations and definitions of the words without connecting to the internet. We continued upgrading Youdao Dictionary Pen and launched the People’s Education Version in September 2021. This product marks our first strategic partnership with the People Education Electronic &amp; Audiovisual Press, whose parent company, People’s Education Press, mainly engages in the compilation, publication and distribution of school textbooks and other educational books in the PRC. We launched our most recent versions of the pen, </w:t>
            </w:r>
            <w:r>
              <w:rPr>
                <w:rFonts w:ascii="Times New Roman;Times;serif" w:hAnsi="Times New Roman;Times;serif"/>
                <w:b w:val="false"/>
                <w:i/>
                <w:sz w:val="20"/>
              </w:rPr>
              <w:t>Youdao Dictionary Pen X6 Pro</w:t>
            </w:r>
            <w:r>
              <w:rPr>
                <w:caps w:val="false"/>
                <w:smallCaps w:val="false"/>
              </w:rPr>
              <w:t xml:space="preserve">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sz w:val="20"/>
              </w:rPr>
              <w:t>Youdao Dictionary Pen S6,</w:t>
            </w:r>
            <w:r>
              <w:rPr>
                <w:caps w:val="false"/>
                <w:smallCaps w:val="false"/>
              </w:rPr>
              <w:t xml:space="preserve"> </w:t>
            </w:r>
            <w:r>
              <w:rPr>
                <w:rFonts w:ascii="Times New Roman;Times;serif" w:hAnsi="Times New Roman;Times;serif"/>
                <w:b w:val="false"/>
                <w:i w:val="false"/>
                <w:caps w:val="false"/>
                <w:smallCaps w:val="false"/>
                <w:sz w:val="20"/>
              </w:rPr>
              <w:t xml:space="preserve">in August 2023. </w:t>
            </w:r>
            <w:r>
              <w:rPr>
                <w:rFonts w:ascii="Times New Roman;Times;serif" w:hAnsi="Times New Roman;Times;serif"/>
                <w:b w:val="false"/>
                <w:i/>
                <w:sz w:val="20"/>
              </w:rPr>
              <w:t>Youdao Dictionary Pen X6 Pro</w:t>
            </w:r>
            <w:r>
              <w:rPr>
                <w:rFonts w:ascii="Times New Roman;Times;serif" w:hAnsi="Times New Roman;Times;serif"/>
                <w:b w:val="false"/>
                <w:i w:val="false"/>
                <w:caps w:val="false"/>
                <w:smallCaps w:val="false"/>
                <w:sz w:val="20"/>
              </w:rPr>
              <w:t xml:space="preserve">, Youdao’s flagship product, is equipped with an </w:t>
            </w:r>
            <w:r>
              <w:rPr>
                <w:rFonts w:ascii="Times New Roman;Times;serif" w:hAnsi="Times New Roman;Times;serif"/>
                <w:b w:val="false"/>
                <w:i/>
                <w:sz w:val="20"/>
              </w:rPr>
              <w:t>AI grammar instruction</w:t>
            </w:r>
            <w:r>
              <w:rPr>
                <w:caps w:val="false"/>
                <w:smallCaps w:val="false"/>
              </w:rPr>
              <w:t xml:space="preserve"> </w:t>
            </w:r>
            <w:r>
              <w:rPr>
                <w:rFonts w:ascii="Times New Roman;Times;serif" w:hAnsi="Times New Roman;Times;serif"/>
                <w:b w:val="false"/>
                <w:i w:val="false"/>
                <w:caps w:val="false"/>
                <w:smallCaps w:val="false"/>
                <w:sz w:val="20"/>
              </w:rPr>
              <w:t xml:space="preserve">application and digital human language coach, </w:t>
            </w:r>
            <w:r>
              <w:rPr>
                <w:rFonts w:ascii="Times New Roman;Times;serif" w:hAnsi="Times New Roman;Times;serif"/>
                <w:b w:val="false"/>
                <w:i/>
                <w:sz w:val="20"/>
              </w:rPr>
              <w:t>Hi Echo</w:t>
            </w:r>
            <w:r>
              <w:rPr>
                <w:rFonts w:ascii="Times New Roman;Times;serif" w:hAnsi="Times New Roman;Times;serif"/>
                <w:b w:val="false"/>
                <w:i w:val="false"/>
                <w:caps w:val="false"/>
                <w:smallCaps w:val="false"/>
                <w:sz w:val="20"/>
              </w:rPr>
              <w:t xml:space="preserve">, powered by our </w:t>
            </w:r>
            <w:r>
              <w:rPr>
                <w:rFonts w:ascii="Times New Roman;Times;serif" w:hAnsi="Times New Roman;Times;serif"/>
                <w:b w:val="false"/>
                <w:i/>
                <w:sz w:val="20"/>
              </w:rPr>
              <w:t>Ziyue</w:t>
            </w:r>
            <w:r>
              <w:rPr>
                <w:caps w:val="false"/>
                <w:smallCaps w:val="false"/>
              </w:rPr>
              <w:t xml:space="preserve"> </w:t>
            </w:r>
            <w:r>
              <w:rPr>
                <w:rFonts w:ascii="Times New Roman;Times;serif" w:hAnsi="Times New Roman;Times;serif"/>
                <w:b w:val="false"/>
                <w:i w:val="false"/>
                <w:caps w:val="false"/>
                <w:smallCaps w:val="false"/>
                <w:sz w:val="20"/>
              </w:rPr>
              <w:t>LLM.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Youdao Listening Pod. </w:t>
            </w:r>
            <w:r>
              <w:rPr>
                <w:rFonts w:ascii="Times New Roman;Times;serif" w:hAnsi="Times New Roman;Times;serif"/>
                <w:b w:val="false"/>
                <w:i w:val="false"/>
                <w:caps w:val="false"/>
                <w:smallCaps w:val="false"/>
                <w:sz w:val="20"/>
              </w:rPr>
              <w:t xml:space="preserve">Building on our AI-adaptive learning technology, in September 2021 we launched </w:t>
            </w:r>
            <w:r>
              <w:rPr>
                <w:rFonts w:ascii="Times New Roman;Times;serif" w:hAnsi="Times New Roman;Times;serif"/>
                <w:b w:val="false"/>
                <w:i/>
                <w:sz w:val="20"/>
              </w:rPr>
              <w:t>Youdao Listening Pod</w:t>
            </w:r>
            <w:r>
              <w:rPr>
                <w:rFonts w:ascii="Times New Roman;Times;serif" w:hAnsi="Times New Roman;Times;serif"/>
                <w:b w:val="false"/>
                <w:i w:val="false"/>
                <w:caps w:val="false"/>
                <w:smallCaps w:val="false"/>
                <w:sz w:val="20"/>
              </w:rPr>
              <w:t xml:space="preserve">, a portable learning device that is designed to deliver an immersive English learning experience to users, and offer them with differentiated, interactive listening and speaking practices. With </w:t>
            </w:r>
            <w:r>
              <w:rPr>
                <w:rFonts w:ascii="Times New Roman;Times;serif" w:hAnsi="Times New Roman;Times;serif"/>
                <w:b w:val="false"/>
                <w:i/>
                <w:sz w:val="20"/>
              </w:rPr>
              <w:t>Youdao Listening Pod</w:t>
            </w:r>
            <w:r>
              <w:rPr>
                <w:rFonts w:ascii="Times New Roman;Times;serif" w:hAnsi="Times New Roman;Times;serif"/>
                <w:b w:val="false"/>
                <w:i w:val="false"/>
                <w:caps w:val="false"/>
                <w:smallCaps w:val="false"/>
                <w:sz w:val="20"/>
              </w:rPr>
              <w:t xml:space="preserve">, users can study natural pronunciation by listening and reading over 7,000 recording clips of training content, interact and communicate live with AI-powered chat bots and practice on mock questions to score their English listening and speaking capabilities. In August 2023, we launched </w:t>
            </w:r>
            <w:r>
              <w:rPr>
                <w:rFonts w:ascii="Times New Roman;Times;serif" w:hAnsi="Times New Roman;Times;serif"/>
                <w:b w:val="false"/>
                <w:i/>
                <w:sz w:val="20"/>
              </w:rPr>
              <w:t>Youdao Listening Pod Pro</w:t>
            </w:r>
            <w:r>
              <w:rPr>
                <w:rFonts w:ascii="Times New Roman;Times;serif" w:hAnsi="Times New Roman;Times;serif"/>
                <w:b w:val="false"/>
                <w:i w:val="false"/>
                <w:caps w:val="false"/>
                <w:smallCaps w:val="false"/>
                <w:sz w:val="20"/>
              </w:rPr>
              <w:t xml:space="preserve">, which features improved hardware functionality, such as an enhanced CPU and microphones. Our </w:t>
            </w:r>
            <w:r>
              <w:rPr>
                <w:rFonts w:ascii="Times New Roman;Times;serif" w:hAnsi="Times New Roman;Times;serif"/>
                <w:b w:val="false"/>
                <w:i/>
                <w:sz w:val="20"/>
              </w:rPr>
              <w:t>Youdao Listing Pod Pro</w:t>
            </w:r>
            <w:r>
              <w:rPr>
                <w:caps w:val="false"/>
                <w:smallCaps w:val="false"/>
              </w:rPr>
              <w:t xml:space="preserve"> </w:t>
            </w:r>
            <w:r>
              <w:rPr>
                <w:rFonts w:ascii="Times New Roman;Times;serif" w:hAnsi="Times New Roman;Times;serif"/>
                <w:b w:val="false"/>
                <w:i w:val="false"/>
                <w:caps w:val="false"/>
                <w:smallCaps w:val="false"/>
                <w:sz w:val="20"/>
              </w:rPr>
              <w:t xml:space="preserve">customizes English listening content to cater to learners’ specific needs at various stages, leveraging our AI dialogue functions powered by </w:t>
            </w:r>
            <w:r>
              <w:rPr>
                <w:rFonts w:ascii="Times New Roman;Times;serif" w:hAnsi="Times New Roman;Times;serif"/>
                <w:b w:val="false"/>
                <w:i/>
                <w:sz w:val="20"/>
              </w:rPr>
              <w:t>Ziyue</w:t>
            </w:r>
            <w:r>
              <w:rPr>
                <w:caps w:val="false"/>
                <w:smallCaps w:val="false"/>
              </w:rPr>
              <w:t xml:space="preserve"> </w:t>
            </w:r>
            <w:r>
              <w:rPr>
                <w:rFonts w:ascii="Times New Roman;Times;serif" w:hAnsi="Times New Roman;Times;serif"/>
                <w:b w:val="false"/>
                <w:i w:val="false"/>
                <w:caps w:val="false"/>
                <w:smallCaps w:val="false"/>
                <w:sz w:val="20"/>
              </w:rPr>
              <w:t>LLM for optimal support.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Youdao Smart Learning Pad. </w:t>
            </w:r>
            <w:r>
              <w:rPr>
                <w:rFonts w:ascii="Times New Roman;Times;serif" w:hAnsi="Times New Roman;Times;serif"/>
                <w:b w:val="false"/>
                <w:i w:val="false"/>
                <w:caps w:val="false"/>
                <w:smallCaps w:val="false"/>
                <w:sz w:val="20"/>
              </w:rPr>
              <w:t xml:space="preserve">In August 2022, we launched Youdao Smart Learning Pad Y10, our first intelligent learning pad product. In October 2022, we further introduced Youdao Smart Learning Pad X10, an upgraded version with improved AI-driven precision education, a larger screen and more storage. Backed by our proprietary technology infrastructure, Youdao Smart Learning Pad X10 showcases a unique AI-supported “Learning Dashboard,” which can track and present users’ learning performances and provide personalized suggestions focused on their academic weaknesses. Users can start from either uploading photos of their homework assignments and test papers to the plugged-in system, or conducting quizzes or exercises directly on the device. Leveraging our comprehensive quiz bank with over 200,000 sets of mock exams, Youdao Smart Learning Pad X10 is able to quickly process and generate users’ performance reports encompassing accurate rates, areas of improvements and levels of expertise. In January 2024, we launched </w:t>
            </w:r>
            <w:r>
              <w:rPr>
                <w:rFonts w:ascii="Times New Roman;Times;serif" w:hAnsi="Times New Roman;Times;serif"/>
                <w:b w:val="false"/>
                <w:i/>
                <w:sz w:val="20"/>
              </w:rPr>
              <w:t>Youdao Smart Learning Pad X20</w:t>
            </w:r>
            <w:r>
              <w:rPr>
                <w:rFonts w:ascii="Times New Roman;Times;serif" w:hAnsi="Times New Roman;Times;serif"/>
                <w:b w:val="false"/>
                <w:i w:val="false"/>
                <w:caps w:val="false"/>
                <w:smallCaps w:val="false"/>
                <w:sz w:val="20"/>
              </w:rPr>
              <w:t xml:space="preserve">, featuring the </w:t>
            </w:r>
            <w:r>
              <w:rPr>
                <w:rFonts w:ascii="Times New Roman;Times;serif" w:hAnsi="Times New Roman;Times;serif"/>
                <w:b w:val="false"/>
                <w:i/>
                <w:sz w:val="20"/>
              </w:rPr>
              <w:t>Mr. P AI Tutor</w:t>
            </w:r>
            <w:r>
              <w:rPr>
                <w:caps w:val="false"/>
                <w:smallCaps w:val="false"/>
              </w:rPr>
              <w:t xml:space="preserve"> </w:t>
            </w:r>
            <w:r>
              <w:rPr>
                <w:rFonts w:ascii="Times New Roman;Times;serif" w:hAnsi="Times New Roman;Times;serif"/>
                <w:b w:val="false"/>
                <w:i w:val="false"/>
                <w:caps w:val="false"/>
                <w:smallCaps w:val="false"/>
                <w:sz w:val="20"/>
              </w:rPr>
              <w:t xml:space="preserve">function. Utilizing the robust capabilities of </w:t>
            </w:r>
            <w:r>
              <w:rPr>
                <w:rFonts w:ascii="Times New Roman;Times;serif" w:hAnsi="Times New Roman;Times;serif"/>
                <w:b w:val="false"/>
                <w:i/>
                <w:sz w:val="20"/>
              </w:rPr>
              <w:t>Ziyue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sz w:val="20"/>
              </w:rPr>
              <w:t>Mr. P AI Tutor</w:t>
            </w:r>
            <w:r>
              <w:rPr>
                <w:caps w:val="false"/>
                <w:smallCaps w:val="false"/>
              </w:rPr>
              <w:t xml:space="preserve"> </w:t>
            </w:r>
            <w:r>
              <w:rPr>
                <w:rFonts w:ascii="Times New Roman;Times;serif" w:hAnsi="Times New Roman;Times;serif"/>
                <w:b w:val="false"/>
                <w:i w:val="false"/>
                <w:caps w:val="false"/>
                <w:smallCaps w:val="false"/>
                <w:sz w:val="20"/>
              </w:rPr>
              <w:t xml:space="preserve">provides real-time multi-modality tutoring across major K-12 subjects for students, which is widely recognized by users. Additionally, </w:t>
            </w:r>
            <w:r>
              <w:rPr>
                <w:rFonts w:ascii="Times New Roman;Times;serif" w:hAnsi="Times New Roman;Times;serif"/>
                <w:b w:val="false"/>
                <w:i/>
                <w:sz w:val="20"/>
              </w:rPr>
              <w:t>Youdao Smart Learning Pad X20</w:t>
            </w:r>
            <w:r>
              <w:rPr>
                <w:caps w:val="false"/>
                <w:smallCaps w:val="false"/>
              </w:rPr>
              <w:t xml:space="preserve"> </w:t>
            </w:r>
            <w:r>
              <w:rPr>
                <w:rFonts w:ascii="Times New Roman;Times;serif" w:hAnsi="Times New Roman;Times;serif"/>
                <w:b w:val="false"/>
                <w:i w:val="false"/>
                <w:caps w:val="false"/>
                <w:smallCaps w:val="false"/>
                <w:sz w:val="20"/>
              </w:rPr>
              <w:t>offers high-quality learning materials as well as supervision features for parents.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Education Digitalization Solutions</w:t>
      </w:r>
      <w:r>
        <w:rPr>
          <w:rFonts w:ascii="Times New Roman;Times;serif" w:hAnsi="Times New Roman;Times;serif"/>
          <w:sz w:val="20"/>
        </w:rPr>
        <w:t xml:space="preserve">. Our education digitalization solutions business currently includes technologies and solutions licensed to schools or enterprise customers, such as </w:t>
      </w:r>
      <w:r>
        <w:rPr>
          <w:rFonts w:ascii="Times New Roman;Times;serif" w:hAnsi="Times New Roman;Times;serif"/>
          <w:i/>
          <w:sz w:val="20"/>
        </w:rPr>
        <w:t>Youdao Smart Learning Terminal, Youdao Smart Cloud</w:t>
      </w:r>
      <w:r>
        <w:rPr>
          <w:rFonts w:ascii="Times New Roman;Times;serif" w:hAnsi="Times New Roman;Times;serif"/>
          <w:sz w:val="20"/>
        </w:rPr>
        <w:t xml:space="preserve"> and </w:t>
      </w:r>
      <w:r>
        <w:rPr>
          <w:rFonts w:ascii="Times New Roman;Times;serif" w:hAnsi="Times New Roman;Times;serif"/>
          <w:i/>
          <w:sz w:val="20"/>
        </w:rPr>
        <w:t>Youdao Sports</w:t>
      </w:r>
      <w:r>
        <w:rPr>
          <w:rFonts w:ascii="Times New Roman;Times;serif" w:hAnsi="Times New Roman;Times;serif"/>
          <w:sz w:val="20"/>
        </w:rPr>
        <w:t>. Youdao Smart Learning Terminal is a device that automates paper-based homework processing and provides learning diagnosis through AI technology at schools. Youdao Smart Cloud is a cloud-based platform that allows third-party app developers, smart device brands and manufacturers to access our advanced OCR capabilities and NMT engine and incorporate them into their apps, devices and services through application programming interfaces. Youdao Sports is a sports-centric educational system that collects, processes and analyzes students’ on-campus exercise data points, leveraging our proprietary visual recognition technology.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Technology-driven Learning Experience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integrate technologies into every major aspect of the learning and teaching process to ensure a superb learning experience across Youdao’s products and services. Over the years, we have built proprietary OCR, NMT, language data mining, voice recognition technologies, data analytics and LLM that serve as the foundation to our products and services. Such technologies are iteratively refined based on the vast data generated by our users.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For example, we offer a set of advanced AI-based technologies to make learning more personalized and efficient while maintaining a high level of human touch. We have also built massive “knowledge graphs” depicting different knowledge points, concepts and learning objectives, supported by a large quiz bank curated by our course development professionals to help students understand the subject matter. In addition, we have adopted an adaptive learning approach which tracks each student’s learning progress and dynamically adapts teaching to the student’s unique learning needs. We collect student learning and behavior data throughout their learning cycles to help us understand their learning progress and predict through our adaptive learning model how they will perform to achieve future learning objectives.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Online Music Platform – Cloud Music</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Cloud Music’s Products and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founded Cloud Music in 2013 and launched the iconic cornerstone product, </w:t>
      </w:r>
      <w:r>
        <w:rPr>
          <w:rFonts w:ascii="Times New Roman;Times;serif" w:hAnsi="Times New Roman;Times;serif"/>
          <w:i/>
          <w:sz w:val="20"/>
        </w:rPr>
        <w:t>NetEase Cloud Music</w:t>
      </w:r>
      <w:r>
        <w:rPr>
          <w:rFonts w:ascii="Times New Roman;Times;serif" w:hAnsi="Times New Roman;Times;serif"/>
          <w:sz w:val="20"/>
        </w:rPr>
        <w:t xml:space="preserve">, in the same year. Cloud Music experienced rapid growth since its founding and completed its public listing on the Hong Kong Stock Exchange in December 2021.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Over the years, Cloud Music has built a large-scale, robust and rapidly growing business to provide community-centric online music services and social entertainment services to users. Leveraging </w:t>
      </w:r>
      <w:r>
        <w:rPr>
          <w:rFonts w:ascii="Times New Roman;Times;serif" w:hAnsi="Times New Roman;Times;serif"/>
          <w:i/>
          <w:sz w:val="20"/>
        </w:rPr>
        <w:t>NetEase Cloud Music</w:t>
      </w:r>
      <w:r>
        <w:rPr>
          <w:rFonts w:ascii="Times New Roman;Times;serif" w:hAnsi="Times New Roman;Times;serif"/>
          <w:sz w:val="20"/>
        </w:rPr>
        <w:t xml:space="preserve">, and ancillary, social entertainment products, it empowers music enthusiasts with a wide variety of technology-driven tools to discover, enjoy, share and create diverse music and music-inspired content and to interact with each other.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Cloud Music generates the majority of the revenue from its music platform through the sales of membership subscriptions for its online music services and sales of virtual items for its social entertainment services. To diversify its revenue streams, Cloud Music has also been actively developing other monetization channels, such as the provisioning of advertising services, sales of digital albums and songs, copyright sublicensing and music-inspired services. </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Online Music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Cloud Music provides a number of membership subscription packages for users to enjoy high-quality streaming access to our catalogue of music tracks and provide users with services that allow them to purchase access to certain new digital music albums and singles. In addition, Cloud Music offers advertising services for both brand advertisers and performance-based advertisers and sublicense certain of its licensed music content to other parties, including other online music platforms. The MAUs of </w:t>
      </w:r>
      <w:r>
        <w:rPr>
          <w:rFonts w:ascii="Times New Roman;Times;serif" w:hAnsi="Times New Roman;Times;serif"/>
          <w:i/>
          <w:sz w:val="20"/>
        </w:rPr>
        <w:t>NetEase Cloud Music</w:t>
      </w:r>
      <w:r>
        <w:rPr>
          <w:rFonts w:ascii="Times New Roman;Times;serif" w:hAnsi="Times New Roman;Times;serif"/>
          <w:sz w:val="20"/>
        </w:rPr>
        <w:t xml:space="preserve"> was 205.9 million in 2023.</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Social Entertainment Services and Others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As the size and engagement level of its online music services’ user base continues to grow, Cloud Music strives to provide more music-inspired social entertainment services to them, which primarily include its live streaming app </w:t>
      </w:r>
      <w:r>
        <w:rPr>
          <w:rFonts w:ascii="Times New Roman;Times;serif" w:hAnsi="Times New Roman;Times;serif"/>
          <w:i/>
          <w:sz w:val="20"/>
        </w:rPr>
        <w:t>Look</w:t>
      </w:r>
      <w:r>
        <w:rPr>
          <w:rFonts w:ascii="Times New Roman;Times;serif" w:hAnsi="Times New Roman;Times;serif"/>
          <w:sz w:val="20"/>
        </w:rPr>
        <w:t xml:space="preserve"> launched in the second half of 2018. Cloud Music generates revenue from live streaming services primarily from sales of virtual items. Users purchase virtual items to gift to live streaming performers as a way for them to show support and appreciation for their performance. Cloud Music also generates revenue from providing membership and value-added services on its social networking platforms. Other revenue sources primarily include movie soundtrack production and ticketing services for offline music events.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Technological-driven Music Experience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Cloud Music needs to ensure that it can deliver a satisfying music experience consistently at scale by continuously innovating and improving its platform and investing in R&amp;D. Our advanced data analytics and other capabilities lay the foundation for the platform’s personalized content recommendations, assisted content creation, interactive social functions and other powerful features that optimize the user experience and realize the unique value of our diverse content. For example, our NetEase Music Audio Lab developed an audio melody extraction solution that broke three world records at the Music Information Retrieval Evaluation eXchange, or MIREX, in 2020. In addition, with its strong music recognition ability, the lab’s “robust fingerprinting algorithm” achieved the second-best performance in the task of “audio fingerprinting” since MIREX launched this competition in 2014, representing a significant improvement in recognition rate.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Other Innovative Business and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derive our innovative businesses and others revenues primarily from Yanxuan, advertising services, premium e-mail and other value-added services.</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Yanxuan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Yanxuan, our private label consumer lifestyle brand, was established in 2016. Starting with the development of a well-designed towel, Yanxuan has always focused on optimizing the user experience of its products and improving the lives of consumers in China through simple, practical, comfortable and elegant designs. Over the past eight years, Yanxuan has gradually developed from a shopping platform favored by the new generation of middle-class families in China to a lifestyle brand favored by younger generations from all walks of life.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Yanxuan offers products in a wide range of categories, including home life, clothing, shoes, bags, gourmet food, drinks, pet food and supplies, personal care and cleaning products, among others. Yanxuan pursues the brand concept of “thoughtfully curated products for mindful moments,” which is an extension of NetEase’s overall “user-first” attitude towards its services and products. Yanxuan continuously evaluates the needs and wants of its users and searches around the world to identify and cooperate with the best suppliers available. By better understanding customers’ needs and participating in the production process, Yanxuan can provide customers with competitive prices, excellent quality and quality customer service.</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Other Innovative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also offer a wide range of other innovative services, including our (i) www.163.com portal and related mobile app, </w:t>
      </w:r>
      <w:r>
        <w:rPr>
          <w:rFonts w:ascii="Times New Roman;Times;serif" w:hAnsi="Times New Roman;Times;serif"/>
          <w:i/>
          <w:sz w:val="20"/>
        </w:rPr>
        <w:t>Wangyi Xinwen</w:t>
      </w:r>
      <w:r>
        <w:rPr>
          <w:rFonts w:ascii="Times New Roman;Times;serif" w:hAnsi="Times New Roman;Times;serif"/>
          <w:sz w:val="20"/>
        </w:rPr>
        <w:t>, which deliver quality information such as news, sports events, technology, fashion trends and online entertainment to our users and generate revenues mainly from online advertising services, (ii) NetEase Pay, an online payment platform, (iii) NetEase Mail, China’s leading email service provider since 1997, through which we provide free and fee-based email services, and (iv) certain other services, such as customized B-to-B technology services and e-reading services.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TECHNOLOGIES AND IT INFRASTRUCTURE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one of the inaugural classes of internet platforms and one of the first to provide e-mail services to the masses in China, we have consistently prioritized investing in technologies since our inception. With our strong R&amp;D capabilities and advanced technologies, we successfully digitalized traditional offline services, such as music and learning, and significantly transformed entertainment, learning and other activities. We focus on exploring viable applications of cutting-edge technologies to meaningfully enhance our service offerings and deliver a superior experience for our users. Empowered by advanced core proprietary technologies, we deliver engaging content and services that are highly individualized and personalized across our businesses.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Machine Learning and Other Advanced Technologies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machine learning and other advanced technologies enable us to effectively process data generated from across our services and products, optimize recommendations, personalize offerings and predict user behavior. Our key capabilities include:</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pPr>
            <w:r>
              <w:rPr>
                <w:rFonts w:ascii="Times New Roman;Times;serif" w:hAnsi="Times New Roman;Times;serif"/>
                <w:b w:val="false"/>
                <w:i/>
                <w:sz w:val="20"/>
              </w:rPr>
              <w:t>Advanced technologies focusing on user experience</w:t>
            </w:r>
            <w:r>
              <w:rPr>
                <w:rFonts w:ascii="Times New Roman;Times;serif" w:hAnsi="Times New Roman;Times;serif"/>
                <w:b w:val="false"/>
                <w:i w:val="false"/>
                <w:caps w:val="false"/>
                <w:smallCaps w:val="false"/>
                <w:sz w:val="20"/>
              </w:rPr>
              <w:t xml:space="preserve">: We have developed advanced technologies such as natural language processing, automatic speech recognition (ASR) and text-to-speech (TTS) technologies that enable us to deliver an enjoyable and effective user experience.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pPr>
            <w:r>
              <w:rPr>
                <w:rFonts w:ascii="Times New Roman;Times;serif" w:hAnsi="Times New Roman;Times;serif"/>
                <w:b w:val="false"/>
                <w:i/>
                <w:sz w:val="20"/>
              </w:rPr>
              <w:t>Machine learning-powered applications, such as content recommendation and customization</w:t>
            </w:r>
            <w:r>
              <w:rPr>
                <w:rFonts w:ascii="Times New Roman;Times;serif" w:hAnsi="Times New Roman;Times;serif"/>
                <w:b w:val="false"/>
                <w:i w:val="false"/>
                <w:caps w:val="false"/>
                <w:smallCaps w:val="false"/>
                <w:sz w:val="20"/>
              </w:rPr>
              <w:t>:</w:t>
            </w:r>
            <w:r>
              <w:rPr/>
              <w:t xml:space="preserve"> </w:t>
            </w:r>
            <w:r>
              <w:rPr>
                <w:rFonts w:ascii="Times New Roman;Times;serif" w:hAnsi="Times New Roman;Times;serif"/>
                <w:b w:val="false"/>
                <w:i w:val="false"/>
                <w:caps w:val="false"/>
                <w:smallCaps w:val="false"/>
                <w:sz w:val="20"/>
              </w:rPr>
              <w:t>We have developed and adapt machine learning and related technologies in content recommendation and customization, which enables us to achieve greater user engagement and stickiness.</w:t>
            </w:r>
          </w:p>
        </w:tc>
      </w:tr>
    </w:tbl>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IT Infrastructure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infrastructure and technology have been designed for reliability, scalability and flexibility and are administered by our technical staff. Our NetEase websites and other online and mobile platforms are made available primarily through network servers co-located in the facilities of China Telecom’s affiliates, China Unicom’s affiliates and China Mobile’s affiliates. We also utilize certain cloud-based servers maintained by third parties such as Amazon.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we have developed our own systems to facilitate sales planning, targeting, trafficking, inventory management and reporting tools, such as advertisement tracking systems for our advertising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have also established a comprehensive user profile system, which we monitor and review on a regular basis. We also deploy a single sign-on system that allows users to easily access our services offered through the various NetEase products. We intend to continue to use a combination of internally developed software products as well as third-party products to enhance our products and services in the future.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SALES AND MARKETING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employ a variety of online and traditional sales and marketing programs and promotional activities to build our brand as part of our overall marketing strategy. We focus on building brand awareness through online marketing campaigns, proactive public relations and other offline advertising. We invest in a series of marketing activities to further strengthen our brand image and continue to grow our user base, including collaborating with leading social networking, video and live streaming platforms, TV, movie and stage production companies as well as book and comic publishers to extend our brand to a broader potential user group. </w:t>
      </w:r>
    </w:p>
    <w:p>
      <w:pPr>
        <w:pStyle w:val="TextBody"/>
        <w:bidi w:val="0"/>
        <w:spacing w:before="0" w:after="240"/>
        <w:ind w:left="720" w:right="0" w:hanging="0"/>
        <w:jc w:val="both"/>
        <w:rPr>
          <w:rFonts w:ascii="Times New Roman;Times;serif" w:hAnsi="Times New Roman;Times;serif"/>
          <w:b/>
          <w:sz w:val="20"/>
        </w:rPr>
      </w:pPr>
      <w:r>
        <w:rPr>
          <w:rFonts w:ascii="Times New Roman;Times;serif" w:hAnsi="Times New Roman;Times;serif"/>
          <w:b/>
          <w:sz w:val="20"/>
        </w:rPr>
        <w:t>Games and Related Value-added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mobile games are available on the Apple app store for iOS and third-party Android app stores. In addition, to leverage our existing user bases, we also publish our mobile games through our own internet properties. We conduct in-game marketing campaigns in connection with special holiday editions or launches of new games or expansion packs throughout the year. We have also promoted our games and related value-added services in collaboration with online and offline third-party promoters.</w:t>
      </w:r>
    </w:p>
    <w:p>
      <w:pPr>
        <w:pStyle w:val="TextBody"/>
        <w:bidi w:val="0"/>
        <w:spacing w:before="0" w:after="240"/>
        <w:ind w:left="720" w:right="0" w:hanging="0"/>
        <w:jc w:val="both"/>
        <w:rPr>
          <w:rFonts w:ascii="Times New Roman;Times;serif" w:hAnsi="Times New Roman;Times;serif"/>
          <w:b/>
          <w:sz w:val="20"/>
        </w:rPr>
      </w:pPr>
      <w:r>
        <w:rPr>
          <w:rFonts w:ascii="Times New Roman;Times;serif" w:hAnsi="Times New Roman;Times;serif"/>
          <w:b/>
          <w:sz w:val="20"/>
        </w:rPr>
        <w:t xml:space="preserve">Youdao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Youdao generates user traffic and leads primarily from online platforms. As a key sales and marketing strategy, Youdao cross-sells its comprehensive portfolio of products and services, which allows it to effectively scale its business with modest traffic acquisition and marketing spending. In addition, Youdao also employs mobile marketing, such as brand advertisements and marketing campaigns on app stores, leading mobile news apps and social networking platforms, as well as through optimization techniques designed to improve its ranking in popular search engines’ results. Youdao also engages in offline marketing and branding to supplement its overall sales and marketing strategies.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b/>
          <w:sz w:val="20"/>
        </w:rPr>
      </w:pPr>
      <w:r>
        <w:rPr>
          <w:rFonts w:ascii="Times New Roman;Times;serif" w:hAnsi="Times New Roman;Times;serif"/>
          <w:b/>
          <w:sz w:val="20"/>
        </w:rPr>
        <w:t>Cloud Music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Cloud Music primarily relies on word-of-mouth referrals and benefits from its high-quality music content, social networking functions and strong brands to attract users to its platforms. Besides word-of-mouth, Cloud Music engages in various marketing and promotional initiatives to promote its brand and increase its user base, including, for example, by partnering with key opinion leaders, holding various marketing campaigns and implementing new technologies and introduce new features to improve user experience.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Innovative</w:t>
      </w:r>
      <w:r>
        <w:rPr>
          <w:rFonts w:ascii="Times New Roman;Times;serif" w:hAnsi="Times New Roman;Times;serif"/>
          <w:sz w:val="20"/>
        </w:rPr>
        <w:t xml:space="preserve"> </w:t>
      </w:r>
      <w:r>
        <w:rPr>
          <w:rFonts w:ascii="Times New Roman;Times;serif" w:hAnsi="Times New Roman;Times;serif"/>
          <w:b/>
          <w:sz w:val="20"/>
        </w:rPr>
        <w:t>Businesses and Others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For our innovative businesses and other online services, content and services are generally provided through mobile applications or their respective websites. Users purchase our services either at a pre-determined package rate or on an item-based basis, and payments are made using third-party online payment platforms or our NetEase Pay. We attract users through a variety of channels, such as our sponsored searches, social and online advertising, internet video and television advertising and other advertising channels. We also offer our customers special pricing discounts in connection with promotion activities and strive to expand our products selection to attract more visitors. Advertising services are conducted through our dedicated advertising services sales force, or through online advertising sales networks and advertising agencies.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SEASONALITY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Item 5.A. “Operating and Financial Review and Prospects—Operating Results—Key Components of Results of Operations—Revenues—Seasonality of Revenues.”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INTELLECTUAL PROPERTY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rely on a combination of copyright, trademark, patent and trade secrecy laws and contractual restrictions on disclosure to protect our intellectual property rights. We require our employees to enter into agreements requiring them to keep confidential all information relating to our customers, methods, business and trade secrets during and after their employment with us. Our employees are required to acknowledge and recognize that all inventions, trade secrets, works of authorship, developments and other processes, whether or not patentable or copyrightable, made by them during their employment are our property. They also sign all necessary documents to substantiate our sole and exclusive right to those works and to transfer any ownership that they may claim in those works to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registered a number of domain names. We have also successfully registered numerous trademarks with China’s Trademark Office, including marks incorporating the words “NetEase” and “Yeah!” in English and for marks for “NetEase” as written in Chinese in traditional and simplified Chinese characters. In addition, we have registered trademarks involving Chinese characters and phrases that have meanings relating to our web pages, products and services, including our online games, intelligent learning services, online music services, chat services, e-commerce and certain other online services. In addition, we have registered a number of trademarks involving the “NetEase” name as well as the names and logos of our products and services in the U.S., the EU, the Republic of Korea, Japan, the United Kingdom, Thailand and other jurisdictions.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we have registered our various in-house developed games and other online products with the National Copyright Protection Center of China. Moreover, we have filed certain patent applications with the National Intellectual Property Administration of China, U.S. Patent and Trademark Office, European Patent Office and Japan Patent Office, and have obtained Certificates of Design Patent, Utility Model Patent and/or Invention Patent for technologies related to our games, live video, news, educational products, e-commerce and finance, music platform, hardware products, cloud technology, augmented reality technology, audio/video technology, computer technology and e-mail from the National Intellectual Property Administration of China, as well as Certificates of Utility Patent and Certificates of Design Patent in the United States, Europe and Japan.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Moreover, Youdao owns the intellectual property relating to in-house developed content used on its platform and the registrations of the core trademarks “Youdao.” Cloud Music owns the intellectual properties relating to </w:t>
      </w:r>
      <w:r>
        <w:rPr>
          <w:rFonts w:ascii="Times New Roman;Times;serif" w:hAnsi="Times New Roman;Times;serif"/>
          <w:i/>
          <w:sz w:val="20"/>
        </w:rPr>
        <w:t>NetEase Cloud Music</w:t>
      </w:r>
      <w:r>
        <w:rPr>
          <w:rFonts w:ascii="Times New Roman;Times;serif" w:hAnsi="Times New Roman;Times;serif"/>
          <w:sz w:val="20"/>
        </w:rPr>
        <w:t xml:space="preserve"> and the registrations of the core trademarks “Cloud Music.” We also own the intellectual property (other than the content) relating to the NetEase websites and other online and mobile platforms, and the technology that enables online community, personalization, online games, news sharing, instant messaging, video streaming, e-commerce and other services on those platforms. We license content from various freelance providers and other content providers.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While we actively take steps to protect our proprietary rights, such steps may not be adequate to prevent the infringement or misappropriation of our intellectual property. See Item 3.D. “Key Information—Risk Factors—Risks Related to Doing Business in China—We may not be able to adequately protect our intellectual property and may be exposed to infringement claims by third parties.”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COMPETITION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competition primarily comes from global online game developers and operators, such as Tencent, established online and offline education service and/or product providers in China, as well as leading digital content and entertainment providers. Some of our current and potential competitors are larger than we are, and currently offer, and could further develop or acquire, content and services that compete with us. The areas in which we compete primarily include: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User traffic, time and spending</w:t>
      </w:r>
      <w:r>
        <w:rPr>
          <w:rFonts w:ascii="Times New Roman;Times;serif" w:hAnsi="Times New Roman;Times;serif"/>
          <w:sz w:val="20"/>
        </w:rPr>
        <w:t xml:space="preserve">. We compete to attract, engage and retain users based on the </w:t>
      </w:r>
      <w:r>
        <w:rPr>
          <w:rFonts w:ascii="Times New Roman;Times;serif" w:hAnsi="Times New Roman;Times;serif"/>
          <w:sz w:val="20"/>
          <w:shd w:fill="FFFFFF" w:val="clear"/>
        </w:rPr>
        <w:t xml:space="preserve">design, quality, popularity and efficacy of our content offerings, </w:t>
      </w:r>
      <w:r>
        <w:rPr>
          <w:rFonts w:ascii="Times New Roman;Times;serif" w:hAnsi="Times New Roman;Times;serif"/>
          <w:sz w:val="20"/>
        </w:rPr>
        <w:t>the overall user experience of our products and services, as well as the effectiveness of our marketing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Talent</w:t>
      </w:r>
      <w:r>
        <w:rPr>
          <w:rFonts w:ascii="Times New Roman;Times;serif" w:hAnsi="Times New Roman;Times;serif"/>
          <w:sz w:val="20"/>
        </w:rPr>
        <w:t>. We compete for motivated and capable talent, including engineers, game designers, product developers and creative professionals to build compelling content, tools and functions.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Global collaboration opportunities</w:t>
      </w:r>
      <w:r>
        <w:rPr>
          <w:rFonts w:ascii="Times New Roman;Times;serif" w:hAnsi="Times New Roman;Times;serif"/>
          <w:sz w:val="20"/>
        </w:rPr>
        <w:t xml:space="preserve">. We compete to win collaboration relationships with well-known global IP and content owners based on our level of expertise in systematically developing in-house developed games, delivering a compelling user experience through operational knowhow and customizing established game titles for rapid expansion into overseas markets.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can be no assurance that we will be able to compete successfully against our current or future competitors or that competition will not have a material adverse effect on our business, results of operations and financial condition.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CORPORATE SOCIAL RESPONSIBILITY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Since our founding, we have been committed to realizing the values of creating corporate social responsibility (CSR), striving to contribute to communities and operating in a sustainable way. We aim to improve people’s lives with digital technologies and make positive contributions to material social issues, such as education inequity, disaster recovery, workplace equality and diversity and green and low-carbon development.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been focused on reducing education inequity and have launched several initiatives for that purpose. For example, in 2018, we launched the “One Screen” program, aiming to promote the equitable distribution of educational resources and stimulating balanced development among students from different regions. By the end of 2023, the One Screen program had provided support in the form of donations and teaching resources to over 300 schools across nine provinces and regions in China, benefiting nearly 200,000 teachers and students. In 2023, using remote, collaborative online classroom technology, the One Screen program helped students in many remote areas to achieve breakthroughs in terms of academic performance at the National College Entrance Examination. Last year, more than half of the schools from the One Screen project witnessed a university admission rate of 100%, while the overall admission rate for all the schools in the project was 76%. Most notably, four students were admitted to Peking University, marking a new milestone in academic achievements.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also provide swift and impactful aid to victims of nature disasters. In August 2023, we donated RMB5 million in cash and RMB5 million worth of emergency supplies to aid local emergency relief efforts in response to the devastating storm and flood in Zhuozhou, Hebei Province. In addition, our game </w:t>
      </w:r>
      <w:r>
        <w:rPr>
          <w:rFonts w:ascii="Times New Roman;Times;serif" w:hAnsi="Times New Roman;Times;serif"/>
          <w:i/>
          <w:sz w:val="20"/>
        </w:rPr>
        <w:t>Justice</w:t>
      </w:r>
      <w:r>
        <w:rPr>
          <w:rFonts w:ascii="Times New Roman;Times;serif" w:hAnsi="Times New Roman;Times;serif"/>
          <w:sz w:val="20"/>
        </w:rPr>
        <w:t xml:space="preserve"> donated an additional RMB3 million toward the flood-affected regions.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have always adhered to the vision of improving society and have conducted a series of related projects to empower county-level entrepreneurship and innovation. We helped grow the cultural tourism industry in various provinces by fusing their local cultures and commodities with new digital technologies. With Yanxuan, our e-commerce platform, we have assisted local artisans and farmers to sell their products to customers that they had never reached before. We also helped farmers and small to medium-sized enterprises in rural areas to establish their brands or upgrade their existing brands in an effort to revitalize the rural China. Moreover, the players in our games have contributed to advance the vision of social improvement. For example, in 2023 our game </w:t>
      </w:r>
      <w:r>
        <w:rPr>
          <w:rFonts w:ascii="Times New Roman;Times;serif" w:hAnsi="Times New Roman;Times;serif"/>
          <w:i/>
          <w:sz w:val="20"/>
        </w:rPr>
        <w:t>Revelation</w:t>
      </w:r>
      <w:r>
        <w:rPr>
          <w:rFonts w:ascii="Times New Roman;Times;serif" w:hAnsi="Times New Roman;Times;serif"/>
          <w:sz w:val="20"/>
        </w:rPr>
        <w:t xml:space="preserve"> partnered with the AITA Foundation to organize a series of in-game animal care events. Players were encouraged to complete tasks and turn their goodwill into action with the goal of providing food donations to stray animals.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adhere to our commitment to equality and diversity in our recruitment and career development policies. Our games division was honored with the 2023-2024 ATD Excellence in Practice Award for its long-term efforts in talent training and development, becoming the only Chinese Internet enterprise to win an award in the competition. We also won the 2022 SHL China Talent Management Practice Award for Best Recruitment Practices. Furthermore, in February 2023, we were named as a member of 2023 Bloomberg Gender-Equality Index, which comprises 484 companies that are committed to gender equality in the workplace. We understand the importance and value in having a diversified workforce and currently recruit talent from more than 40 countries and regions worldwide, including the United States, Japan, South Korea and Canada. We have built a multidimensional talent training and development system to help employees succeed in their areas of expertise and achieve career advancement.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Given that the majority of our operations are conducted online, our impact on the environment is limited. We deployed carbon mitigation measures to reduce our carbon footprint and will continue to explore ways to further improve energy efficiency. We intentionally choose partners with a strong commitment to carbon emission reduction in our collaboration with third-party cloud servers. Moreover, we also spread green and environment-friendly concepts to the public through innovative methods. Leveraging our experience in sustainability, we established the NetEase TianGong Carbon Neutrality Open-Source Community to assist small and medium-sized manufacturers in achieving carbon neutrality, with the goal of jointly fostering a sustainable ecosystem. In 2023, this community organized its second application innovation competition to encourage the development and use of technologies such as internet of things for energy saving and carbon reduction.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 MANAGEMENT AND INTERNAL CONTROL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devoted ourselves to establishing and maintaining risk management and internal control systems consisting of policies and procedures that we consider to be appropriate for our business operations, and we are dedicated to continuously improving these systems.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adopted and implemented comprehensive risk management policies in various aspects of our business operations, such as financial reporting, information system, internal control, human resources and investment management.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Financial Reporting Risk Management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in place a set of accounting policies in connection with our financial reporting risk management, such as financial reporting management policies, budget management policies, treasury management policies, financial statements preparation policies and finance department and staff management policies. We have various procedures and IT systems in place to implement our accounting policies, and our finance department reviews our management accounts based on such procedures. We also provide regular training to our finance department employees to ensure that they understand our financial management and accounting policies and implement them in our daily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Information System Risk Management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Proper maintenance, storage and protection of confidential information, including personal and sensitive information, is critical to our business. We have implemented various internal procedures and controls designed to maintain the confidentiality and integrity of our IT systems and confidential information, and we monitor these processes to help identify opportunities for improvement.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Data protection is a priority at NetEase. We have also obtained ISO 27001 and ISO 27701:2019 certifications and filing certificates of the multi-level protection scheme, or MLPS, in China for some of our entities and products.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network security measures include use of firewalls, network segmentation, network access controls and intrusion prevention systems. We also employ application security and software protection measures to protect our IT systems and the confidential information that resides in it. Additionally, we encrypt user data during network transmission and, for back-end storage, we also use various encryption technologies at the software and hardware levels to protect sensitive user data. At the enterprise level, we established a systematic and universal user account authorization and management mechanism based on which we periodically review the status of user accounts and the related authorization information. We periodically perform security configuration assessments on our databases and servers and implement procedures for system log management. Processing of and access to user data is also subject to strict assessment and approval procedures in order to safeguard against unauthorized access and processing.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 reduce the risk of data loss, we conduct periodic data backup and data recovery tests and back-up management procedures. We tailor our approach by deploying different back-up mechanisms, including local back-ups and remote back-ups, depending on the needs of our business. This helps reduce the risk of user data loss. We have also established protocols to enable us to review and improve the design, implementation and ongoing monitoring of remote back-up systems. In addition, we have implemented an emergency response mechanism to evaluate critical risks, formulate disaster response plans and perform emergency drills on a regular basis to help ensure the resiliency and availability of our systems and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From a governance perspective, our information security policy is reviewed periodically. Each of our business units is responsible for ensuring compliance with the policy. We also provide information security training to our employees on an ongoing basis to help all employees remain aware of their role in maintaining a secure environment.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Internal Control Risk Management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designed and adopted strict internal procedures to ensure the compliance of our business operations with the relevant rules and regulations. Our internal control team works closely with our legal, compliance and finance departments as well as our business units to: (a) perform risk assessments and give advice on risk management strategies; (b) improve business process efficiency and monitor internal control effectiveness; and (c) promote risk awareness throughout the NetEase group.</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accordance with our internal procedures, our in-house legal department performs the basic function of reviewing and updating the form of contracts we enter into with our consumers, merchants and relevant third-parties. Our legal department examines the contract terms and reviews relevant documents for our business operations, and the necessary underlying due diligence materials, before we enter into any contract or business arrangements.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in-house legal department reviews our services for regulatory compliance before they are made available to the general public. Our in-house legal department works with relevant business units to obtain requisite governmental approvals or consents, including preparing and submitting all necessary documents for filing with relevant government authorities within the prescribed regulatory timelines.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continually review the implementation of our risk management policies and measures to ensure our policies and implementation are effective and sufficient.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Human Resources Risk Management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provide regular and specialized training tailored to: (a) the needs of our employees in different departments and/or jurisdictions, and (b) our policies and procedures on business ethics and compliance. These training sessions are conducted by senior employees or qualified outside consultants.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in place employee handbooks and have distributed them to all our employees. The handbooks are tailored to the legal requirements of the relevant jurisdictions, but all contain rules and guidelines regarding, among others, business ethics and compliance, anti-harassment, fraud prevention, anti-bribery and anti-corruption, conflicts of interest, and channels to report concerns. We provide employees with regular training as well as resources to explain the rules and guidelines in the employee handbooks.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in place policies and procedures on anti-bribery and anti-corruption to safeguard against corrupt practices within the NetEase group. These materials clearly define bribery and corruption and outline our anti-bribery and anti-corruption measures. We make our internal reporting channels open and available for anyone to report any actual or suspected misconduct. Reports can also be made anonymously to our Ethics &amp; Compliance Committee which is responsible for investigating reported incidents and taking appropriate remedial measures.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Investment Risk Management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invest in or acquire businesses that are complementary to our business, such as businesses that can expand the services we offer and strengthen our R&amp;D capabilities.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general, we intend to hold our investments for the long term. In order to protect our interests as shareholders and control the potential risks associated with our investments, we generally request our investee companies to grant us customary investor protective rights.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finance department monitors the deal performance on a regular basis. Our finance and legal departments cooperate with our deal execution teams on deal analysis, communication, execution, risk control and reporting. Any material factors will be timely reported to the senior management or board of directors for further evaluation.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Audit Committee Experience and Qualification and Board Oversight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established an audit committee to monitor the implementation of our risk management policies across the NetEase group on an ongoing basis to ensure that our internal control system is effective in identifying, managing and mitigating risks involved in our business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audit committee consists of three members, namely Grace Tang, Alice Cheng and Joseph Tong, all of whom are independent non-executive directors. Grace Tang is the chairperson of the audit committee. For the professional qualifications and experiences of the members of our audit committee, see “Directors and Senior Management.”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also maintain internal control and internal audit departments which are responsible for reviewing the effectiveness of internal controls. Our internal control and internal audit department members hold regular meetings with management to discuss any internal control issues we face and the corresponding measures to implement toward resolving such issues. The internal audit department reports to the audit committee to ensure that any major issues identified are channeled to the committee on a timely basis. The audit committee then discusses the issues and reports to the board of directors, if necessary.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Ongoing Measures to Monitor the Implementation of Risk Management Policies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audit committee, internal audit department and senior management together monitor the implementation of our risk management policies on an ongoing basis to ensure our policies and implementation are effective and sufficient.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INSURANCE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in place all the mandatory insurance policies required by Chinese laws and regulations and in accordance with the commercial practices in our industry. Our employee-related insurance consists of pension insurance, maternity insurance, unemployment insurance, work-related injury insurance, medical insurance and housing funds, as required by Chinese laws and regulations. We also purchase supplemental commercial medical insurance and accident insurance for our employees.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Additionally, we maintain insurance policies for our international operations outside of China as required by our leases and contracts and in accordance with the commercial practices in our industry. These policies generally include, but are not limited to, general liability, property, non-owned and hired auto liability and excess liability insurance coverages.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generally do not maintain any business interruption insurance, product liability insurance, key person life insurance, or insurance policies covering damages to our network infrastructures or IT systems. We carry property insurance with low coverage limits that may not be adequate to compensate us for all losses, particularly with respect to loss of business and reputation that may occur. We also do not maintain insurance policies against risks relating to the contractual arrangements with the VIEs. In 2023, we did not make any material insurance claims in relation to our business.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PERMISSIONS REQUIRED FROM THE PRC AUTHORITIES FOR OUR OPERATIONS AND OFFERINGS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our China mainland subsidiaries and the VIEs have obtained the requisite licenses and permits from the PRC government authorities that are necessary for their material business operations in China, except for our Online Publishing Service License which we are in the process of renewing as disclosed in Item 3.D. “Key Information—Risk Factors—Risks Related to Our Business And Industry—Risks Related to Our Games and Related Value-added Services—Any difficulties or delays in receiving approval from the relevant government authorities for our new games or new expansion packs for, or material changes to, our existing games could adversely affect such games’ popularity and profitability,” Such licenses and permits include, among others, Value-added Telecommunications Business Operating License, Online Publishing Service License, Internet Audiovisual Program Services License, Internet Cultural Business License, and Commercial Performance License. If we or any of the VIEs is found to be in violation of any existing or future PRC laws or regulations or fail to obtain or maintain any of the required permits or approvals, the relevant PRC regulatory authorities would have broad discretion to take action in dealing with such violations or failures. In addition, if we had inadvertently concluded that such approvals, permits, registrations or filings were not required, or if applicable laws, regulations or interpretations change in a way that requires us to obtain such approval, permits, registrations or filings in the future, we may be unable to obtain such necessary approvals, permits, registrations or filings in a timely manner, or at all, and such approvals, permits, registrations or filings may be rescinded even if obtained. Any such circumstance may subject us to fines and other regulatory, civil or criminal liabilities, and we may be ordered by the competent government authorities to suspend relevant operations, which will materially and adversely affect our business operation.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Given the uncertainties of interpretation and implementation of relevant laws and regulations and the enforcement practice by relevant government authorities, we may be required to obtain additional licenses, permits, filings, or approvals for our business operations in the future. For more detailed information, see Item 3.D. “Key Information—Risk Factors—Risks Related to Doing Business in China.”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connection with our prior overseas offerings and listing status, as of the date of the filing of this annual report, we (i) have not been required to obtain any permission from or complete any filing with the CSRC, and (ii) have not been required to go through a cybersecurity review by the CAC. As advised by our PRC legal counsel, under the currently effective PRC laws and regulations, we are not required to obtain any permission from or complete any filing with CSRC or go through a cybersecurity review by the CAC to maintain our listing status, based on their consultation with competent government authorities.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However, the PRC government has promulgated certain regulations and rules to exert more oversight and control over offerings that are conducted overseas and/or foreign investment in China-based issuers. On February 17, 2023, the CSRC released the Trial Administrative Measures of Overseas Securities Offering and Listing by Domestic Companies and five supporting guidelines, or, collectively, the Filing Rules, which took effect on March 31, 2023. According to the Filing Rules, domestic companies in China mainland that directly or indirectly offer or list their securities in an overseas market are required to file with the CSRC. In addition, an overseas listed company must also submit the filing with respect to its follow-on offerings, issuance of convertible corporate bonds and exchangeable bonds, and other equivalent offering activities, within a specific time frame requested under the Filing Rules. Therefore, we will be required to file with the CSRC for our overseas offering of equity and equity linked securities in the future within the applicable scope of the Filing Rules. For more detailed information, see Item 3.D. “Key Information—Risk Factors—Risks Related to Doing Business in China—The approval, filing or other requirements of the CSRC, CAC or other PRC government authorities may be required under PRC law in connection with our issuance of securities overseas or maintenance of the listing status of our ADSs or ordinary shares, and the PRC government’s oversight and discretion over our business operations could result in a material adverse change in our operations and the value of our ADSs or ordinary shares.”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GOVERNMENT REGULATIONS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Regulations on Foreign Investment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March 15, 2019, the National People’s Congress promulgated the 2019 PRC Foreign Investment Law, which became effective on January 1, 2020, and replaced the Wholly Foreign-owned Enterprises Law, the Sino-foreign Equity Joint Ventures Law, and the Sino-foreign Cooperative Joint Ventures Law. Investment activities in the PRC by foreign investors are principally governed by the Catalogue of Industries for Encouraging Foreign Investment, or the Encouraging Catalogue, and the Special Management Measures (Negative List) for the Access of Foreign Investment, or the Negative List, both of which were promulgated and are amended from time to time by the MOFCOM, and the NDRC. The Encouraging Catalogue and the Negative List lay out the basic framework for foreign investment in China, classifying businesses into three categories with regard to foreign investment: “encourage,” “restricted” and “prohibited.” Industries not listed in the Encouraging Catalogue and the Negative List are generally deemed as falling into a fourth category “permitted” unless specifically restricted by other PRC laws. On October 26, 2022, MOFCOM and the NDRC released the Catalog of Industries for Encouraging Foreign Investment (2022 Version), which became effective on January 1, 2023, to replace the previous Encouraging Catalogue. On December 27, 2021, MOFCOM and the NDRC released the Special Management Measures (Negative List) for the Access of Foreign Investment (2021 Version), which became effective on January 1, 2022, to replace the previous 2020 Negative List. To comply with the above foreign investment restrictions and to obtain necessary licenses and permits in industries that are currently subject to foreign investment restrictions in China, we operate in China through the VIEs. See Item 4.B. “Information on the Company—Business Overview—Our Organizational Structure.” There remain substantial uncertainties with respect to the interpretation and application of existing or future PRC laws and regulations on foreign investment. See Item 3.D. “Key Information—Risk Factors—Risks Related to Our Corporate Structure.”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According to the 2019 PRC Foreign Investment Law, foreign investment shall enjoy “pre-entry national treatment,” which generally means that at an investment-entrance stage, foreign investment should be treated no less favorably than domestic investment, except for foreign investments in industries deemed to be “restricted” or “prohibited” in the “negative list.” The 2019 PRC Foreign Investment Law provides that foreign invested entities operating in “restricted” or “prohibited” industries will require entry clearance and other approvals. However, uncertainties still exist when it comes to interpreting or implementing the 2019 PRC Foreign Investment Law and its implementation rules. For example, the 2019 PRC Foreign Investment Law does not comment on the concept of “de facto control” or contractual arrangements with variable interest entities. It does, however, have a catch-all provision under the definition of “foreign investment,” which includes investments made by foreign investors in China through means stipulated by laws or administrative regulations or other methods prescribed by the State Council. As such, there remains a leeway for future laws to define contractual arrangements as a form of “foreign investment.” Furthermore, the 2019 PRC Foreign Investment Law provides that foreign invested enterprises established according to the existing laws regulating foreign investment may maintain their structure and corporate governance for five years after the 2019 PRC Foreign Investment Law is implemented, which means that foreign invested enterprises may be required to adjust their structure and corporate governance after five years. For further details, please see Item 3.D. “Key Information—Risk Factors—Risks Related to Our Corporate Structure.”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December 26, 2019, the State Council promulgated the Implementation Rules to the Foreign Investment Law, which became effective on January 1, 2020, and repealed the Regulations on Implementing the Sino-Foreign Equity Joint Venture Enterprise Law of the PRC, the Provisional Regulations on the Duration of Sino-Foreign Equity Joint Venture, the Regulations on Implementing the Wholly Foreign Invested Enterprise Law of the PRC, and the Regulations on Implementing the Sino-Foreign Cooperative Joint Venture Enterprise Law of the PRC. The implementation rules further clarified and elaborated on the relevant provisions of the 2019 PRC Foreign Investment Law. However, given that these implementation rules were enacted not long ago, a number of uncertainties still exist in relation to the interpretation and implementation of the 2019 PRC Foreign Investment Law.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December 30, 2019, the MOFCOM and the SAMR, jointly promulgated the Measures for Information Reporting on Foreign Investment, which became effective on January 1, 2020. Pursuant to the measures, where a foreign investor directly or indirectly carries out investment activities in China, the foreign investor or the foreign invested enterprise must submit the investment information to the competent commerce department for further handling.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December 19, 2020, MOFCOM and the NDRC jointly promulgated the Measures for the Security Review of Foreign Investments, which took effect on January 18, 2021, pursuant to which a security review shall be conducted for foreign investments that affect or may affect national security. The measures established a working mechanism for the security review of foreign investments, or the Security Review Working Mechanism, to be responsible for organizing, coordinating and guiding the security review of foreign investments. For foreign investments in material information technology and internet products and services which relate to national security, the foreign investors who obtain the actual controlling stake in the investee enterprise in the PRC shall declare to the office of the Security Review Working Mechanism prior to implementation of the investments.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Regulations on Telecommunication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September 2000, China’s State Council promulgated the Telecommunications Regulations of the PRC, or the Telecom Regulations, which was last revised in February 2016. The Telecom Regulations categorized all telecommunications businesses in China as either a “basic telecommunications business” or “value-added telecommunications business,” ICP services, e-mail services, and other telecommunications businesses operated by us are classified as value-added telecommunications businesses. According to the Telecom Regulations, the commercial operator of these services must obtain an operating license. The Telecom Regulations also set out extensive guidelines with respect to different aspects of telecommunications operations in China.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December 28, 2015, MIIT issued the Telecommunication Services Classification Catalog (2015 Edition). The 2015 Catalog took effect on March 1, 2016 and was amended on June 6, 2019. The Catalog divided the information services business into an additional five sub-categories and reclassified the online data processing and transaction processing services business from a “basic telecommunications business” to a “value-added telecommunications business.” In 2017, MIIT issued the new version of the Measures for the Administration of Telecom Business Licensing, or the MIIT Measures 2017, which became effective on September 1, 2017. The MIIT Measures 2017 require companies who are engaged in telecommunications businesses to have a Telecom Business License. However, the MIIT Measures 2017 removed the previous requirement to file trans-regional value-added telecommunications business permits.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December 2001, in order to comply with China’s commitments with respect to its entry into the WTO, the State Council promulgated the Regulation for the Administration of Foreign-Invested Telecommunications Enterprises, or the FITE Regulations, which was last revised in March 2022 and came into effect on May 1, 2022. The FITE Regulations set out detailed requirements with respect to capitalization, investor qualifications, and application procedures in connection with establishing a foreign invested telecom enterprise. Pursuant to the FITE Regulations, foreign investors may hold an aggregate of no more than 50% of the total equity in any value-added telecommunications business in China. The Notice of the MIIT on Removing the Restrictions on Foreign Equity Ratios in Online Data Processing and Transaction Processing (Operating E-commerce) Business issued by the MIIT in June 2015 set out an exception, under which, foreign investors may hold up to the entire equity interest in online data processing and transaction processing (operating e-commerce) businesses. However, the FITE Regulations do not define “online data processing and transaction processing (operating e-commerce) business,” and its interpretation and enforcement involve significant uncertainties. In addition, the Negative List removes some of the previous restrictions on value-added telecommunications providers by allowing foreign investors to hold up to the entire equity interest in domestic multi-party communication, e-storage and forwarding and call center businesses in China. However, other requirements provided by the SAPPRFT and MIIT regulations still apply.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Circular of the MII on Intensifying the Administration of Foreign Investment in Value-Added Telecommunication Services, or the 2006 MII Circular, was promulgated by MII on July 13, 2006. The 2006 MII Circular provides that, among others, (i) any domain name used by a valued-added telecommunications service provider must be legally owned by the service provider or its shareholder(s), (ii) a value-added telecommunications service provider must establish or improve the measures of ensuring information security, and (iii) companies that have obtained operating licenses for value-added telecommunications services are required to conduct self-examination and self-correction according to the requirements above and report their results to MII.</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Regulations on Internet Information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Measures for the Administration of Internet Information Services, or the ICP Measures, issued by the State Council went into effect on September 25, 2000 and was revised on January 8, 2011. Under the ICP Measures, any entity that provides information to internet users must obtain an operating license from the MII, or its local branch at the provincial level in accordance with the Regulations on Telecommunication Services described above.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June 1, 2017, the Provisions for the Administration of Internet News Information Services, promulgated by the CAC, came into effect, which superseded the previous regulations. According to the revised provisions, to provide internet-based news information services to the public via internet websites, applications, forums, blogs, micro-blogs, public accounts, instant communication tools and online live-stream, providers must obtain an Internet News Information Service License, issued by the CAC or a local cyberspace administration. In addition, the provisions prohibit organizations from establishing foreign, partially or wholly owned, entities that invest or operate internet-based news information services. The CAC and the local cyberspace administrative offices are responsible for the supervision, management and inspection of internet-based news information services. On March 12, 2022, the NDRC and the MOFCOM jointly issued the Negative List for Market Access (2022 Edition), pursuant to which market entities are prohibited from illegally conducting news media related businesses. To be specific, non-public capital shall not: (i) be engaged in business of news gathering, editing and broadcasting; (ii) invest in the establishment and operation of news organizations; (iii) operate the layout, frequency, channel, column and public account of news organizations; (iv) be engaged in live broadcasting related to politics, economics, military, diplomatic or related to major social, cultural, scientific and technological, health, education, sports activities and events and other activities and events related to political discretion, direction of public opinion and value orientation; (v) introduce news released by foreign subjects; or (vi) hold forum, summit or award selection activities in the field of news and public opinion. In December 2016, the MOC issued the Circular on the Administrative Measures for Business Activities Relating to Online Performance, pursuant to which an internet platform operator that provides online performance shall: (i) apply for a Network Culture Operation License with the relevant provincial-level authority; (ii) notify the MOC of any access or performance channels created for domestic performers within ten days; and (iii) submit an application to the MOC before creating any access or performance channels for foreign performers.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November 2018, the CAC, together with the Ministry of Public Security, published the Provisions on the Safety Assessment for Internet Information Services Capable of Creating Public Opinions or Social Mobilization. These provisions require certain internet information service providers to conduct safety assessment in relation to the: (i) the legal compliance status of their information services, new technologies and new applications; (ii) effectiveness of their implementation of safety measures as required by applicable laws and regulations; and (iii) effectiveness of their safety and risk control measures.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June 27, 2002, the MII and the GAPP jointly promulgated the Provisional Measures for the Administration of Internet Publishing, which was replaced by the Rules for the Administration of Online Publishing Service jointly issued by SAPPRFT and MIIT that became effective on March 10, 2016. These rules require online publishers to secure approval from the SAPPRFT for their operations. The term “online publication service” refers to providing online publications to the public through information networks. The term “online publications” is defined as the digital works with publishing features such as editing, production or processing provided to the public through information networks (including contents from books, newspapers, periodicals, audio and video products, electronic publications that have already been formally published or works that have been made public in other media format, and the digital works of literature, art and science). These rules also forbid foreign investment in the online publishing sector.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Measures for the Administration of Internet E-mail Services, or the Internet E-mail Measures, which was issued by MII on February 20, 2006, e-mail service providers must obtain value-added telecommunications business operating licenses or file for recordation as non-profit internet service providers. In addition, each e-mail service provider must keep a record of the timing, sender’s or recipient’s e-mail address and IP address of each e-mail transmitted through its servers for 60 days. The Internet E-mail Measures also state that an internet e-mail service provider is obligated to keep confidential the users’ personal registered information and internet e-mail addresses. An internet e-mail service provider and its employees may not illegally use any user’s personal registered information or internet e-mail address, and may not, without consent of the user, divulge the user’s personal registered information or internet e-mail address, unless otherwise prescribed by another law.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SARFT and MII jointly issued the Regulations for the Administration of Internet Audiovisual Program Services, or the Audiovisual Regulations, on December 20, 2007, which was revised on August 28, 2015 by the SAPPRFT. The Audiovisual Regulations require that online audio and video service providers obtain a permit from NRTA in accordance with the Audiovisual Regulations.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November 18, 2019, the CAC, the MOCT and the NRTA jointly issued the Promulgation of the Administrative Provisions on Online Audio and Video Information Services, or the Audio and Video Provisions, which took effect on January 1, 2020. The Audio and Video Provisions require that online audio and video information service providers: (i) acquire relevant qualifications required by law and regulations; (ii) adopt rules and policies in relation to, for example, user registration, information distribution and review, information security management, emergency disposal, educational training for employees, the protection of minors and intellectual property rights protection; (iii) verify personal information submitted by users as required under applicable laws; and (iv) undertake technical and other necessary measures to ensure network security and stable operations. The Audio and Video Provisions further set out requirements for the creation, distribution and transmission of audio videos based on new technologies and applications such as deep learning and virtual reality, including requirements for safety evaluation, labeling requirements and mechanisms for refuting fake rumors.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June 28, 2016, the CAC published the first regulation of mobile applications in the PRC, the Administrative Provisions on Information Services for Mobile Internet Applications. On 14 June 2022, the CAC issued a revised version of the Administrative Provisions on Mobile Internet Application Information Services, or the APP Provisions, which basically reflects the regulatory development since 2016 and further emphasizes that mobile internet app providers shall comply with the relevant provisions on the scope of necessary personal information when engaging in personal information processing activities. According to the APP Provisions, mobile internet app providers shall not compel users to agree to non-essential personal information collection out of any reason and are prohibited from banning users from their basic functional services due to the users’ refusal of providing non-essential personal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December 15, 2019, the CAC issued the Provisions on the Ecological Governance of Network Information Content, which took effect on March 1, 2020. For the purpose of these provisions, the term “ecological governance of network information contents” refers to the relevant activities carried out by governments, enterprises, society, internet users and other parties to promote positive energy, and dispose of illegal and harmful information. According to these provisions, a network information content service platform has a duty to act as the information content administrator, to strengthen the ecological governance of the network information content on the platform and to promote the formation of positive cyber culture towards kindness. Network information content service platforms are required to set up the mechanism of ecological governance of the network information content, develop detailed rules for ecological governance of network information content on the platform, and improve the systems for user registration, account management, information release and examination, post and comments examination, ecological page management, real-time inspection, emergency response, and disposal of cyber rumors and black industry chain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December 31, 2021, the CAC and other three regulatory authorities jointly promulgated the Administrative Provisions on Internet Information Service Algorithm Recommendation, which became effective on March 1, 2022. The Administrative Provisions on Internet Information Service Algorithm Recommendation stipulates that algorithm recommendation service providers with public opinion attributes or social mobilization capabilities shall submit the relevant information within ten business days from the date of providing such services. Pursuant to the Administrative Provisions on Internet Information Service Algorithm Recommendation, algorithmic recommendation service providers are required to provide users with options that are not specific to their personal characteristics, or provide users with convenient options to cancel algorithmic recommendation services and shall not set up algorithm models against applicable laws, regulations and social norms, including without limitation inducing users to indulge or engage in excess consumption.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September 9, 2022, the CAC, MIIT and SAMR issued the Administrative Provisions on Internet Pop-up Window Information Push Services, which became effective on September 30, 2022. The “Internet Pop-up Window Information Push Services” provided in such provisions refers to the information push services provided to internet users in the form of pop-up message windows through operating systems, application software, websites, etc. The provisions require that providers of internet pop-up window information push services shall implement the responsibilities as subjects of information content management and establish and improve management systems for censoring of information content, ecological governance, data security and personal information protection, and protection of minors. And it is not allowed for any provider of internet pop-up window information push services, among others: (i) to push illegal and unhealthy information as provided by relevant laws; (ii) to carry out unreasonable different push services for ordinary users and member users, or interfere or affect users to close pop-up windows in any form; (iii) to make use of algorithms to paint portraits of minor users and push information that may affect their physical and mental health; (iv) to present such information as third-party links and QR codes leading and redirecting malicious traffic by way of pop-up information push services, or induce users to click through such services to falsify or hijack traffic.</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November 16, 2022, the CAC issued the Administrative Provisions on Comment Threading Services on the Internet, effective on December 15, 2022, which grant CAC the responsibility for the supervision and administration of comment threading services nationwide. The “comment threading services” provided in such provisions refers to the services of threading text, symbols, expressions, pictures, audio and video and other information provided for the users by way of comments, replies, messages, bullet screens, likes, etc. According to the provisions, comment threading service providers shall strictly implement their primary responsibilities for the administration of comment threading services, and fulfill a series of duties, including, among others: (i) verifying the real identity information of the registered users according to the principles of “using real name at back end and using alias or real name voluntarily at front end;” (ii) establishing and improving a protection system for users’ personal information; (iii) establishing and improving a system of review and management of comments posted, real-time inspection, emergency response and reporting acceptance and other information security management systems, timely identifying and disposing of illegal and negative information, and reporting the same to the cyberspace administrations.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November 25, 2022, the CAC, MIIT and the Ministry of Public Security promulgated the Administrative Provisions for In-depth Integration as an Internet Information Service, which took effect on January 10, 2023. The “in-depth integrating technology” provided in such provisions refers to the technology to make text, graphics, radio, video, virtual scenes, among others, with the use of deep learning and virtual reality. The measures emphasize that the in-depth integrating services shall not be utilized for illegal activities prohibited by laws and regulations, and specifically, the related providers of such in-depth integrating services shall (i) establish and improve control systems in regards to user registration, algorithm review, technological ethic review, information public review, statistics security, personal information protection, anti-telecom and online fraud, emergency disposal, etc. and hold safe and controlled technical protection measures; (ii) formulate and publicize related management rules and platform pacts, improve service agreements, perform the management responsibilities in accordance with laws and agreements, and inform with explicit methods the technical supporters and users of the in-depth integration of their respective information safety obligations.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July 10, 2023, the CAC and other relevant authorities promulgated the Interim Measures for the Administration of Generative Artificial Intelligence Services, or the Generative Artificial Intelligence Services Measures, which became effective on August 15, 2023. The Generative Artificial Intelligence Services Measures impose compliance requirements for providers of generative artificial intelligence services to the general public within the territory of PRC. The Generative Artificial Intelligence Services Measures provide, among other things, that the provider of generative artificial intelligence services of text, image, audio or video to the general public shall, (i) assume the responsibilities as the producers of the network information contents in accordance with the law and fulfill its obligation of network information security, (ii) if personal information is involved, assume its responsibility as a personal information handler in accordance with the law and fulfill its obligation of protecting personal information, and (iii) in case of providing generative artificial intelligence services with attribute of public opinions or capable of social mobilization, conduct security assessments in accordance with the relevant regulations and complete certain filings in accordance with the Administrative Provisions on Internet Information Service Algorithm Recommendation. In particular, where illegal content or users engaging in illegal activities using generative artificial intelligence services are discovered, the generative artificial intelligence services providers are required to take appropriate measures, including, among other things, stopping the generation of such illegal content and suspending or terminating the provision of services, undergo rectifications, keep relevant records and report to the competent authority. On February 29, 2024, the National Technical Committee 260 on Cybersecurity of Standardization Administration of China promulgated the Basic Security Requirements for Generative Artificial Intelligence Service as a supporting document for the Generative Artificial Intelligence Services Measures to provide specific guidelines and assessment requirements for security of generative artificial intelligence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September 7, 2023, the MST and other relevant authorities promulgated the Measures for Ethical Review of Science and Technology (for Trial Implementation), or the Ethical Review Measures, which came into effect on December 1, 2023, according to which, any universities, scientific research institutions, medical and health institutions, and enterprises engaged in “ethically sensitive” science and technology activities in certain areas, including AI, must establish a science and technology ethical review committee. The Appendix of the Ethical Review Measures set out a special list of science and technology activities that shall be subject to (i) the preliminary review by the ethical review committee; and (ii) the additional expert review by the local or relevant industry-competent department. Science and technology activities that fall under such special list include, among other things, the R&amp;D of algorithm models, applications and systems with the ability to mobilize public opinions and guide social awareness, and R&amp;D of automated decision-making systems with a high degree of autonomy for scenarios with safety or personal health risks. In addition, the obligor is required to complete certain registration requirements, such as to register (i) its ethical review committee within 30 days after establishment; and (ii) its science and technology activities that require additional expert review within 30 days after clearance of ethical review, in each case on the National Science and Technology Ethics Management Information Registration Platform to be established by the MST. The registration should be updated in time when the relevant contents change.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July 21, 2023, the MIIT promulgated the Notice of the Ministry of Industry and Information Technology on the Record-filing of Mobile Internet Application (hereinafter referred to as App), which requires that holders of mobile Internet Apps engaged in Internet information services within the Mainland of PRC must fulfill the filing formalities in accordance with the Anti-Telecom and Online Fraud Law of the PRC and the Measures for the Administration of Internet Information Services and such holders shall not engage in the App Internet information service without completion of such filing. The aforesaid notice has set up a transition period from September 2023 to March 2024 for any App that has carried out business before the promulgation of such notice to go through the record-filing formalities in accordance with such notice.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August 8, 2023, the CAC issued the Regulations on Safety Management of Face Recognition Technology Application (Trial) (Draft for Comments) for public comments, which require the use of face recognition technology to process face information shall obtain the individual’s separate consent or written consent according to law, except where personal consent is not required by laws and administrative regulations. Furthermore, users of face recognition technology who use face recognition technology in public places, or store face information of more than 10,000 people, should file with the competent Internet information department within 30 working days.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October 16, 2023, the State Council promulgated the Regulation on the Protection of Minors in Cyberspace, which became effective on January 1, 2024. The Regulation on the Protection of Minors in Cyberspace specifies that the State Cyberspace Administration is responsible for the overall leadership and coordination in protecting minors in cyberspace, and clarifies the relevant responsibilities of government authorities in charge of press and publication, films, education, public security, radio and television, among other areas. Moreover, any organization or individual should not perform cyberbullying towards minors. Network product and service providers should establish a sound mechanism for early warning, identification and monitoring, and handling of cyberbullying acts. Besides, more efforts should be made to protect the privacy information of minors. That said, personal information processors should strictly limit the access to minors’ personal information, and conduct personal information compliance audits. Additionally, online games, live streaming and other network service providers should reasonably restrict minors’ network service expenditure according to their age groups, as well as set and optimize rules for preventing minors from cyber addiction.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Regulations on Information Security and Censorship</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Regulations governing information security and censorship include:</w:t>
      </w:r>
    </w:p>
    <w:p>
      <w:pPr>
        <w:pStyle w:val="TextBody"/>
        <w:bidi w:val="0"/>
        <w:spacing w:before="0" w:after="240"/>
        <w:ind w:left="720" w:right="0" w:hanging="0"/>
        <w:jc w:val="both"/>
        <w:rPr/>
      </w:pPr>
      <w:r>
        <w:rPr/>
        <w:t>●</w:t>
      </w:r>
      <w:r>
        <w:rPr>
          <w:rFonts w:ascii="Times New Roman;Times;serif" w:hAnsi="Times New Roman;Times;serif"/>
          <w:sz w:val="20"/>
        </w:rPr>
        <w:t>The Law of the PRC on the Preservation of State Secrets (1988, revised in 2010 and 2024) and its Implementation Rules (2014);</w:t>
      </w:r>
    </w:p>
    <w:p>
      <w:pPr>
        <w:pStyle w:val="TextBody"/>
        <w:bidi w:val="0"/>
        <w:spacing w:before="0" w:after="240"/>
        <w:ind w:left="720" w:right="0" w:hanging="0"/>
        <w:jc w:val="both"/>
        <w:rPr/>
      </w:pPr>
      <w:r>
        <w:rPr/>
        <w:t>●</w:t>
      </w:r>
      <w:r>
        <w:rPr>
          <w:rFonts w:ascii="Times New Roman;Times;serif" w:hAnsi="Times New Roman;Times;serif"/>
          <w:sz w:val="20"/>
        </w:rPr>
        <w:t>The Counter-espionage Law of the PRC (2014, revised in 2023);</w:t>
      </w:r>
    </w:p>
    <w:p>
      <w:pPr>
        <w:pStyle w:val="TextBody"/>
        <w:bidi w:val="0"/>
        <w:spacing w:before="0" w:after="240"/>
        <w:ind w:left="720" w:right="0" w:hanging="0"/>
        <w:jc w:val="both"/>
        <w:rPr/>
      </w:pPr>
      <w:r>
        <w:rPr/>
        <w:t>●</w:t>
      </w:r>
      <w:r>
        <w:rPr>
          <w:rFonts w:ascii="Times New Roman;Times;serif" w:hAnsi="Times New Roman;Times;serif"/>
          <w:sz w:val="20"/>
        </w:rPr>
        <w:t>The Rules of the PRC for Protecting the Security of Computer Information Systems (1994, revised in 2011);</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Administrative Measures for Protection of the Security of International Internetworking of Computer Information Networks (1997, revised in 2011);</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for the Administration of Keeping Secrets in the International Internetworking of Computer Information Systems (1999);</w:t>
            </w:r>
          </w:p>
        </w:tc>
      </w:tr>
    </w:tbl>
    <w:p>
      <w:pPr>
        <w:pStyle w:val="TextBody"/>
        <w:bidi w:val="0"/>
        <w:spacing w:before="0" w:after="240"/>
        <w:ind w:left="720" w:right="0" w:hanging="0"/>
        <w:jc w:val="both"/>
        <w:rPr/>
      </w:pPr>
      <w:r>
        <w:rPr/>
        <w:t>●</w:t>
      </w:r>
      <w:r>
        <w:rPr>
          <w:rFonts w:ascii="Times New Roman;Times;serif" w:hAnsi="Times New Roman;Times;serif"/>
          <w:sz w:val="20"/>
        </w:rPr>
        <w:t>The Notice issued by the Ministry of Public Security of the PRC Regarding Issues Relating to the Implementation of the Administrative Measure for the Security Protection of International Connections to Computer Information Networks (2000);</w:t>
      </w:r>
    </w:p>
    <w:p>
      <w:pPr>
        <w:pStyle w:val="TextBody"/>
        <w:bidi w:val="0"/>
        <w:spacing w:before="0" w:after="240"/>
        <w:ind w:left="720" w:right="0" w:hanging="0"/>
        <w:jc w:val="both"/>
        <w:rPr/>
      </w:pPr>
      <w:r>
        <w:rPr/>
        <w:t>●</w:t>
      </w:r>
      <w:r>
        <w:rPr>
          <w:rFonts w:ascii="Times New Roman;Times;serif" w:hAnsi="Times New Roman;Times;serif"/>
          <w:sz w:val="20"/>
        </w:rPr>
        <w:t>The Decision of the Standing Committee of the National People’s Congress Regarding the Safeguarding of Internet Security (2000, revised in 2009);</w:t>
      </w:r>
    </w:p>
    <w:p>
      <w:pPr>
        <w:pStyle w:val="TextBody"/>
        <w:bidi w:val="0"/>
        <w:spacing w:before="0" w:after="240"/>
        <w:ind w:left="720" w:right="0" w:hanging="0"/>
        <w:jc w:val="both"/>
        <w:rPr/>
      </w:pPr>
      <w:r>
        <w:rPr/>
        <w:t>●</w:t>
      </w:r>
      <w:r>
        <w:rPr>
          <w:rFonts w:ascii="Times New Roman;Times;serif" w:hAnsi="Times New Roman;Times;serif"/>
          <w:sz w:val="20"/>
        </w:rPr>
        <w:t>The Provisions on the Technical Measures for the Protection of the Security of the Internet (2005);</w:t>
      </w:r>
    </w:p>
    <w:p>
      <w:pPr>
        <w:pStyle w:val="TextBody"/>
        <w:bidi w:val="0"/>
        <w:spacing w:before="0" w:after="220"/>
        <w:ind w:left="720" w:right="0" w:hanging="0"/>
        <w:jc w:val="both"/>
        <w:rPr/>
      </w:pPr>
      <w:r>
        <w:rPr/>
        <w:t>●</w:t>
      </w:r>
      <w:r>
        <w:rPr>
          <w:rFonts w:ascii="Times New Roman;Times;serif" w:hAnsi="Times New Roman;Times;serif"/>
          <w:sz w:val="20"/>
        </w:rPr>
        <w:t>The Administrative Regulations for the Classified Protection of Information Security (2007);</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720" w:right="0" w:hanging="0"/>
        <w:jc w:val="both"/>
        <w:rPr/>
      </w:pPr>
      <w:r>
        <w:rPr/>
        <w:t>●</w:t>
      </w:r>
      <w:r>
        <w:rPr>
          <w:rFonts w:ascii="Times New Roman;Times;serif" w:hAnsi="Times New Roman;Times;serif"/>
          <w:sz w:val="20"/>
        </w:rPr>
        <w:t>The Decision of the Standing Committee of the National People’s Congress on Strengthening Network Information Protection (2012);</w:t>
      </w:r>
    </w:p>
    <w:p>
      <w:pPr>
        <w:pStyle w:val="TextBody"/>
        <w:bidi w:val="0"/>
        <w:spacing w:before="0" w:after="220"/>
        <w:ind w:left="720" w:right="0" w:hanging="0"/>
        <w:jc w:val="both"/>
        <w:rPr/>
      </w:pPr>
      <w:r>
        <w:rPr/>
        <w:t>●</w:t>
      </w:r>
      <w:r>
        <w:rPr>
          <w:rFonts w:ascii="Times New Roman;Times;serif" w:hAnsi="Times New Roman;Times;serif"/>
          <w:sz w:val="20"/>
        </w:rPr>
        <w:t>Provisions on Protection of Personal Information of Telecommunication and Internet Users (2013);</w:t>
      </w:r>
    </w:p>
    <w:p>
      <w:pPr>
        <w:pStyle w:val="TextBody"/>
        <w:bidi w:val="0"/>
        <w:spacing w:before="0" w:after="220"/>
        <w:ind w:left="720" w:right="0" w:hanging="0"/>
        <w:jc w:val="both"/>
        <w:rPr/>
      </w:pPr>
      <w:r>
        <w:rPr/>
        <w:t>●</w:t>
      </w:r>
      <w:r>
        <w:rPr>
          <w:rFonts w:ascii="Times New Roman;Times;serif" w:hAnsi="Times New Roman;Times;serif"/>
          <w:sz w:val="20"/>
        </w:rPr>
        <w:t xml:space="preserve">Internet User Account Name Management Regulations (2015); </w:t>
      </w:r>
    </w:p>
    <w:p>
      <w:pPr>
        <w:pStyle w:val="TextBody"/>
        <w:bidi w:val="0"/>
        <w:spacing w:before="0" w:after="220"/>
        <w:ind w:left="720" w:right="0" w:hanging="0"/>
        <w:jc w:val="both"/>
        <w:rPr/>
      </w:pPr>
      <w:r>
        <w:rPr/>
        <w:t>●</w:t>
      </w:r>
      <w:r>
        <w:rPr>
          <w:rFonts w:ascii="Times New Roman;Times;serif" w:hAnsi="Times New Roman;Times;serif"/>
          <w:sz w:val="20"/>
        </w:rPr>
        <w:t>Cybersecurity Law of the PRC (2016);</w:t>
      </w:r>
    </w:p>
    <w:p>
      <w:pPr>
        <w:pStyle w:val="TextBody"/>
        <w:bidi w:val="0"/>
        <w:spacing w:before="0" w:after="220"/>
        <w:ind w:left="720" w:right="0" w:hanging="0"/>
        <w:jc w:val="left"/>
        <w:rPr/>
      </w:pPr>
      <w:r>
        <w:rPr/>
        <w:t>●</w:t>
      </w:r>
      <w:r>
        <w:rPr>
          <w:rFonts w:ascii="Times New Roman;Times;serif" w:hAnsi="Times New Roman;Times;serif"/>
          <w:sz w:val="20"/>
        </w:rPr>
        <w:t>Detailed Rules for the Implementation of the Counter-espionage Law of the PRC (2017);</w:t>
      </w:r>
    </w:p>
    <w:p>
      <w:pPr>
        <w:pStyle w:val="TextBody"/>
        <w:bidi w:val="0"/>
        <w:spacing w:before="0" w:after="220"/>
        <w:ind w:left="720" w:right="0" w:hanging="0"/>
        <w:jc w:val="left"/>
        <w:rPr/>
      </w:pPr>
      <w:r>
        <w:rPr/>
        <w:t>●</w:t>
      </w:r>
      <w:r>
        <w:rPr>
          <w:rFonts w:ascii="Times New Roman;Times;serif" w:hAnsi="Times New Roman;Times;serif"/>
          <w:sz w:val="20"/>
        </w:rPr>
        <w:t>Provisions on the Cyber Protection of Children’s Personal Information, or the Children’s Provisions (2019);</w:t>
      </w:r>
    </w:p>
    <w:p>
      <w:pPr>
        <w:pStyle w:val="TextBody"/>
        <w:bidi w:val="0"/>
        <w:spacing w:before="0" w:after="220"/>
        <w:ind w:left="720" w:right="0" w:hanging="0"/>
        <w:jc w:val="both"/>
        <w:rPr/>
      </w:pPr>
      <w:r>
        <w:rPr/>
        <w:t>●</w:t>
      </w:r>
      <w:r>
        <w:rPr>
          <w:rFonts w:ascii="Times New Roman;Times;serif" w:hAnsi="Times New Roman;Times;serif"/>
          <w:sz w:val="20"/>
        </w:rPr>
        <w:t>Interpretation of the Supreme People’s Court and the Supreme People’s Procuratorate on Several Issues Concerning the Application of Law in the Handling of Criminal Cases Involving Illegal Use of Information Networks and Assistance in Criminal Activities Committed through Information Networks, or the “Fa Shi No. 15” (2019);</w:t>
      </w:r>
    </w:p>
    <w:p>
      <w:pPr>
        <w:pStyle w:val="TextBody"/>
        <w:bidi w:val="0"/>
        <w:spacing w:before="0" w:after="220"/>
        <w:ind w:left="720" w:right="0" w:hanging="0"/>
        <w:jc w:val="both"/>
        <w:rPr/>
      </w:pPr>
      <w:r>
        <w:rPr/>
        <w:t>●</w:t>
      </w:r>
      <w:r>
        <w:rPr>
          <w:rFonts w:ascii="Times New Roman;Times;serif" w:hAnsi="Times New Roman;Times;serif"/>
          <w:sz w:val="20"/>
        </w:rPr>
        <w:t>Information Security Technology —Personal Information Security Specification (2020 edition);</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Guiding Opinions on Implementing the Multi-Level Protection System for Cybersecurity and the Security Protection System for Critical Information Infrastructure (2020);</w:t>
            </w:r>
          </w:p>
        </w:tc>
      </w:tr>
    </w:tbl>
    <w:tbl>
      <w:tblPr>
        <w:tblW w:w="2496" w:type="dxa"/>
        <w:jc w:val="left"/>
        <w:tblInd w:w="0" w:type="dxa"/>
        <w:tblLayout w:type="fixed"/>
        <w:tblCellMar>
          <w:top w:w="28" w:type="dxa"/>
          <w:left w:w="28" w:type="dxa"/>
          <w:bottom w:w="28" w:type="dxa"/>
          <w:right w:w="28" w:type="dxa"/>
        </w:tblCellMar>
      </w:tblPr>
      <w:tblGrid>
        <w:gridCol w:w="124"/>
        <w:gridCol w:w="256"/>
        <w:gridCol w:w="2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PRC Civil Code (2020);</w:t>
            </w:r>
          </w:p>
        </w:tc>
      </w:tr>
    </w:tbl>
    <w:tbl>
      <w:tblPr>
        <w:tblW w:w="9771" w:type="dxa"/>
        <w:jc w:val="left"/>
        <w:tblInd w:w="0" w:type="dxa"/>
        <w:tblLayout w:type="fixed"/>
        <w:tblCellMar>
          <w:top w:w="28" w:type="dxa"/>
          <w:left w:w="28" w:type="dxa"/>
          <w:bottom w:w="28" w:type="dxa"/>
          <w:right w:w="28" w:type="dxa"/>
        </w:tblCellMar>
      </w:tblPr>
      <w:tblGrid>
        <w:gridCol w:w="124"/>
        <w:gridCol w:w="256"/>
        <w:gridCol w:w="93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Rules on the Scope of Necessary Personal Information for Common Types of Mobile Internet Applications (2021);</w:t>
            </w:r>
          </w:p>
        </w:tc>
      </w:tr>
    </w:tbl>
    <w:tbl>
      <w:tblPr>
        <w:tblW w:w="3786" w:type="dxa"/>
        <w:jc w:val="left"/>
        <w:tblInd w:w="0" w:type="dxa"/>
        <w:tblLayout w:type="fixed"/>
        <w:tblCellMar>
          <w:top w:w="28" w:type="dxa"/>
          <w:left w:w="28" w:type="dxa"/>
          <w:bottom w:w="28" w:type="dxa"/>
          <w:right w:w="28" w:type="dxa"/>
        </w:tblCellMar>
      </w:tblPr>
      <w:tblGrid>
        <w:gridCol w:w="124"/>
        <w:gridCol w:w="256"/>
        <w:gridCol w:w="34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Cybersecurity Review Measures (2021);</w:t>
            </w:r>
          </w:p>
        </w:tc>
      </w:tr>
    </w:tbl>
    <w:tbl>
      <w:tblPr>
        <w:tblW w:w="3126" w:type="dxa"/>
        <w:jc w:val="left"/>
        <w:tblInd w:w="0" w:type="dxa"/>
        <w:tblLayout w:type="fixed"/>
        <w:tblCellMar>
          <w:top w:w="28" w:type="dxa"/>
          <w:left w:w="28" w:type="dxa"/>
          <w:bottom w:w="28" w:type="dxa"/>
          <w:right w:w="28" w:type="dxa"/>
        </w:tblCellMar>
      </w:tblPr>
      <w:tblGrid>
        <w:gridCol w:w="124"/>
        <w:gridCol w:w="256"/>
        <w:gridCol w:w="27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PRC Data Security Law (2021); </w:t>
            </w:r>
          </w:p>
        </w:tc>
      </w:tr>
    </w:tbl>
    <w:tbl>
      <w:tblPr>
        <w:tblW w:w="7341" w:type="dxa"/>
        <w:jc w:val="left"/>
        <w:tblInd w:w="0" w:type="dxa"/>
        <w:tblLayout w:type="fixed"/>
        <w:tblCellMar>
          <w:top w:w="28" w:type="dxa"/>
          <w:left w:w="28" w:type="dxa"/>
          <w:bottom w:w="28" w:type="dxa"/>
          <w:right w:w="28" w:type="dxa"/>
        </w:tblCellMar>
      </w:tblPr>
      <w:tblGrid>
        <w:gridCol w:w="124"/>
        <w:gridCol w:w="256"/>
        <w:gridCol w:w="69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Regulations for the Security Protection of Critical Information Infrastructure (2021);</w:t>
            </w:r>
          </w:p>
        </w:tc>
      </w:tr>
    </w:tbl>
    <w:tbl>
      <w:tblPr>
        <w:tblW w:w="4146" w:type="dxa"/>
        <w:jc w:val="left"/>
        <w:tblInd w:w="0" w:type="dxa"/>
        <w:tblLayout w:type="fixed"/>
        <w:tblCellMar>
          <w:top w:w="28" w:type="dxa"/>
          <w:left w:w="28" w:type="dxa"/>
          <w:bottom w:w="28" w:type="dxa"/>
          <w:right w:w="28" w:type="dxa"/>
        </w:tblCellMar>
      </w:tblPr>
      <w:tblGrid>
        <w:gridCol w:w="124"/>
        <w:gridCol w:w="256"/>
        <w:gridCol w:w="37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Personal Information Protection Law (2021);</w:t>
            </w:r>
          </w:p>
        </w:tc>
      </w:tr>
    </w:tbl>
    <w:tbl>
      <w:tblPr>
        <w:tblW w:w="5121" w:type="dxa"/>
        <w:jc w:val="left"/>
        <w:tblInd w:w="0" w:type="dxa"/>
        <w:tblLayout w:type="fixed"/>
        <w:tblCellMar>
          <w:top w:w="28" w:type="dxa"/>
          <w:left w:w="28" w:type="dxa"/>
          <w:bottom w:w="28" w:type="dxa"/>
          <w:right w:w="28" w:type="dxa"/>
        </w:tblCellMar>
      </w:tblPr>
      <w:tblGrid>
        <w:gridCol w:w="124"/>
        <w:gridCol w:w="256"/>
        <w:gridCol w:w="47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Anti-Telecom and Online Fraud Law of the PRC (2022); </w:t>
            </w:r>
          </w:p>
        </w:tc>
      </w:tr>
    </w:tbl>
    <w:tbl>
      <w:tblPr>
        <w:tblW w:w="6666" w:type="dxa"/>
        <w:jc w:val="left"/>
        <w:tblInd w:w="0" w:type="dxa"/>
        <w:tblLayout w:type="fixed"/>
        <w:tblCellMar>
          <w:top w:w="28" w:type="dxa"/>
          <w:left w:w="28" w:type="dxa"/>
          <w:bottom w:w="28" w:type="dxa"/>
          <w:right w:w="28" w:type="dxa"/>
        </w:tblCellMar>
      </w:tblPr>
      <w:tblGrid>
        <w:gridCol w:w="124"/>
        <w:gridCol w:w="256"/>
        <w:gridCol w:w="6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Measures for the Security Assessment of Data Cross-border Transfer (2022); </w:t>
            </w:r>
          </w:p>
        </w:tc>
      </w:tr>
    </w:tbl>
    <w:tbl>
      <w:tblPr>
        <w:tblW w:w="7596" w:type="dxa"/>
        <w:jc w:val="left"/>
        <w:tblInd w:w="0" w:type="dxa"/>
        <w:tblLayout w:type="fixed"/>
        <w:tblCellMar>
          <w:top w:w="28" w:type="dxa"/>
          <w:left w:w="28" w:type="dxa"/>
          <w:bottom w:w="28" w:type="dxa"/>
          <w:right w:w="28" w:type="dxa"/>
        </w:tblCellMar>
      </w:tblPr>
      <w:tblGrid>
        <w:gridCol w:w="124"/>
        <w:gridCol w:w="256"/>
        <w:gridCol w:w="72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Guidelines for Declaring Data Cross-border Security Assessment (First Edition) (2022); </w:t>
            </w:r>
          </w:p>
        </w:tc>
      </w:tr>
    </w:tbl>
    <w:tbl>
      <w:tblPr>
        <w:tblW w:w="8541" w:type="dxa"/>
        <w:jc w:val="left"/>
        <w:tblInd w:w="0" w:type="dxa"/>
        <w:tblLayout w:type="fixed"/>
        <w:tblCellMar>
          <w:top w:w="28" w:type="dxa"/>
          <w:left w:w="28" w:type="dxa"/>
          <w:bottom w:w="28" w:type="dxa"/>
          <w:right w:w="28" w:type="dxa"/>
        </w:tblCellMar>
      </w:tblPr>
      <w:tblGrid>
        <w:gridCol w:w="124"/>
        <w:gridCol w:w="256"/>
        <w:gridCol w:w="81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Announcement on the Implementation of Certification for Personal Information Protection (2022);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Measures for Data Security Administration in the Industry and Information Technology Field (Trial Implementation) (2022);</w:t>
            </w:r>
          </w:p>
        </w:tc>
      </w:tr>
    </w:tbl>
    <w:tbl>
      <w:tblPr>
        <w:tblW w:w="8016" w:type="dxa"/>
        <w:jc w:val="left"/>
        <w:tblInd w:w="0" w:type="dxa"/>
        <w:tblLayout w:type="fixed"/>
        <w:tblCellMar>
          <w:top w:w="28" w:type="dxa"/>
          <w:left w:w="28" w:type="dxa"/>
          <w:bottom w:w="28" w:type="dxa"/>
          <w:right w:w="28" w:type="dxa"/>
        </w:tblCellMar>
      </w:tblPr>
      <w:tblGrid>
        <w:gridCol w:w="124"/>
        <w:gridCol w:w="256"/>
        <w:gridCol w:w="76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Provisions for In-depth Integration as an Internet Information Service (2022);</w:t>
            </w:r>
          </w:p>
        </w:tc>
      </w:tr>
    </w:tbl>
    <w:tbl>
      <w:tblPr>
        <w:tblW w:w="7881" w:type="dxa"/>
        <w:jc w:val="left"/>
        <w:tblInd w:w="0" w:type="dxa"/>
        <w:tblLayout w:type="fixed"/>
        <w:tblCellMar>
          <w:top w:w="28" w:type="dxa"/>
          <w:left w:w="28" w:type="dxa"/>
          <w:bottom w:w="28" w:type="dxa"/>
          <w:right w:w="28" w:type="dxa"/>
        </w:tblCellMar>
      </w:tblPr>
      <w:tblGrid>
        <w:gridCol w:w="124"/>
        <w:gridCol w:w="256"/>
        <w:gridCol w:w="75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Measures for Standard Contracts for Cross-border Transfers of Personal Information (2023);</w:t>
            </w:r>
          </w:p>
        </w:tc>
      </w:tr>
    </w:tbl>
    <w:tbl>
      <w:tblPr>
        <w:tblW w:w="8076" w:type="dxa"/>
        <w:jc w:val="left"/>
        <w:tblInd w:w="0" w:type="dxa"/>
        <w:tblLayout w:type="fixed"/>
        <w:tblCellMar>
          <w:top w:w="28" w:type="dxa"/>
          <w:left w:w="28" w:type="dxa"/>
          <w:bottom w:w="28" w:type="dxa"/>
          <w:right w:w="28" w:type="dxa"/>
        </w:tblCellMar>
      </w:tblPr>
      <w:tblGrid>
        <w:gridCol w:w="124"/>
        <w:gridCol w:w="256"/>
        <w:gridCol w:w="76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Measures for the Administration of Generative Artificial Intelligence Services (2023);</w:t>
            </w:r>
          </w:p>
        </w:tc>
      </w:tr>
    </w:tbl>
    <w:tbl>
      <w:tblPr>
        <w:tblW w:w="8271" w:type="dxa"/>
        <w:jc w:val="left"/>
        <w:tblInd w:w="0" w:type="dxa"/>
        <w:tblLayout w:type="fixed"/>
        <w:tblCellMar>
          <w:top w:w="28" w:type="dxa"/>
          <w:left w:w="28" w:type="dxa"/>
          <w:bottom w:w="28" w:type="dxa"/>
          <w:right w:w="28" w:type="dxa"/>
        </w:tblCellMar>
      </w:tblPr>
      <w:tblGrid>
        <w:gridCol w:w="124"/>
        <w:gridCol w:w="256"/>
        <w:gridCol w:w="78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Measures for Ethical Review of Science and Technology (for Trial Implementation) (2023); and</w:t>
            </w:r>
          </w:p>
        </w:tc>
      </w:tr>
    </w:tbl>
    <w:tbl>
      <w:tblPr>
        <w:tblW w:w="6501" w:type="dxa"/>
        <w:jc w:val="left"/>
        <w:tblInd w:w="0" w:type="dxa"/>
        <w:tblLayout w:type="fixed"/>
        <w:tblCellMar>
          <w:top w:w="28" w:type="dxa"/>
          <w:left w:w="28" w:type="dxa"/>
          <w:bottom w:w="28" w:type="dxa"/>
          <w:right w:w="28" w:type="dxa"/>
        </w:tblCellMar>
      </w:tblPr>
      <w:tblGrid>
        <w:gridCol w:w="124"/>
        <w:gridCol w:w="256"/>
        <w:gridCol w:w="6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on Promoting and Regulating Cross-border Data Flows (2024).</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720" w:right="0" w:hanging="0"/>
        <w:jc w:val="left"/>
        <w:rPr>
          <w:rFonts w:ascii="Times New Roman;Times;serif" w:hAnsi="Times New Roman;Times;serif"/>
          <w:sz w:val="20"/>
        </w:rPr>
      </w:pPr>
      <w:r>
        <w:rPr>
          <w:rFonts w:ascii="Times New Roman;Times;serif" w:hAnsi="Times New Roman;Times;serif"/>
          <w:sz w:val="20"/>
        </w:rPr>
        <w:t>Under various Laws, ICP operators and internet publishers are prohibited from posting or displaying any content that:</w:t>
      </w:r>
    </w:p>
    <w:p>
      <w:pPr>
        <w:pStyle w:val="TextBody"/>
        <w:bidi w:val="0"/>
        <w:spacing w:before="0" w:after="0"/>
        <w:ind w:left="720" w:right="0" w:hanging="0"/>
        <w:jc w:val="left"/>
        <w:rPr/>
      </w:pPr>
      <w:r>
        <w:rPr/>
        <w:t>●</w:t>
      </w:r>
      <w:r>
        <w:rPr>
          <w:rFonts w:ascii="Times New Roman;Times;serif" w:hAnsi="Times New Roman;Times;serif"/>
          <w:sz w:val="20"/>
        </w:rPr>
        <w:t>opposes the fundamental principles set out in China’s Constitution;</w:t>
      </w:r>
    </w:p>
    <w:p>
      <w:pPr>
        <w:pStyle w:val="TextBody"/>
        <w:bidi w:val="0"/>
        <w:spacing w:before="0" w:after="220"/>
        <w:ind w:left="720" w:right="0" w:hanging="0"/>
        <w:jc w:val="left"/>
        <w:rPr/>
      </w:pPr>
      <w:r>
        <w:rPr/>
        <w:t>●</w:t>
      </w:r>
      <w:r>
        <w:rPr>
          <w:rFonts w:ascii="Times New Roman;Times;serif" w:hAnsi="Times New Roman;Times;serif"/>
          <w:sz w:val="20"/>
        </w:rPr>
        <w:t>compromises state security, divulges state secrets, subverts state power or damages national unity;</w:t>
      </w:r>
    </w:p>
    <w:p>
      <w:pPr>
        <w:pStyle w:val="TextBody"/>
        <w:bidi w:val="0"/>
        <w:spacing w:before="0" w:after="220"/>
        <w:ind w:left="720" w:right="0" w:hanging="0"/>
        <w:jc w:val="left"/>
        <w:rPr/>
      </w:pPr>
      <w:r>
        <w:rPr/>
        <w:t>●</w:t>
      </w:r>
      <w:r>
        <w:rPr>
          <w:rFonts w:ascii="Times New Roman;Times;serif" w:hAnsi="Times New Roman;Times;serif"/>
          <w:sz w:val="20"/>
        </w:rPr>
        <w:t>harms the dignity or interests of the state;</w:t>
      </w:r>
    </w:p>
    <w:p>
      <w:pPr>
        <w:pStyle w:val="TextBody"/>
        <w:bidi w:val="0"/>
        <w:spacing w:before="0" w:after="220"/>
        <w:ind w:left="720" w:right="0" w:hanging="0"/>
        <w:jc w:val="left"/>
        <w:rPr/>
      </w:pPr>
      <w:r>
        <w:rPr/>
        <w:t>●</w:t>
      </w:r>
      <w:r>
        <w:rPr>
          <w:rFonts w:ascii="Times New Roman;Times;serif" w:hAnsi="Times New Roman;Times;serif"/>
          <w:sz w:val="20"/>
        </w:rPr>
        <w:t>incites ethnic hatred or racial discrimination or damages inter-ethnic unity;</w:t>
      </w:r>
    </w:p>
    <w:p>
      <w:pPr>
        <w:pStyle w:val="TextBody"/>
        <w:bidi w:val="0"/>
        <w:spacing w:before="0" w:after="220"/>
        <w:ind w:left="720" w:right="0" w:hanging="0"/>
        <w:jc w:val="left"/>
        <w:rPr/>
      </w:pPr>
      <w:r>
        <w:rPr/>
        <w:t>●</w:t>
      </w:r>
      <w:r>
        <w:rPr>
          <w:rFonts w:ascii="Times New Roman;Times;serif" w:hAnsi="Times New Roman;Times;serif"/>
          <w:sz w:val="20"/>
        </w:rPr>
        <w:t>sabotages China’s religious policy or propagates heretical teachings or feudal superstitions;</w:t>
      </w:r>
    </w:p>
    <w:p>
      <w:pPr>
        <w:pStyle w:val="TextBody"/>
        <w:bidi w:val="0"/>
        <w:spacing w:before="0" w:after="220"/>
        <w:ind w:left="720" w:right="0" w:hanging="0"/>
        <w:jc w:val="left"/>
        <w:rPr/>
      </w:pPr>
      <w:r>
        <w:rPr/>
        <w:t>●</w:t>
      </w:r>
      <w:r>
        <w:rPr>
          <w:rFonts w:ascii="Times New Roman;Times;serif" w:hAnsi="Times New Roman;Times;serif"/>
          <w:sz w:val="20"/>
        </w:rPr>
        <w:t>disseminates rumors, disturbs social order or disrupts social stability;</w:t>
      </w:r>
    </w:p>
    <w:p>
      <w:pPr>
        <w:pStyle w:val="TextBody"/>
        <w:bidi w:val="0"/>
        <w:spacing w:before="0" w:after="220"/>
        <w:ind w:left="720" w:right="0" w:hanging="0"/>
        <w:jc w:val="left"/>
        <w:rPr/>
      </w:pPr>
      <w:r>
        <w:rPr/>
        <w:t>●</w:t>
      </w:r>
      <w:r>
        <w:rPr>
          <w:rFonts w:ascii="Times New Roman;Times;serif" w:hAnsi="Times New Roman;Times;serif"/>
          <w:sz w:val="20"/>
        </w:rPr>
        <w:t>propagates obscenity, pornography, gambling, violence, murder or fear or incites the commission of crimes;</w:t>
      </w:r>
    </w:p>
    <w:p>
      <w:pPr>
        <w:pStyle w:val="TextBody"/>
        <w:bidi w:val="0"/>
        <w:spacing w:before="0" w:after="220"/>
        <w:ind w:left="720" w:right="0" w:hanging="0"/>
        <w:jc w:val="left"/>
        <w:rPr/>
      </w:pPr>
      <w:r>
        <w:rPr/>
        <w:t>●</w:t>
      </w:r>
      <w:r>
        <w:rPr>
          <w:rFonts w:ascii="Times New Roman;Times;serif" w:hAnsi="Times New Roman;Times;serif"/>
          <w:sz w:val="20"/>
        </w:rPr>
        <w:t>insults or slanders a third party or infringes upon the lawful rights and interests of a third party; or</w:t>
      </w:r>
    </w:p>
    <w:p>
      <w:pPr>
        <w:pStyle w:val="TextBody"/>
        <w:bidi w:val="0"/>
        <w:ind w:left="720" w:right="0" w:hanging="0"/>
        <w:jc w:val="left"/>
        <w:rPr/>
      </w:pPr>
      <w:r>
        <w:rPr/>
        <w:t>●</w:t>
      </w:r>
      <w:r>
        <w:rPr>
          <w:rFonts w:ascii="Times New Roman;Times;serif" w:hAnsi="Times New Roman;Times;serif"/>
          <w:sz w:val="20"/>
        </w:rPr>
        <w:t>includes other content prohibited by laws or administrative regulations.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Failure to comply with the content censorship requirements may result in the revocation of licenses and the closing down of the concerned websites or other online and mobile platforms. In addition, it is mandatory for internet companies in the PRC to complete security-filing procedures and regularly update information security and censorship systems for their websites and other online and mobile platforms with the local public security bureau. On June 22, 2007, the Ministry of Public Security, the State Secrecy Bureau, the State Cryptography Administration Bureau and the SCIO jointly issued the Administrative Regulations for the Classified Protection of Information Security, according to which websites should determine the protection classification of their information systems pursuant to a classification guideline and file their classification with the Ministry of Public Security or its bureaus at or above the municipal level with subordinate districts.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December 28, 2012, the Standing Committee of the National People’s Congress issued the Decision on Strengthening Network Information Protection, or the Information Protection Decision, which provides that electronic information through which a citizen’s identity can be identified or in which a citizen’s privacy is involved (“Personal Information”), is protected and no person shall steal, illegally obtain, sell or illegally provide to others any Personal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February 4, 2015, the CAC issued the Internet User Account Name Management Regulations, which defines “Internet User Account Name” as an account name registered or used in internet information services, including without limitation, blogs, micro-blogs, instant communication tools, forums and thread comments. In addition, according to the regulations, internet information service providers must prohibit their users from using any illegal or harmful information in their account name, avatar, profile or other registration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June 27, 2022, the CAC issued the Internet User Account Information Management Regulations, which took effect on August 1, 2022. The Internet User Account Information Management Regulations stipulates that an internet information service provider shall perform the responsibility of internet user account information management as a service provider, be equipped with professional personnel and technical capabilities corresponding to its service scale, and establish a sound and strictly implement authentic identity information verification, account information verification, information content security, ecological governance, emergency response and personal information protection management systems.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November 7, 2016, the Standing Committee of the National People’s Congress promulgated the Cybersecurity Law, which became effective on June 1, 2017. In accordance with the Cybersecurity Law, network operators must comply with applicable laws and regulations and fulfill their obligations to safeguard network security in conducting business and providing services. Network service providers must take technical and other necessary measures as required by Laws to safeguard the operation of networks, respond to network security effectively, prevent illegal and criminal activities, and maintain the integrity, confidentiality and usability of network data. In addition, network operators must not collect personal information irrelevant to their services. In addition, the Cybersecurity Law provides that personal information and important data collected and generated by an operator of critical information infrastructure in the course of its operations in the PRC must be stored in the PRC. In the event of any unauthorized disclosure, damage or loss of collected personal information, network operators must take immediate remedial measures, notify the affected users and report the incidents to the relevant authorities in a timely manner. On September 12, 2022, the CAC, issued the Decision on Amending the PRC Cybersecurity Law (Draft for Comments), focusing on the following four aspects: (i) to improve the legal liability system for violating the general provisions on the security of cyber operation; (ii) to amend the legal liability system for the security protection of critical information infrastructure; (iii) to adjust the legal liability system for network information security; and (iv) to amend the legal liability system for the protection of personal information. As of the date of the filing of this annual report, the PRC Cybersecurity Law (Draft for Comments) has not been formally adopted.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CAC issued the Children’s Provisions, which took effect on October 1, 2019. According to the Children’s Provisions, no organization or individual is allowed to produce, release or disseminate information that infringes upon the personal information security of children under 14. Network operators collecting, storing, using, transferring or disclosing children’s personal information are required to enact special protections for this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March 12, 2021, CAC, MIIT, the Ministry of Public Security and SAMR jointly issued the Rules on the Scope of Necessary Personal Information for Common Types of Mobile Internet Applications to further provides guidance of “essential personal information” for different types of mobile apps, with effect on May 1, 2021, pursuant to which mobile apps shall not deny user access to apps’ basic functional services in case that the users want to opt to not provide non-essential personal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October 21, 2019, the Supreme People’s Court and the Supreme People’s Procuratorate jointly issued the Fa Shi No. 15, which became effective on November 1, 2019. The Fa Shi No. 15 interpreted several issues concerning the application of law in handling criminal cases such as refusing to fulfill the obligation of managing the security of information networks, illegally using information networks and assisting in criminal activities committed through information networks, in accordance with the Criminal Law of the PRC and the Criminal Procedure Law of the PRC.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July 7, 2022, the CAC promulgated the Measures for the Security Assessment of Data Cross-border Transfer, which took effect on September 1, 2022. On March 22, 2024, the CAC promulgated the Provisions on Promoting and Regulating Cross-border Data Flows (together with the Security Assessment of Data Cross-border Transfer, the “Data Cross-border Transfer Provisions”), which further clarify the implementation rules of existing systems to facilitate the cross-border flow of data, including, among others, relaxing the conditions for the cross-border transfer of data and narrowing the scope of security assessment on the cross-border transfer of data. The Data Cross-border Transfer Provisions require that, with certain exceptions, a data processor providing data overseas and falling under any of the following circumstances shall apply for the security assessment of cross-border data transfer by the national cybersecurity authority through its local counterpart: (i) where a critical information infrastructure operator intends to provide personal information or important data overseas; or (ii) where any data processor other than a critical information infrastructure operator intends to provide important data overseas or, as from January 1 of the current year, provide personal information (excluding sensitive personal information) of not less than 1 million individuals or sensitive personal information of not less than 10,000 individuals in aggregate to overseas recipients. Furthermore, the data processor shall conduct a self-assessment on the risk of data cross-border transfer prior to applying for the foregoing security assessment, under which the data processor shall focus on certain factors including, among others, the legitimacy, fairness and necessity of the purpose, scope and method of data cross-border transfer and the data processing of overseas recipients, the risks that the cross-border data transfer may bring to national security, public interests and the legitimate rights and interests of individuals or organizations as well as whether the cross-border data transfer related contracts or the other legally binding documents to be entered with overseas recipients have fully included the data security protection responsibilities and obligations. On August 31, 2022, the CAC issued the Guidelines for Declaring Data Cross-border Security Assessment (First Edition), which became effective on September 1, 2022 and further clarifies the scope of application, declaration methods and processes of data cross-border security assessment.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December 8, 2022, the MIIT promulgated the Measures for Data Security Administration in the Industry and Information Technology Field (Trial Implementation), or the Trial Measures, which took effect on January 1, 2023. In accordance with the Trial Measures, industrial and information technology field data processors must classify data based on the data’s category and the security level, and also classify and identify data based on the industry requirements, business needs, data sources and purposes and other factors, and to make a data classification catalogue. In addition, the industrial and information technology field data processors are required to establish and improve a sound data classification management system, take measures to protect data based on its levels, carry out key protection of critical data and core data, and implement the protection with the highest level of requirement if different levels of data are processed at the same time. The Trial Measures also impose certain obligations on industrial and information technology field data processors in relation to, among other things, data collection, data storage, data usage, data transmission, cross-border of data, data destruction, data security review and emergency plans, etc.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May 28, 2020, the National People’s Congress issued the PRC Civil Code, which took effect on January 1, 2021. In accordance with the PRC Civil Code, natural person’s personal information shall be protected by law, and the processing of personal information shall be subject to the principle of legitimacy, rightfulness and necessity, with no excessive processing.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PRC Data Security Law was released by the National People’s Congress Standing Committee on June 10, 2021 and became effective on September 1, 2021. The PRC Data Security Law stipulates the measures to support and promote data security and development, to establish and optimize the national data security management system, and to clarify organizations’ and individuals’ responsibilities in data security. According to the PRC Data Security Law, data processing activities shall be carried out in accordance with PRC laws and regulations, establishing and improving the data security management system of the whole process, organizing and carrying out data security education and training, and taking corresponding technical measures and other necessary measures to guarantee data security. Where data processing activities are carried out through the internet and other information networks, the above-mentioned data security protection obligations shall be fulfilled on the basis of the hierarchical network security protection system. In carrying out data processing activities, risk monitoring shall be strengthened, and remedial measures shall be taken immediately when data security defects, loopholes and other risks are found. In the event of a data security incident, the processors of data shall take immediate measures to deal with it, inform the user in time and report to the competent authorities in accordance with relevant provisions. The processors of important data shall, in accordance with relevant provisions, carry out regular risk assessments of their data processing activities and submit risk assessment reports to the competent authorities. The PRC Data Security Law provides a national data security review system, under which data processing activities that affect or may affect national security shall be reviewed. Any organization or individual carrying out data processing activities that violates the PRC Data Security Law shall bear the corresponding civil, administrative or criminal liability depending on the specific circumstances.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November 14, 2021, the CAC publicly solicited opinions on the Draft Data Security Regulations. According to the Draft Data Security Regulations, data processors shall, in accordance with relevant state provisions, apply for cyber security review when carrying out the following activities:(1) the merger, reorganization or separation of internet platform operators that have acquired a large number of data resources related to national security, economic development or public interests, which affects or may affect national security; (2) data processors that handle the personal information of more than one million people intends to be listed abroad; (3) the data processor intends to be listed in Hong Kong, which affects or may affect national security; (4) other data processing activities that affect or may affect national security. The scope of and threshold for determining what “affects or may affect national security” is still subject to uncertainty and further elaboration by the CAC.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December 28, 2021, the CAC, NDRC, MIIT and other ten PRC regulatory authorities jointly issued the Cybersecurity Review Measures, effective on February 15, 2022. The Cybersecurity Review Measures require that, (i) any procurement of network products and services by critical information infrastructure operators, which affects or may affect national security, or (ii) any data processing activities by network platform operators, which affects or may affect national security, including that any network platform operators which has personal information of more than one million users and is going to be listed abroad, are subject to cybersecurity review. Since the measures were recently promulgated, there exists uncertainties with respect to their interpretation and implementation.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August 17, 2021, the State Council promulgated the Regulations on Critical Information Infrastructure Protection, or the CII Regulations, which came into effect on 1 September 2021. Pursuant to the CII Regulations, “critical information infrastructures” refers to important network facilities and information systems of important industries and sectors such as public communications and information services, energy, transport, water conservation, finance, public services, e-government, and science and technology industry for national defense, as well as other important network facilities and information systems that may seriously endanger national security, national economy and citizen’s livelihood and public interests if they are damaged or suffer from malfunctions, or if any leakage of data in relation thereto occurs. Competent authorities as well as the supervision and administrative authorities of the above-mentioned important industries and sectors are responsible for the security protection of critical information infrastructures (the “Protection Authorities”). The Protection Authorities will establish the rules for the identification of critical information infrastructures based on the particular situations of the industry and report such rules to the public security department of the State Council for record. The following factors must be considered when establishing identification rules: (i) the importance of network facilities and information systems to the core businesses of the industry and the sector; (ii) the harm that may be brought by the damage, malfunction or data leakage of, the network facilities and information systems; and (iii) the associated impact on other industries and sectors. The Protection Authorities are responsible for organizing the identification of critical information infrastructures in their own industries and sectors in accordance with the identification rules, promptly notifying the operators of the identification results and reporting to the public security department of the State Council.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Personal Information Protection Law, or the PIPL, was released by the National People’s Congress Standing Committee on August 20, 2021 and became effective on November 1, 2021. The PIPL stipulates the scope of personal information and the general principles of processing personal information, establishes rules for processing personal information, special rules for processing sensitive personal information and rules for the cross-border transfer of personal information abroad, as well as clarifies the individual’s rights and the processor’s obligations in the process of personal information. The PIPL applies to (i) the processing within the territory of the PRC of natural persons’ personal information; or (ii) the processing outside the territory of the PRC of personal information of natural persons within the PRC, provided that such information is processed (x) for the purpose of providing products or services to domestic natural persons, (y) to analyze or assess the conduct of domestic natural persons, or (z) under any other circumstances as prescribed by laws and administrative regulations. Failure to comply with the requirements of the PIPL may result in various legal liabilities including confiscation of unlawful income, a warning, a fine of up to RMB50 million or 5% of annual revenue, and suspension of related business activities, among others.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we expand our operations internationally, we have become subject to privacy and data protection laws of other jurisdictions.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Europe, the GDPR has applied directly in all European Union member states since May 25, 2018. GDPR also has extraterritorial effect, applying to both processing carried out by companies with an establishment in the European Economic Area, or EEA, and to the processing carried out by entities which offer goods or services to individuals located in the EEA or monitor the behavior of individuals located in the EEA. GDPR imposes robust requirements for controllers and processors of personal data. These include requiring a legal basis for processing, limits on the collection and use of personal data (purpose limitation principle), as well as transparency, data minimization and storage limitation obligations. In addition, controllers and processors are required to implement (and be able to evidence) robust technical and organizational measures, such as encryption, to ensure the confidentiality and integrity of personal data. Failure to comply with the principles set out in GDPR can result in substantial fines. The European Data Protection Board, or EDPB, has made clear that fines will be used as a means of deterring non-compliance and both the EDPB and local data protection authorities, such as the Irish Data Protection Commission have been active in bringing enforcement actions.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GDPR also sets out strict requirements pertaining to transfers of personal data outside of the EU. These requirements necessitate careful consideration, and detailed risk assessments, of potential cross border transfers of personal data to ensure compliance with GDPR. In addition to conducting data transfer impact assessments, companies may also need to introduce additional safeguards and put in place contract provisions to ensure that such transfers do not diminish the level of protection data subjects would otherwise have under GDPR.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Failure to comply with the various laws of European Union may result in criminal liability and/or significant fines, such as those applicable under the GDPR which can amount up to EUR20,000,000 or up to 4% of the total worldwide annual turnover.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U.S., new privacy related regimes are under discussion at both the federal and state level and several states have already enacted comprehensive privacy laws. California is widely seen to be leading the way with the CCPA, which went into effect on January 1, 2020 as amended by the CPRA, which largely became operative on January 1, 2023. The CCPA and CPRA confer an extensive suite of rights on California residents (including employees and business-to-business contacts), including the right to transparency (e.g. the right to request detailed information about how personal information is collected, used, and shared), the right of access to, correction of and/or deletion of their personal information, and a right to opt out of the sale or sharing of their personal information. The CPRA also introduces clear requirements for businesses to adopt appropriate security measures.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terms of enforcement, the CPRA established a “first-of-its-kind” enforcement agency, the California Privacy Protection Agency, or CPPA, with a broad mandate which includes the ability to take enforcement action, issue new rules and raise awareness among businesses and consumers about their rights and obligations. The CPRA provides for co-enforcement authority for violations between the CPPA and the California Attorney General, as well as a private right of action for certain data breaches that could increase data breach litigation and liability, in light of the potential for statutory damages. It is expected that there will be an increase in enforcement actions under this new agency, particularly in relation to violations of provisions of the CPRA relating to minors, where the previous requirement that businesses have “actual knowledge” that consumers are under 16 has been removed so that the legal threshold for violations and - therefore potential penalties - is lower.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Uncertainty around exactly how this new agency will use and discharge its powers, and the impact this new regime will have on business operations including in terms of operational compliance costs and associate risks to businesses, remains to be seen.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to California, several other states, such as Virginia, Colorado, Connecticut, and Utah, have passed their own comprehensive state privacy laws which are now in effect, with more expected to take effect in the near future. Moreover, various laws restricting or governing the use of websites, online services, and platforms by minors have passed or been proposed at the federal level and in certain states, including laws prohibiting direct advertising to minors (individuals under the age of 18), requiring age verification, limiting the use of minors’ personal information and mandating parental consent or providing other parental rights. These additional laws, amendments and interpretations are subject to change (and in certain instances have been challenged in court and/or blocked), which further complicates our compliance efforts and may therefore increase legal risk and compliance costs on us and any third parties on which we rely.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At the U.S. federal level, legislative proposals such as the executive order issued by President Biden (February 28, 2024) on “Preventing Access to Americans’ Bulk Sensitive Personal Data and United States Government-Related Data by Countries of Concern,” or the Executive Order, pose additional complexity for us and could adversely impact our business. The Executive Order directs the U.S. Department of Justice, in consultation with other government agencies, to issue regulations which, among other things, prohibit or otherwise restrict certain categories of transactions that involve American’s bulk sensitive personal data or U.S. government-related data. This includes health data, financial data and geo-location data and has the ability to impact not only our service offerings but our third-party vendor arrangements.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outlined above, the legal and operational complexity and cost and potential regulatory scrutiny that will result from such existing and new laws and regulations could have a material adverse impact on our business.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Regulations on Online Games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Provisional Regulations for the Administration of Online Culture promulgated by the MOC in May 2003, and last revised in December 2017, online game operators are required to obtain an Internet Culture Operating License from relevant local departments of the MOC. On May 14, 2019, the General Office of the MOCT issued the Circular on Adjusting the Scope of Examination and Approval of Online Culture Business Permit and Further Regulating the Work Concerning Examination and Approval, or the MOCT Notice 81, pursuant to which the MOCT is no longer responsible for the administration and supervision of online games and local counterparts of the MOCT may no longer approve Internet Culture Operating Licenses that involve online game operation via information networks (with or without distribution of virtual currency of online games) and virtual currency of online games trading operation via information networks. Internet Culture Operating Licenses that are already issued and only contain the above business scope will remain effective until their expiration. As of date of the annual report, no laws, regulations or official guidelines have been promulgated on whether the responsibility of MOCT for regulating online games will be undertaken by another governmental department.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June 4, 2009, the MOC and MOFCOM jointly issued the Notice on Strengthening Administration on Online Game Virtual Currency, or the Online Game Virtual Currency Notice. According to this notice, online game virtual currency should only be used to exchange virtual services provided by the issuing enterprise for a designated extent and time, and is strictly prohibited from being used to purchase tangible products or any service or product of another enterprise. In addition, the Online Game Virtual Currency Notice requires the issuing enterprise to give users 60 days prior notice and refund in the form of legal tender or other forms acceptable to users in case it plans to terminate the provision of its products or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publication of online games also requires approval from SAPPRFT in accordance with the Rules for the Administration of Online Publishing Service. In March 2018, the Central Committee of the Communist Party of China issued the Plans for Deepening the Institutional Reform of the Party and State and the National People’s Congress issued the Institutional Reform Plan of the State Council (collectively, the “Institutional Reform Plans”). According to the Institutional Reform Plans, the SAPPRFT is reformed and became the NRTA, under the State Council and the NPPA under the Propaganda Department of the Central Committee of the Communist Party of China, and the MOC is reformed and became the MOCT. Starting from March 2018, the SAPPRFT at the national level temporarily suspended its approval of online games, which was later resumed in December 2018. Since the first quarter of 2019, the NPPA has kept publishing the Online Game Approval Lists on its website except for the approval suspension during the period from July 2021 to April 2022.</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July 1, 2011, GAPP and several other government authorities jointly issued the Notice Regarding the Initiation of Work on the Online Games Real-Name Verification System to Prevent Online Gaming Addiction, which requires that online game operators be responsible for data registration and identification of online game users, and that online game operators shall duly submit user identification information for verification with the NCIIC, which will be in charge of real-name verification for the national anti-addiction system. In addition, online game operators must ensure that, via the NCIIC real-name verification, users with fraudulent identification data be enrolled in the operators’ anti-addiction systems.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October 25, 2019, the NPPA promulgated the Notice on Preventing Minors from Indulging in Online Games, according to which the length of minors’ use of online games should be strictly controlled. It requires all online game users to register their identification information. The total length of time for minors to access online games must be limited on a daily basis. Every day from 22:00 to 8:00 the next day, online game companies are not permitted to provide game services to minors in any form. Game services provided to minors must not exceed three hours per day on public holidays and 1.5 hours on other days. In addition, online transactions are capped monthly at RMB200 or RMB400, depending on a minor’s age. On August 30, 2021, the NPPA issued the Notice on Further Preventing Minors from Indulging in Online Games, which became effective on September 1, 2021. The Notice on Further Preventing Minors from Indulging in Online Games imposes stricter time limits for playing online games by minors and provides that online game operators may only provide online game services to minors on every Friday, Saturday, Sunday or PRC statutory holiday for one hour per day from 8:00 p.m. to 9:00 p.m. In addition, the Notice on Further Preventing Minors from Indulging in Online Games requires that all online games must be connected to the real-name registration and game addiction prevention system of the NPPA, all online game players must register or login in using authentic and valid identity information, and online game operators may not provide game services, in any manner (including in visitor experience mode), to any users who have not registered using their real names. On October 20, 2021, six PRC governmental authorities jointly issued the Notice on Strengthening the Management of Preventing Primary and Middle School Students from Indulging in Online Games, which further stipulates that online game companies shall fulfill the requirements for real-name registration. Real-name registration information submitted by online game users must be verified by the real-name verification system of the NPPA. Online game operators may only provide online game services to primary and middle school students on every Friday, Saturday, Sunday or PRC statutory holiday for one hour per day from 8:00 p.m. to 9:00 p.m.</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September 28, 2009, GAPP, the National Copyright Administration and the National Office of Combating Pornography and Illegal Publications jointly published the Notice Regarding the Consistent Implementation of the “Regulation on Three Provisions” of the State Council and the Relevant Interpretations of the State Commission Office for Public Sector Reform and the Further Strengthening of the Administration of Examination and Approval of Online Games and the Examination and Approval of Imported Online Games, or Circular 13. According to Circular 13, no entity should engage in the operation of online games without receiving an Internet Publishing License and the approval from GAPP. Circular 13 expressly prohibits foreign investors from participating in online game operating business via wholly owned, equity joint venture or cooperative joint venture investments in China, and from controlling and participating in these businesses directly or indirectly through contractual or technical support arrangements. Moreover, for online games that have been approved by GAPP, when the operational entity changes, or when new versions, expansion packs or new content is implemented, the operating entity shall once again undertake the same procedures for examination and approval by GAPP of the changed operating entity, new versions, expansion packs or new content. On May 24, 2016, SAPPRFT issued the Circular on the Administration over Mobile Game Publishing Services, or Circular 44, which came into effect on July 1, 2016, and provides that no mobile game shall be published and operated online without the approval of the SAPPRFT.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Interim Measures for the Administration of Online Games, or the Online Games Measures, were issued by the MOC in June 2010 and repealed on July 10, 2019. The Online Games Measures set forth certain requirements regarding online games. Accordingly, the Notice on Implementing Interim Measures for the Administration of Online Games, or the Online Games Notice, in which several provisions of the Online Games Measures are supplemented, has also been repealed. In addition, since June 2018, the MOCT at the national level has closed the post-filing recording online system, through which the domestic online games were filed according to the post-filing requirements under the Online Games Measures and the Online Game Notice.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December 22, 2023, the NPPA publicly solicited opinions on the Draft Administrative Measures for Online Games to regulate activities related to the online game industry in several respects, including requirements on the establishment and administration of online game publishing and operating entities, publication and operation of online games and protection of minors. The Draft Administrative Measures for Online Games set forth certain obligations of online game publishing and operating entities of protecting minors, including requirements on controlling the period and time of playing online games, addiction prevention and identity verification, etc. Furthermore, it provides for rules on the distribution, trading and trading enterprises of online game coins, as well as rules on the distribution and trading of virtual items for online games, including, among other things, (i) trading of online game coins shall be conducted via real-name digital RMB wallets, (ii) an enterprise shall not provide both the distribution of online game coins and the trading service for online game coins simultaneously, and (iii) online game publishers and operators shall not exchange the virtual props of online games acquired by users into legal tender. As of the date of the filing of this annual report, the Draft Administrative Measures for Online Games have not been formally adopted.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Regulations on Private Education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PRC Education Law, or the Education Law, sets forth provisions relating to the fundamental education systems of the PRC, including a school system of pre-school education, primary education, secondary education and higher education, a system of nine-year compulsory education and a system of education certificates. The Education Law stipulates that the government formulates plans for the development of education, establishes and operates schools and other types of educational institutions, and in principle, enterprises, institutions, social organizations and individuals are encouraged to operate schools and other types of educational organizations in accordance with PRC Laws.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December 28, 2002, the Standing Committee of the National People’s Congress, promulgated the Law for Promoting Private Education, or the Private Education Law, which was last amended on December 29, 2018. Under the amended Private Education Law, sponsors of private schools may choose to establish non-profit or for-profit private schools at their own discretion and the establishment of the private schools shall be subject to approvals granted by relevant government authorities and registered with relevant registration authorities.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April 7, 2021, the State Council published the amendment to the Regulations on the Implementation of the Law for Promoting Private Education of the PRC, or the Amended Implementation Rules, which became effective on September 1, 2021. The Amended Implementation Rules stipulate that online education activities using internet technology are encouraged by the regulatory authorities and shall comply with laws and regulations related to internet management. A private school using internet technology shall obtain the private school operating permit, as well as the internet operating permit. It shall also establish and implement internet security management systems and take technical security measures. Upon discovery of any information whose release or transmission is prohibited by applicable laws or regulations, the private school shall immediately cease the transmission of that information and take further remedial actions, such as deleting that information, to prevent it from spreading. Records pertaining to the situation shall be kept and reported to the appropriate authorities. The Amended Implementation Rules further stipulates that relevant government authorities shall enhance the supervision on the agreements entered into between non-profit private schools and its related party and shall review such transaction on an annual basis.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Uncertainties exist with respect to the interpretation and application of the existing and future laws governing the online private education industry, as well as how the local government would promulgate implementing rules relating to the specific requirements applicable to online education service providers.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Regulations on After-school Tutoring and Educational Apps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February 13, 2018, the MOE, the Ministry of Civil Affairs, the Ministry of Human Resources and Social Security and the SAIC (currently known as the SAMR) jointly promulgated the Circular on Alleviating After-school Burden on Elementary and Secondary School Students and Implementing Inspections on After-school Training Institutions, or Circular 3. Pursuant to Circular 3, the above government authorities will carry out a series of inspections on after-school training institutions and order those with material potential safety risks to suspend business for self-inspection and rectification, and those without proper establishment licenses or school operating permits to apply for relevant qualifications and certificates under the guidance of competent government authorities. Moreover, after-school training institutions must file with the local education authorities and make public the classes, courses, target students, class hours and other information relating to their academic training courses (including primarily courses on Chinese and mathematics). After-school training institutions are prohibited from providing academic training services beyond the scope or above the level of school textbooks, or organizing any academic competitions or level tests for students of elementary or middle schools. In addition, elementary or middle schools may not reference a student’s performance in the after-school training institutions as part of their admission criteria.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August 6, 2018, the State Council issued the Opinion on the Regulation of the Development of After-school Training Institutions, or State Council Circular 80, which primarily regulates after-school training institutions targeting K-12 students. State Council Circular 80 reiterates prior guidance that after-school training institutions must obtain a private school operating permit, and further requires these institutions to meet certain minimum requirements. According to the circular, after-school training institutions are required to disclose and file relevant information regarding the institution, including their training content, schedule, targeted students and school timetable to the relevant education authority, and their training classes may not end later than 8:30 p.m. each day or otherwise conflict with the teaching time of local primary and secondary schools. In relation to online education service providers, State Council Circular 80 generally provides that regulatory authorities of networking, culture, information technology, radio and television industries shall cooperate with the education department in supervising online education within their relevant industry. On May 6, 2020, the General Office of the MOE promulgated the Notice on the Negative List of Advanced Trainings for Six Compulsory Education Subjects (for Trial Implementation), which, in accordance with the State Council Circular 80, prohibits after-school training institutions from providing advanced trainings that do not follow the formal school curricula to the students in primary school and secondary school, and further defined activities that will be regarded as advanced training in the subjects of Chinese, mathematics, English, physics, chemistry and biology.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August 30, 2018, the MOE, SAMR and certain other government authorities issued the Implementation Scheme for Comprehensive Prevention and Control of Myopia in Children and Youth which requires, among others, that the schools shall (i) shall use electronic products based on the principle of necessity, shall not rely on electronic products for teaching and homework assignment and shall rather assign paper-based homework in principle, and the teaching time using electronic products shall account for, in principle, not more than 30% of the total teaching time, and (ii) shall strictly implement the learning and development guidelines for children aged 3-6, pay attention to the value of life and play for these children and shall not teach them primary-school-level lessons.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November 20, 2018, the General Office of the MOE, the General Office of the SAMR and the General Office of the Ministry of Emergency Management of the PRC jointly issued the Notice on Improving the Specific Governance and Rectification Mechanisms of After-school Education Institutions, or Circular 10, which provides that provincial education departments shall be responsible for the filing of training institutions that use internet technology to provide online training for primary and middle school students. Provincial education departments shall regulate the online after-school training institutions based on the management policies governing offline afterschool training institutions. In addition, online after-school education institutions shall file the information of their courses, such as names, contents, target students, syllabi and schedules with the provincial education departments and shall publish the name, photo, class schedule and certificate number of the teacher qualification license of each teacher on their websites.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December 25, 2018, the General Office of the MOE issued the Notice on Strictly Forbidding Harmful APP Entering Primary and Secondary Schools, which stipulates, among other things, that: (i) local primary schools, secondary schools and education departments, shall conduct comprehensive investigations on apps used on campus, and shall call off using any apps that contain harmful content such as commercial advertisements and internet games, or that increase the burden on students; and (ii) the filing and reviewing system of learning apps shall be established.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Central Committee of the Communist Party and the State Council jointly issued the Opinions on the Further Reform of Education and Teaching and Comprehensive Improvement on the Compulsory Education Quality, or the Opinions, which became effective on June 23, 2019. The Opinions stipulates, among other things, that: (i) the SAMR and its local counterparts shall be responsible for the registrations and filings of all after-school training institutions and shall supervise and govern their operational behaviors, such as advertising, fee collecting, and antitrust competitions etc.; and (ii) the integrated application of information technology and education shall be promoted, and the “education plus internet” operation model shall be encouraged, but in the meantime, the approval and supervision system for digital educational resource applied by schools shall be established.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MOE, jointly with certain other PRC government authorities, issued the Opinions on Guiding and Regulating the Orderly and Healthy Development of Educational Mobile Apps on August 10, 2019, or the Opinions on Educational Apps, which requires, among others, mobile apps that provide services for school teaching and management, student learning and student life, or home-school interactions, with school faculty, students or parents as the main users, and with education or learning as the main application scenarios, or the Educational Apps, be filed with competent provincial regulatory authorities for education. The Opinions on Educational Apps also requires, among others, that: (i) before filing, the Educational App’s provider obtain the ICP license or complete the ICP filing and obtain the certificate and the grade evaluation report for graded protection of cybersecurity; (ii) Educational Apps whose main users are under the age of 18 must limit the use time, specify the range of suitable ages, and have strictly monitored content; (iii) before an Educational App is introduced as a mandatory app to students, the Educational App must be approved by the applicable school through its collective decision-making process and be filed with the competent education authority; and (iv) Educational Apps adopted by education authorities and schools as their uniformly used teaching or management tools shall not charge the students or parents any fee, and not offer any commercial advertisements or games. On November 11, 2019, MOE issued the Administrative Measures on Filing of Educational Mobile Apps. In 2020, the MOE established a public complaints channel with respect to educational apps. The educational apps provider or user may be complained due to a wide variety of matters, among other things, failure to complete the filing or obtain relevant permits, existence of internet illegal or improper information, collect or unreasonably use personal information in violation of relevant laws and regulations, violations of the requirements on educational apps used by primary and secondary schools, violations of the Online After-school Training Opinions. The MOE sets a scoring system with respect to such complaints. Each educational app provider shall have 12 points during a period of 12 months. If serious complaints were to occur and substantiated by relevant government authority, corresponding penalty points will be recorded and such educational app provider may be required to rectify relevant noncompliance. In the event that 12 penalty points are recorded within a period of 12 months or the most serious compliant were to occur, filings of relevant educational apps may be revoked, relevant educational apps may be removed from apps store, educational apps provider may be blacklisted and made public and the involved provider may be prohibited to submit filings of educational apps within six months.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September 19, 2019, the MOE, jointly with certain other PRC government authorities, issued the Guidance Opinions on Promoting the Healthy Development of Online Education, which provides, among other things, that: (i) social forces are encouraged to establish online education institutions, develop online education resources, and provide high quality education services; and (ii) an online education negative list shall be promulgated and industries not included in the negative list are open for all types of entities to enter into.</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June 10, 2020, the General Office of MOE and the General Office of SAMR promulgated the Notice on Issuing the Form of Service Contract for After-school Training Provided to Primary and Secondary School Students, which requires the local competent regulatory authorities to guide the relevant parties to use the form of service contract for after-school training activities provided to primary and secondary school students. The form of service contract covers the obligations and rights of parties involved in the after-school training, including detailed provisions on training fees, refund arrangement and default liabilities. On September 27, 2021, the General Office of MOE and the General Office of SAMR promulgated the Notice on Issuing the Form of Service Contract for After-school Training Provided to Primary and Secondary School Students (Revised 2021), which added the special notes, adjusted the contract structure and updated certain provisions in the prior version of form of service contract.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August 17, 2020, the MOE and certain other PRC government authorities jointly promulgated the Opinion on Further Strengthening and Regulating the Management of Educational Fees, or the Education Fees Opinions, pursuant to which all fees collected by private schools shall be paid into the school’s bank account filed with the education authority, be unifiedly managed, and mainly used for educational and teaching activities, improving the operational conditions, protection of teachers’ and staffs’ treatment and allocating development fund according to relevant laws and regulations.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October 13, 2020, the General Office of the MOE and the General Office of the SAMR jointly promulgated the Notice on the Centralized Rectification of After-school Tutoring Institutions’ Illegal Acts of Infringing Consumers’ Rights by Using Unfair Standard Terms. The Notice stipulates that local education and market regulation authorities shall increase the efforts for the investigation of after-school tutoring institutions’ illegal acts which infringes consumers’ rights by using unfair standard terms/ to exempt them from their own responsibility, increase consumers’ liability and exclude consumers’ legal rights.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Minors Protection Law issued by the National People’s Congress Standing Committee on September 4, 1991 was recently amended on October 17, 2020, which took effect on June 1, 2021. According to the amended Minors Protection Law, kindergartens and after-school training agencies may not carry out primary school curriculum education for the preschool-aged minors, and online education products and services which are targeted at minors shall not include any links to online games or push any advertisements and other information irrelevant to teaching.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July 24, 2021, the General Office of State Council and the General Office of Central Committee of the Communist Party of China jointly promulgated the Opinions on Further Alleviating the Burden of Homework and After-School Tutoring for Students in Compulsory Education, or the Alleviating Burden Opinion, which provides that, among other things, (i) local government authorities shall no longer approve new after-school tutoring institutions providing tutoring services on academic subjects for students in compulsory education, and the existing after-school tutoring institutions providing tutoring services on academic subjects shall be registered as non-profit; (ii) online after-school tutoring institutions that have filed with the local education administration authorities providing tutoring services on academic subjects shall be subject to review and re-approval procedures by competent government authorities, and any failure to obtain such approval will result in the cancellation of its previous filing and ICP license; (iii) academic AST institutions are prohibited from raising funds by listing on stock markets or conducting any capitalization activities and listed companies are prohibited from investing in academic AST institutions through capital markets fund raising activities, or acquiring assets of academic AST institutions by paying cash or issuing securities; and (iv) foreign capital is prohibited from controlling or participating in any academic AST institutions through mergers and acquisitions, entrusted operation, joining franchise or variable interest entities. Any violation of the foregoing shall be rectified. Moreover, the Alleviating Burden Opinion specifies a series of operating requirements that after-school tutoring institutions must meet regarding the course time, advertisements, tuition fees, etc.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September 7, 2021, the MOE published on its official website that the MOE, together with two other government authorities, issued a circular requiring all academic AST institutions to complete registration as non-profit by the end of 2021, and all academic AST institutions shall, before completing such registration, suspend enrollment of students and charging fees.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September 18, 2021, the MOE further published on its official website that the General Office of MOE, together with five other government authorities, issued a circular requiring all online after-school tutoring institutions that have filed with the local education administration authorities providing tutoring services on academic subjects to obtain the private school operating permit by the end of 2021, and all online after-school tutoring institutions shall, before obtain such permit, suspend enrollment of students and charging fees.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October 21, 2021, the MOE jointly with certain other PRC government authorities, promulgated the Notice on Strengthening the Supervision of After-School Tutoring Institutions Pre-collection of Fees, which requires the pre-collection of fees by academic AST institutions and non-academic AST institutions be supervised. Local governments will establish bank custodians or risk reserves to mitigate the related risks suitable for their own jurisdictions.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March 3, 2022, the MOE jointly with SAMR and NDRC promulgated the Notice on Regulating Non-Academic After-school Training Institutions, which provide that, among others, (i) non-academic after-school tutoring institutions shall have the corresponding qualifications and their staffs shall have the corresponding certificates for their profession; (ii) non-academic after-school tutoring institutions shall ensure that training contents and training methods are suitable for the students’ age, mental and physical characteristics and cognitive level. The notice also specifies a series of operating requirements that non-academic after-school tutoring institutions must meet regarding the course content, course time, advertisements, tuition fees, contract form and premise, etc.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November 30, 2022, the MOE together with twelve other government authorities issued the Opinions on Standardizing Non-Academic After-School Tutoring for Primary and Secondary School Students, or Standardizing Opinions, which reiterates that local authorities shall identify corresponding competent authorities for different tutoring categories and shall set forth basic standards for establishment and approval procedures for online and offline tutoring institutions of the corresponding categories based on local conditions. In addition, the Standardizing Opinions provide that local authorities shall standardize daily operations and strengthen daily supervision of non-academic after-school tutoring, including: (i) in terms of training content and training time, non-academic tutoring institutions shall not provide academic tutoring courses, and the training time shall not conflict with the teaching time of local primary and secondary schools; the offline training shall end no later than 20:30, and the online training shall end no later than 21:00; (ii) in terms of price, non-academic tutoring institutions shall follow the principles of fairness, legality and good faith, set prices according to training costs, market supply and demand, etc. and such prices shall be reported to the competent authorities and be made to the public; (iii) in terms of pre-collection of fees, all fees collected by the tutoring institution shall be put into the special account, training fees shall not be paid by training loans; the pre-collected fees shall be included into supervision and shall not be collected for more than 60 classes, for a course length of more than three months or over RMB5,000 in one time or in the form of recharge, card and other disguised charges; and (iv) all non-academic tutoring institutions shall be included in the unified management through the National Platform for Supervision and Service of After-School Education and Training.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MOE issued the Provisional Measures on Administrative Penalties for After-School Tutoring effective from October 15, 2023, which clarify various non-complaint activities of after-school tutoring institutions and stipulate corresponding penalties. According to these measures, the conduct of after-school tutoring by any person, legal person or an organization that satisfies the following conditions constitutes unauthorized conduct of after-school tutoring institutions, who shall be ordered to cease the operations of the institutions, return collected fees and be imposed a fine: (i) having specific training sites for offline training or websites or applications for online training, (ii) having more than two training practitioners, and (iii) having organizational structures and division of labor. In addition, if the management of after-school tutoring institutions is chaotic, and involves one of the following acts, the competent government authorities shall require such after-school tutoring institutions to rectify within a fixed time and issue a warning: (i) enrolling students in violation of regulations, such as joint enrollment with primary and secondary schools; (ii) recruiting and managing practitioners in violation of laws, regulations and the other relevant provisions promulgated by the competent department of the State Council; (iii) charging price, charging behavior, pre-collected fees management in violation of laws, regulations and other relevant provisions promulgated by the competent department of the State Council; (iv) containing online game content and links that are not related to tutoring in online after-school tutoring; (v) failing to retain training content, training data and live training images by online after-school tutoring in accordance with relevant provisions promulgated by the competent department of the State Council; (vi) publishing advertisements illegally; and (vii) other disorders that may seriously affect education and teaching. The illegal income (if any) shall be confiscated after the refund of the fees charged; if the situation is serious, the institution shall be ordered to stop recruiting trainees and the license shall be revoked.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Regulations on E-commerce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E-Commerce Law of the PRC, which was promulgated on August 31, 2018 and became effective on January 1, 2019, set out detailed obligations for operators of e-commerce businesses and e-commerce platforms and guidelines in terms of contract performance and dispute resolutions in relation to e-commerce. Pursuant to this law, e-commerce operators shall, for example: (i) present unbiased search results and general product recommendations that are not based on a potential customer’s particular purchase history and personal profile in addition to tailored product recommendations and services; and (ii) not cite any provision of a form contract or any other means to invalidate an agreement with a customer after it has received payment from that customer. In addition, e-commerce platform operators shall: (i) report information such as identity and tax information of third-party vendors to relevant authorities; (ii) make platform service agreement or web-links thereto prominently displayed and accessible on its homepage; (iii) be jointly liable in the event that the platform operator fails to take necessary measures when it has or should have the knowledge that any vendor using its platform has infringed consumers’ rights; and (iv) be jointly liable for any damage or threat to a customer’s personal health and wellbeing caused by the products sold on its platform if a platform operator fails to examine the qualifications of its vendor using its platform or fails to protect its customers’ safety in respect of goods or services that may affect a customer’s health. We are subject to this new law as both an e-commerce business operator and e-commerce platform operator. Failure to comply with this law could subject us to civil liabilities or administrative penalties.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PRC Consumer Protection Law, as amended on October 25, 2013, sets out the obligations of business operators and the rights and interests of consumers. Pursuant to this law, business operators must guarantee that the commodities they sell satisfy the requirements for personal or property safety, provide consumers with authentic information about the commodities, and guarantee the quality, function, usage and term of the validity of commodities. The amendment in 2013 further strengthens the protection of consumers and imposes more stringent requirements and obligations on business operators, especially on the businesses operating through the internet. For example, consumers are entitled to return the goods (except for certain specified goods) within seven days upon receipt without any reasons when they purchase the goods from business operators via the internet. When a consumer purchases products (including cosmetics and food) or accepts services via an online trading platform and his/her interests are prejudiced, if the online trading platform provider fails to provide the name, address and valid contact information of the seller, the manufacturer or the service provider, the consumer is entitled to demand compensation from the online trading platform provider. Failure to comply with this law may subject business operators to civil liabilities such as refunding purchase prices, replacement of commodities, repairing or ceasing damages, compensation, and restoring the reputation, and could subject business operators or the responsible individuals to criminal penalties when personal damages are involved or if the circumstances are severe.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January 26, 2014, SAIC issued the Administrative Measures for Online Trading, or the Online Trading Measures, which replaced its previous Interim Measures for the Administration of Online Commodities Transaction and Relevant Services. The Online Trading Measures aim to regulate online commodity trading and relevant services, setting standards for online commodity trading operators and relevant services providers. In order to further regulate online transaction activities, on March 15, 2021, SAMR issued the Online Trading Supervision and Management Measures, or the Online Trading Supervision Measures, which became effective on May 1, 2021 and replace the Online Trading Measures. The Online Trading Supervision Measures shall apply to the business activities of selling commodities or providing services in social networking, internet live streaming or other information network activities and it further regulates the operations of online trading.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April 14, 2022, the SAMR issued the Provisions on Clearly Marking Prices and Prohibiting Price Fraud to regulate the clear marking of prices (referring to such activities of business operators as publicly marking prices and other information in accordance with the law in the process of selling or purchasing goods or providing services), prevent and stop price fraud (referring to such activities of business operators as luring consumers or other business operators into trading with them by false or misleading pricing means), which became effective on July 1,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January 6, 2017, SAIC issued the Interim Measures for Return of Online Purchases within seven Days without Reason, or the Online Return Measures, which was amended on October 23, 2020 and became effective on the same date. According to these measures, any consumer goods purchased online could be returned without any reason, if in good condition and are returned within seven days of receipt with signature from the consumers, except for customized products, fresh or live products, perishable goods, digital products, newspapers, periodicals and the goods confirmed to be exempted from the Online Return Measures by consumers at the time of purchase. On November 21, 2019, the SAMR issued the Interim Provisions on Administration of Consumer Product Recalls, which became effective on January 1, 2020. The provisions clarify the recall obligations and responsibilities of both the producers of consumer goods and the operators selling, leasing, or repairing consumer goods. On March 1, 2022, the Supreme People’s Court released the Provisions of the Supreme People’s Court on Several Issues Concerning the Application of Law in the Trial of Cases of Disputes over Online Consumption (I), effective on March 15, 2022, which stipulated, among other things, the validity of relevant standard clauses provided by e-commerce business operators, recognition of parties to assume liabilities and civil liabilities in live streaming marketing.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Food Safety Law of the PRC, promulgated on February 28, 2009 and effective on June 1, 2009, was amended on April 29, 2021 with effect from the same date. This amendment provides that the sale of pre-packaged food only is not subject to a permit but needs to file a record with the competent authority. On October 11, 2019, the State Council revised and adopted the Implementing Regulation for the Food Safety Law of the PRC, which became effective on December 1, 2019. The regulation underscores tougher supervision, requiring governments above county levels to establish a uniform and authoritative supervision mechanism to enhance supervisory capabilities. The regulation clarifies the primary responsibilities of producers and business operators in food safety, specifies the duties of major corporate leaders, regulates the storage and transportation of food products, bans false promotion of food products, and improves the management of special foods.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March 31, 2023, the National Medical Products Administration promulgated the Measures for Supervision and Administration of Online Operation of Cosmetics, which became effective on September 1, 2023, to regulate the online operation of cosmetics. These measures impose compliance requirements for E-commerce platform operators of cosmetics, including, among other things, (i) requiring the cosmetics operators who apply for entering the platform to submit the identity and other true information for verification and registration, (ii) setting up a management body for the quality and safety of cosmetics or being staffed with full-time or part-time quality and safety management personnel, (iii) establishing a routine examination system for the cosmetics operators on the platform, (iv) conducting an examination when a cosmetics operator on the platform enter the platform to release the information of cosmetics, and (v) regularly organizing an examination of the daily operation activities of a cosmetics operator on the platform in light of the conditions of product risks.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Regulations on Online Advertising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April 24, 2015, the Standing Committee of the National People’s Congress enacted the Advertising Law of the PRC, or the New Advertising Law, and last amended on April 29, 2021. The New Advertising Law, which was a major overhaul of an advertising law enacted in 1994, increases the potential legal liability of advertising services providers, and includes provisions intended to strengthen identification of false advertising and the power of regulatory authorities. The New Advertising Law forbids the usage of certain words or phrases in advertisements, such as “national,” “supreme,” or “best” and provides a more detailed definition of “false advertisement.” The New Advertising Law also forbids sending advertisements to residences, vehicles, fixed or mobile telephones or personal email addresses if the advertisement is not invited or the receiver of the advertisement has rejected the advertising.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July 4, 2016, SAIC promulgated the Provisional Measures of Internet Advertising Management, which provide basic rules for regulating internet advertising activities. On February 25, 2023, the SAMR promulgated the Measures for Internet Advertising Management, which became effective on May 1, 2023, to replace the Provisional Measures of Internet Advertising Management. The new measures (i) detail the rules on advertising management in some key areas, such as internet advertising with links, advertising paid for ranking, advertising published via algorithmic recommendation, and advertising published via online live streaming; (ii) specify that internet platform operators providing information services shall fulfill obligations of internet information service providers such as recording and keeping relevant information, actively discovering and deleting illegal advertisements, establishing a complaint handling mechanism, and cooperating with market regulatory authorities to monitor advertisements and investigate illegal activities in internet advertisements; (iii) provide that entities engaged in the design, production, agency, publishing or other activities of internet advertisements shall bear the obligations and responsibilities of advertising agencies, advertisement publishers and other subjects according to relevant laws.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October 2022, the SAMR, together with several other governmental authorities, published the Guiding Opinions on Further Regulating Celebrities’ Endorsements in Advertising, which requires that the operators of advertising release carriers such as internet shall strictly conduct internal review, properly prepare and keep advertising release archives in accordance with law, establish and improve the internal review system for advertising release, intensify the review of the content of advertisements endorsed by celebrities, resolutely correct certain bad advertising information, and timely stop the release of advertisements endorsed by illegal or immoral celebrities. The internet information service providers, as a part of the whole chain of endorsement activities, shall assume the related legal liabilities for the illegal endorsement activities.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Regulations on Online Music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November 20, 2006, the Ministry of Culture issued the Several Opinions of the Ministry of Culture on the Development and Administration of Online Music, or the Online Music Opinions, which became effective on the same date. The Online Music Opinions provide that, among other things, an internet music service provider must obtain an Online Culture Operating Permit.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2010 and 2011, the MOC greatly intensified its regulations on online music products by issuing a series of circulars regarding online music industry, such as the Circular on Regulating the Market Order of Online Music Products and Renovating Illegal Conducts of Online Music Websites and the Circular on Investigating Illegal Online Music Websites in 2010. In addition, the Ministry of Culture issued the Circular on Clearing Illegal Online Music Products in 2011, which clarified that entities engaging in any of the following conducts will be subject to relevant penalties or sanctions imposed by the Ministry of Culture: (i) providing online music products or relevant services without obtaining corresponding qualifications; (ii) importing online music products that have not been reviewed by the Ministry of Culture; or (iii) providing domestically developed online music products that have not been filed with the Ministry of Culture.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July 8, 2015, the National Copyright Administration issued the Circular regarding Ceasing Transmitting Unauthorized Music Products by Online Music Service Providers, which requires that: (i) all unauthorized music products on the platforms of online music services providers be removed prior to July 31, 2015, and (ii) the National Copyright Protection Center investigate and punish online music services providers who continue to transmit unauthorized music products following July 31, 2015. On October 23, 2015, the Ministry of Culture promulgated the Circular on Further Strengthening and Improving the Content Administration of Online Music, effective as of January 1, 2016, which provides that internet culture operating entities shall report through a nationwide administrative platform: (i) its content administration system, department, staffing, job responsibilities, monitoring process and specifications etc., to its local provincial cultural administrative department; and (ii) the details of its self-monitoring activities to the Ministry of Culture on a quarterly basis.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Regulations on Internet Live Streaming Services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November 4, 2016, the CAC issued Administrative Provisions on Internet Live Streaming Services, which became effective on December 1, 2016. Under the regulation, “internet live streaming” refers to the activities of continuously releasing real-time information to the public based on the internet in forms such as video, audio, images and texts, and “internet live streaming service providers” refers to the operators that provide internet live streaming platform services. In addition, the internet live streaming service providers shall take various measures when operating their services, such as (i) establish a live streaming content review platform; (ii) require authentication for the registration of live streaming content providers; and (iii) enter into a service agreement with live streaming service users to specify each of the live streaming service user’s and the service provider’s rights and obligations.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December 2, 2016, the MOC issued the Administrative Measures for Business Activities Relating to Online Performance, which took effect on January 1, 2017. Under the Measures, an online performance business operator engaging in business operations of online performance shall obtain a Permit for Cyber Culture Business Operations, the business scope of which shall specify that online performance is included. An online performance business operator shall assume the primary responsibility for the business operations of online performance carried out thereby.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According to the Guiding Opinions on Strengthening the Standardized Management of Online Live Streaming issued by CAC and several other governmental authorities on February 9, 2021, live streaming platforms that carry out business-oriented online performance activities must hold the internet cultural business license and carry out ICP filing; live streaming platforms that carry out network audio-visual program services must hold the AVSP (or complete the registration in the national network audio-visual platform information registration management system) and carry out ICP filing; live streaming platforms that carry internet news information service must hold internet news information service license. Live streaming platforms shall file with local cyberspace administration office in a timely manner, and shall cancel its filing immediately after it ceases to provide live streaming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August 30, 2021, the MOCT issued the Online Performance Brokerage Agencies Measures, which took effect on the same date. Pursuant to the Measures, an online performance business entity shall assume the primary responsibilities for its online performance business activities and verify the qualifications of online performance brokerage agencies on the platform.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Minors Protection Law issued by the National People’s Congress Standing Committee on September 4, 1991 was recently amended on October 17, 2020 and took effect on June 1, 2021. Under the amended Minors Protection Law, online product and service providers shall avoid providing content for minors that might induce obsession by minors. Online product and service providers such as providers of online games, online broadcasts, online audio/video or online social networks shall set up appropriate functions such as the management of time, authority and spending of minors using their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November 2020, NRTA issued the Notice on Strengthening the Administration of Online Show Live and E-commerce Live Streaming, or Notice 78, which set forth registration requirements for platforms providing online show live streaming or e-commerce live streaming to have their information and business operations registered by November 30, 2020. Notice 78 made it clear that live streaming platforms should implement real-name management systems. Live streaming platforms should manage the contents of live studios and the corresponding hosts with labels by categories such as “music,” “dance,” “singing,” “fitness,” “games,” “travel,” “food” and “life services.” Live streaming platforms should set up business-level rating systems for live studios and hosts, refine program quality ratings and the rating systems if there are violations, and the recommendations or promotions for live studios and hosts shall be associated with such ratings.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April 23, 2021, the CAC and several other government authorities jointly issued the Administrative Measures for Online Live Streaming Marketing (for Trial Implementation), which became effective on May 25, 2021. The Measures stipulate the corresponding responsibilities and obligations of entities and persons who engage in online live streaming marketing activities such as live streaming marketing platforms, live streaming room operators, live streaming marketing personnel and service agencies for live streaming marketing personnel, and specify the bottom-line rules that such entities and persons shall abide by when engaging in online live streaming marketing activities, including the rules on key links for the management of live streaming rooms. Pursuant to the Measures, live streaming room operators and live streaming marketing personnel shall do a good job in real-time management of interactive content such as voice and video connectivity, comments and bullet screens in accordance with the platform service agreement, and shall not deceive or mislead users by deleting or blocking relevant adverse comments or other means.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March 25, 2022, the CAC, the STA, and the SAMR jointly issued the Opinions on Further Regulating Profit-Making Activities of Online Live Streaming to Promote Healthy Development of the Industry, or the Live Streaming Profit-Making Regulating Opinions, which became effective on the same date. The Live Streaming Profit-Making Regulating Opinions further regulate profit-making activities of online live streaming in the following four aspects: (i) further implementing the primary responsibility of management of online live streaming platforms; (ii) regulating online live streaming marketing practices; (iii) regulating tax administration and promoting tax compliance; and (iv) strengthening information sharing among regulatory authorities. Under the Live Streaming Profit-Making Regulating Opinions, online live streaming platforms shall semiannually report information such as the personal identity, live streaming account, online nickname, receiving account, income type and profitability status of the online live streaming publishers who engage in profitable online live streaming activities to competent cyberspace authorities and tax authorities in the places where the platforms are located.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April 12, 2022, the NRTA and the Propaganda Department of the Central Committee of the Communist Party of China issued the Circular on Strengthening the Administration of Game Live Streaming on Online Audio-visual Platforms, which regulates game live streaming from various aspects, such as the content of live streaming, the conduct of hosts and the protection of minors. On May 7, 2022, the Office of the Central Guidance Commission on Building Spiritual Civilization, MOCT, NRTA and CAC jointly issued the Opinions on Regulating Online Live Streaming Virtual Gifting and Strengthening the Protection of Minors, or the Live Streaming Opinions, which iterate the requirements for live streaming platforms in respect of strengthening real-name registration, prohibiting minors from virtual gifting and restrictions on providing live streamer services to minors. Pursuant to the Live Streaming Opinions, online platforms are prohibited from ranking, introducing or recommending live streaming performers solely by the monetary amount of virtual gifts that they have received from users, nor could the platforms rank users based on the monetary amount of virtual gifts that they have sent to live streaming performers. Any such rankings currently available on these online platforms was ordered to be removed by June 7, 2022 according to the Live Streaming Opinions. In addition, the online platforms shall procure that, during the peak hours (from 8.00 p.m. to 10.00 p.m.) every day, each live streaming performer shall not engage in “PKs” (i.e. real-time interactive competitive game between two performers) against another performer for more than twice, and the online platforms shall not impose penalty within the PKs or provide any technical support to facilitate imposing such penalty. The online platforms shall compulsorily log off all services in the “teenager mode” (i.e. a beneficial way that is subject to strict content selection and is suitable for minors to watch and use) after 10.00 p.m. every day, and it is not allowed to provide or provide in disguised forms the way to start the regular mode, so as to ensure sufficient rest time for teenagers.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June 8, 2022, the NRTA and the MOCT issued the Code of Conduct for Live Streaming Hosts, which requires that online performance or audio-visual platforms and brokerage agencies shall strictly perform their statutory duties and obligations and implement their primary responsibilities, including, among others: (i) strengthening the education and training, daily management, and normative guidance for live streaming hosts; (ii) developing and improving internal systems and norms such as the entry, training, daily management, business scoring files, and “red and yellow cards” management of live streaming hosts; (iii) blocking the accounts of live streaming hosts whose violations are grave in nature, or who have repeatedly committed violations but failed to amend, adding the relevant live streaming hosts into the “blacklist” or “warning list” and prohibiting the relevant live streaming hosts from carrying out live streaming again via other accounts or platforms or any other forms.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Protection of minors in the field of Internet live streaming will be further strengthened under the newly promulgated laws and regulations.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October 16, 2023, the State Council promulgated the Regulation on the Protection of Minors in Cyberspace, which became effective on January 1, 2024. The Regulation on the Protection of Minors in Cyberspace stipulates that online live streaming service providers shall, among others, (i) establish a dynamic verification mechanism for the real identity information of online live streaming uploaders and shall not provide online live streaming uploading services for minor users who do not conform to the legal provisions, (ii) set the mode for minors, and manage the period, duration, function and content of use, and (iii) reasonably restrict minors’ network service expenditure according to their age groups.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December 22, 2023, the NPPA publicly solicited opinions on the Draft Administrative Measures for Online Games which, if adopted, would stipulate, among other requirements, that large-sum gifting or gifting by minors shall be prohibited in live online games. As of the date of the filing of this annual report, the Draft Administrative Measures for Online Games have not been formally adopted.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Regulations on Anti-Unfair Competition and Anti-Monopoly Matters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According to the PRC Anti-Unfair Competition Law, which took effect on December 1, 1993 and last amended on April 23, 2019, unfair competition refers to that the operator disrupts the market competition order and damages the legitimate rights and interests of other operators or consumers in violation of the provisions of the Anti-Unfair Competition Law in the production and operating activities. Pursuant to the PRC Anti-Unfair Competition Law, operators shall abide by the principle of voluntariness, equality, impartiality, integrity and adhere to laws and business ethics during market transactions, and operators in violation of the provisions shall bear corresponding civil, administrative or criminal liabilities depending on the specific circumstances.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PRC Anti-Monopoly Law, which took effect on August 1, 2008 and last amended on June 24, 2022, prohibits monopolistic conduct such as entering into monopoly agreements, abusing market dominance and concentration of undertakings that may have the effect of eliminating or restricting competition. On February 7, 2021, the Anti-Monopoly Commission of the State Council promulgated the Guidelines to Anti-Monopoly in the Field of Internet Platforms, or the Anti-Monopoly Guidelines, which took effect on the same date and will operate as a compliance guidance for platform economy operators under the existing PRC anti-monopoly laws and regulations. The Anti-Monopoly Guidelines mainly covers five aspects, including general provisions, monopoly agreements, abusing market dominance, concentration of undertakings, and abusing of administrative powers eliminating or restricting competition.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June 24, 2022, the Standing Committee of the National People’s Congress issued the PRC Anti-Monopoly Law (Revised 2022), which took effective on August 1, 2022. The revised version, among others, (i) makes changes to the merger review process by enabling SAMR to review non-threshold transactions and introducing the stop-clock system, (ii) changes the rules on monopoly agreements for resale price maintenance, introducing a “safe harbor” for vertical monopoly agreement, and (iii) increases fines imposed on different parties, e.g., amending the fine for illegal concentration of business operators from “a fine of up to RMB500,000” to “a fine of no more than ten percent of its prior year’s sales revenue if the concentration of the business operators has or may have an effect of eliminating or restricting competitions; or a fine of up to RMB5 million if the concentration of business operators does not have an effect of eliminating or restricting competitions.”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March 10, 2023, the SAMR issued the Provisions on the Prohibitions of Monopoly Agreements, the Provisions on the Prohibitions of Acts of Abuse of Dominant Market Positions and the Provisions on Review of Concentration of Undertakings, all of which took effect on April 15, 2023. The provisions detail the relevant rules set forth in the PRC Anti-Monopoly Law (Revised 2022) and further elaborate on the factors to be taken into consideration when assessing monopoly agreements, acts of abusing market dominance and concentration of undertakings.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January 22, 2024, the State Council issued the Rules of the State Council on Declaration Threshold for Concentration of Undertakings (Revised 2024), or the Revised Declaration Threshold Rules, which substantially raised the declaration threshold for concentration of undertakings. According to the Revised Declaration Threshold Rules, where a concentration of undertakings meets any of the following thresholds, an undertaking shall declare to the competent anti-monopoly law enforcement agency in advance: (i) the total global turnover of all the undertakings participating in the concentration in the last accounting year exceeds RMB12 billion, and at least two of these undertakings each have a turnover of more than RMB800 million within China in the last accounting year; or (ii) the total turnover within China of all the undertakings participating in the concentration in the last accounting year exceeds RMB 4 billion, and at least two of these undertakings each have a turnover of more than RMB800 million within China in the last accounting year.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August 17, 2021, the SAMR issued the Draft Provisions on Preventing Unfair Online Competition for public comment, which mainly regulates the production and operation activities of business operators through the internet and other information networks, and specifically stipulates the general norms of online competition, prohibits the use of technical means to impede, interfere or conduct other unfair competition behaviors and prohibits the use of technical means to conduct other online unfair competition behaviors. On November 22, 2022, the SAMR issued a draft amendment to the PRC Anti-Unfair Competition Law for public comments, which sets forth detailed rules on unfair competition in the Digital Economy, supplements the existing forms of unfair competition behaviors, provides for new types of unfair competition behaviors, and improves the legal liability for violation of anti-unfair competition provisions. As of the date of the filing of this annual report, the Draft Provisions on Preventing Unfair Online Competition and the draft amendment to the PRC Anti-Unfair Competition Law have not been formally adopted.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Regulations on Payment and Finance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June 14, 2010, the PBOC issued the Measures for the Administration of Non-financial Institutions Engaging in Payment and Settlement Services, or the PBOC Measures, which was amended on April 29, 2020 and became effective on the same date. The PBOC Measures requires that non-financial institutions engaging in the payment business before September 1, 2010 obtain a permit, the Payment Service Permit, from the PBOC by August 31, 2011 to continue operating their business. On December 1, 2010, the PBOC issued the Implementation Rules for the Measures for the Administration of Non-financial Institutions Engaging in Payment and Settlement Services (last amended on July 20, 2021), which further elaborates on the application qualification, material and procedure for the Payment Service Permit and further measures aiming at protecting the rights and interests of clients. On December 28, 2015, the PBOC issued the Administrative Measures for Internet Payment Services of Non-bank Payment Institutions, which became effective on July 1, 2016, and requires that non-bank payment institutions implement the real-name verification system for payment accounts and take effective measures to verify the personal information of clients. On January 13, 2017, the PBOC issued the Notice of the PBOC on Matters concerning Implementing the Centralized Deposit of the Funds of Pending Payments of Clients of Payment Institutions, which requires that, from April 17, 2017, a payment institution shall deposit a certain percentage of the funds from its clients, pending payment from such clients, in a special deposit account with a designated financial institution where no interest on the percentage of funds shall accrue. On December 9, 2023, the State Council promulgated the Regulation on Supervision and Administration of Non-bank Payment Institutions, which will become effective on May 1, 2024, to provide principal rules for regulating activities of non-bank payment institutions, including, among other things, implementing access management by specifying certain access requirements of the non-bank payment institutions, and reinforcing management systems with respect to payment accounts, reserve funds and payment instructions.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January 19, 2021, the PBOC issued the Measures for Deposit and Management of Customer Reserve Funds by Non-bank Payment Institutions, or the Measures for Customer Reserve Funds, which became effective on March 1, 2021. The Measures for Customer Reserve Funds standardize the centralized deposit and management business of customer’s reserves after centralized deposit of reserves, further refine the provisions on deposit, use and transfer of reserves, clarify the corresponding reserve management responsibilities of the PBOC and its branches, clearing institutions and reserve banks, set punishment standards for violations of customer’s reserves and promote the development of the industry.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July 20, 2021, the PBOC issued the Measures for the Administration of Reporting of Major Events by Non-bank Payment Institutions, which became effective on September 1, 2021. Under the Measures, “major events” refers to major business operation matters that shall be reported in advance in accordance with the laws and regulations and the rules of the PBOC, as well as matters that may have major impact on the business operation status of payment institutions (including branches), rights and interests of financial consumers, and financial and social stability, and shall be reported ex post. Pursuant to the Measures, a payment institution shall maintain communication with branches of the PBOC, and actively cooperate with the PBOC and its branches in effectively monitoring, preventing and resolving risks.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September 2, 2022, the Standing Committee of the National People’s Congress issued the Anti-Telecom and Online Fraud Law of PRC, effective on December 1, 2022, which requires that non-bank payment institutions, together with banking financial institutions, shall establish a customer due diligence system during the opening of bank accounts and payment accounts and the provision of payment and settlement services for customers, and during the existence of the business relationship with customers, identify the beneficial owners, and take appropriate risk management measures to prevent the use of bank accounts and payment accounts for telecom or online fraud according to relevant laws.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September 15, 2020, PBOC issued the Implementing Measures for Protection of Financial Consumers’ Rights and Interests, which took effect on November 1, 2020. Under the implementing measures, when explaining important contents and disclosing risks to financial consumers, banks and payment institutions shall, in accordance with laws, regulations and regulatory provisions, keep the relevant materials for at least three years from the date of termination of the business relationship.</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Regulations on Intellectual Property Rights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PRC has adopted comprehensive legislation governing intellectual property rights, including patents, trademarks, copyrights and domain names.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Patent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According to the Patent Law of the PRC (Revised in 2008) promulgated by the Standing Committee of the National People’s Congress, and its Implementation Rules (Revised in 2010) promulgated by the State Council, the National Intellectual Property Administration of China is responsible for administering patent affairs in the PRC. The patent administration departments of provincial or autonomous regions or municipal governments are responsible for administering patent affairs within their respective jurisdictions. The Patent Law of the PRC and its implementation rules provide for three types of patents, “invention,” “utility model” and “design.” The Chinese patent system adopts a first-to-file rule, which means that where more than one person files a patent application for the same invention, the patent will be granted to the person who files the application first. To be patentable, invention or utility models must meet three criteria: novelty, inventiveness and practicability.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Patent Law of the PRC was further amended by the Standing Committee of the National People’s Congress in October, 2020 and became effective on June 1, 2021, pursuant to which invention patents are valid for twenty years, while design patents are valid for fifteen years and utility model patents are valid for ten years, commencing from the date of application. Where a patent right for invention is granted after three years from the date of request for substantial examination of a patent for invention and after four years from the filing date, the patent administrative department under the State Council shall grant compensation for the duration of the patent right due to any unreasonable delay in grant of patent rights at the request of the applicant, except for any unreasonable delay caused by the applicant. To align with the amended Patent Law, the State Council issued the Implementation Rules of the Patent Law (Revised in 2023) on December 11, 2023, which came into effect on January 20, 2024. The Implementation Rules of the Patent Law (Revised in 2023) further detail relevant rules according to the amended Patent Law, including but not limited to (i) specifying the conditions and time requirements for application, the calculation method of the term and the scope of compensation with respect to patent term compensation in accordance with the relevant provisions of the amended Patent Law, and (ii) improving the patent dispute resolution system, such as specifying the standards for patent infringement disputes that have nationwide influence.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Trademark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According to the Trademark Law of the PRC promulgated by the Standing Committee of the National People’s Congress in August 1982 and recently amended in April 2019, and its Implementation Regulation promulgated in August 2002 and amended in April 2014 by the State Council, the period of validity for a registered trademark is ten years, commencing from the date of registration. The registrant must go through the formalities for renewal within twelve months prior to the expiry date of the trademark if continued use is intended. Where the registrant fails to do so, a grace period of six months may be granted. The validity period for each renewal of registration is ten years, commencing from the day immediately after the expiry of the preceding period of validity for the trademark. In the absence of a renewal upon expiry, the registered trademark will be cancelled. The Trademark Law and its Implementation Regulation also stipulate rules regarding trademark infringement and compensation. Industrial and commercial administrative authorities have the authority to investigate any alleged infringement of the exclusive right under a registered trademark. If there is a suspected criminal offense, the case shall be timely referred to and decided by a judicial authority.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Copyright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Standing Committee of National People’s Congress adopted the Copyright Law of the PRC in 1990 and amended it in 2001, 2010 and 2020, respectively. The latest amended Copyright Law became effective on June 1, 2021, according to which relevant provisions on copyright protection in cyberspace have been further improved, including, for example, the scope of “broadcasting right” and the scenarios in which sound recording producers can receive remunerations have been expanded, and the description of “cinematographic works or works created using methods similar to film making” are revised as “audio-visual works.” In addition, the latest amendment raises the maximum amount of statutory damages for copyright infringement while setting a minimum limit.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order to further implement the Copyright Law of the PRC, the Regulations of the PRC for the Implementation of Copyright Law was promulgated by the State Council on September 15, 2002 and last amended on January 30, 2013.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Copyright Law and its implementation rules, creators of protected works enjoy personal and property rights, including, among others, the right of disseminating the works through information networks.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Domain name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Domain names are protected under the Administrative Measures on the Internet Domain Names promulgated by the MIIT on August 24, 2017. The MIIT is the major regulatory body responsible for the administration of the PRC internet domain names. The registration of domain names adopts a first-to-file rule. On November 27, 2017, the MIIT promulgated the Notice of the MIIT on Regulating the Use of Domain Names in Providing Internet-based Information Services, which became effective on January 1, 2018. Pursuant to the notice, the domain name used by an internet-based information service provider in providing internet-based information services must be registered and owned by such provider in accordance with the law. If the internet-based information service provider is an entity, the domain name registrant must be the entity (or any of the entity’s shareholders), or the entity’s principal or senior manager.</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Regulations Relating to Overseas Listing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6 July 2021, the General Office of the Chinese Communist Party Central Committee and the General Office of the State Council jointly promulgated the Opinions on Strictly Cracking Down on Illegal Securities Activities, which call for the enhanced administration and supervision of overseas-listed China-based companies, propose to revise the relevant regulation governing the overseas issuance and listing of shares by such companies and clarified the responsibilities of competent domestic industry regulators and government authorities.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February 17, 2023, CSRC issued a new set of regulations consists of the Trial Administrative Measures of Overseas Securities Offering and Listing by Domestic Companies and five supporting guidelines (collectively, the “Filing Rules”) which came into effect on March 31, 2023. The Filing Rules regulate both direct and indirect overseas offering and listing of PRC domestic companies’ securities by adopting a filing-based regulatory regime. A “direct” overseas offering and listing by domestic companies refers to such overseas offering and listing by a joint-stock company incorporated domestically. An “indirect” overseas offering and listing by domestic companies refers to such overseas offering and listing by a company in the name of an overseas incorporated entity, whereas the company’s major business operations are located domestically and such offering and listing is based on the underlying equity, assets, earnings or other similar rights of a domestic company. The Filing Rules apply to overseas offerings by domestic companies of equity shares, depository receipts, convertible corporate bonds and other equity securities that are offered and listed overseas. For an indirect initial public offering and listing in an overseas market, the issuer shall designate a major domestic operating entity to submit the filing documents to the CSRC, including but not limited to the prospectus within three working days after such application of overseas offering and listing is submitted. The CSRC would, within 20 working days if filing documents are complete and in compliance with the stipulated requirements, complete the filing and publish the filing information on the CSRC’s official website. In addition, subsequent securities offerings of an issuer in the same overseas market where it has previously offered and listed securities shall be filed with the CSRC within three working days after the offering is completed. Meanwhile, overseas offering and listing would be prohibited under certain circumstances, including but not limited to that (i) the offering and listing are expressly forbidden by the PRC laws, regulations and relevant rules; (ii) the intended overseas securities offering and listing may endanger national security as reviewed and determined by competent authorities under the State Council in accordance with laws or (iii) there are material disputes with regard to the ownership of the equity held by the domestic company’s controlling shareholder or by other shareholders that are controlled by the controlling shareholder and/or actual controller. If a domestic company falls into the circumstances where overseas offering and listing is prohibited prior to the overseas offering and listing, the domestic company shall postpone or terminate the intended overseas offering and listing, and report to the CSRC and competent authorities under the State Council in a timely manner. If domestic companies fail to fulfill the above-mentioned filing procedures or offer and list in an overseas market against the prohibited circumstances, they would be warned and fined up to RMB10 million. The controlling shareholders and actual controllers of such domestic companies that organize or instruct the aforementioned violations would be fined up to RMB10 million and directly liable persons-in-charge and other directly liable persons would be each fined up to RMB5 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order to support domestic companies’ overseas securities offering and listing pursuant to PRC laws and regulations, as a supplement to the Filing Rules, on February 24, 2023, CSRC and other three PRC regulatory authorities jointly issued the Provisions on Strengthening Confidentiality and Archives Administration of Overseas Securities Offering and Listing by Domestic Companies, or the Confidentiality and Archives Administration Provisions, which took effect on March 31, 2023 with the Filing Rules, according to which, a domestic company that seeks overseas offering and listing, and the securities companies and securities service providers that undertake relevant businesses shall strictly abide by applicable PRC laws and regulations and perform relevant confidentiality and archives administration obligations. To be specific, a domestic company that plans to, either directly or through its overseas listed entity, publicly disclose or provide to relevant individuals or entities including securities companies, securities service providers and overseas regulators, (i) any documents and materials that contain state secrets or working secrets of government agencies, shall first obtain approval from competent authorities and file with competent secrecy administrative department; (ii) any other documents and materials that, if leaked, will be detrimental to national security or public interest, shall strictly fulfill relevant procedures stipulated by applicable national regulations. A domestic company that provides documents and materials to securities companies and securities service providers shall abide by applicable national regulations on confidentiality in handling such documents and materials, and shall provide a written statement simultaneously.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the Filing Rules and the Confidentiality and Archives Administration Provisions are relatively new, there are substantial uncertainties with respect to their interpretation and implementation.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          Organizational Structure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organizational structure is set forth above under Item 4.B. “Information on the Company—Business Overview—Our Organizational Structure.”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          Property, Plants and Equipment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principal executive offices are currently located at NetEase Building, No. 599 Wangshang Road, Binjiang District, Hangzhou, People’s Republic of China 310052. In addition, as of December 31, 2023, we have leased office, warehouse, store facilities and others with an aggregate of approximately 0.4 million square meters of space at properties mainly in Shanghai, Guangdong province and Zhejiang province.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own and occupy several office buildings and R&amp;D centers in Hangzhou and Guangzhou, China with a total floor area of approximately 0.3 million and 0.2 million square meters, respectively, where our online game and innovative businesses and other services developers, as well as their related sales, marketing, technology, management and administrative functions are located. We also own and occupy an office building in Beijing with an aggregate total estimated floor area of 0.1 million square meters, where our advertising services and Youdao are located.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in the process of constructing several new office buildings, primarily located in Shanghai and Hangzhou. As of December 31, 2023, we had incurred construction in progress costs of RMB3.7 billion (US$517.7 million) for these new office buildings, which primarily comprise costs for building construction.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continue to assess our needs with respect to office space and may, in the future, vacate or add additional facilities. We believe that our current facilities and those under construction will be adequate for our needs in the immediate and foreseeable future.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server and bandwidth service fees were approximately RMB2.0 billion (US$0.3 billion) for the year ended December 31, 2023.</w:t>
      </w:r>
    </w:p>
    <w:p>
      <w:pPr>
        <w:pStyle w:val="TextBody"/>
        <w:bidi w:val="0"/>
        <w:spacing w:before="0" w:after="0"/>
        <w:ind w:left="0" w:right="0" w:firstLine="720"/>
        <w:jc w:val="both"/>
        <w:rPr/>
      </w:pPr>
      <w:r>
        <w:rPr/>
        <w:t>​</w:t>
      </w:r>
    </w:p>
    <w:p>
      <w:pPr>
        <w:pStyle w:val="TextBody"/>
        <w:bidi w:val="0"/>
        <w:spacing w:before="0" w:after="240"/>
        <w:ind w:left="0" w:right="0" w:hanging="0"/>
        <w:jc w:val="both"/>
        <w:rPr>
          <w:rFonts w:ascii="Times New Roman;Times;serif" w:hAnsi="Times New Roman;Times;serif"/>
          <w:b/>
          <w:sz w:val="20"/>
        </w:rPr>
      </w:pPr>
      <w:bookmarkStart w:id="72" w:name="Item4AUnresolvedStaffComments_34130"/>
      <w:bookmarkStart w:id="73" w:name="_ff50804d_bb95_4cb8_8500_76126883b46e"/>
      <w:bookmarkEnd w:id="72"/>
      <w:bookmarkEnd w:id="73"/>
      <w:r>
        <w:rPr>
          <w:rFonts w:ascii="Times New Roman;Times;serif" w:hAnsi="Times New Roman;Times;serif"/>
          <w:b/>
          <w:sz w:val="20"/>
        </w:rPr>
        <w:t>Item 4A.   Unresolved Staff Comments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74" w:name="Item5OperatingandFinancialReviewandProsp"/>
      <w:bookmarkStart w:id="75" w:name="_8b9db897_1cf2_426d_9898_1a5b78ddfa3e"/>
      <w:bookmarkEnd w:id="74"/>
      <w:bookmarkEnd w:id="75"/>
      <w:r>
        <w:rPr>
          <w:rFonts w:ascii="Times New Roman;Times;serif" w:hAnsi="Times New Roman;Times;serif"/>
          <w:b/>
          <w:sz w:val="20"/>
        </w:rPr>
        <w:t>Item 5.   Operating and Financial Review and Prospects</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The following discussion of our financial condition and results of operations is based upon and should be read in conjunction with our consolidated financial statements and their related notes included in this annual report. This report contains forward-looking statements within the meaning of Section 27A of the Securities Act of 1933, as amended, or the Securities Act, and Section 21E of the Exchange Act, including, without limitation, statements regarding our expectations, beliefs, intentions or future strategies that are signified by the words “expect,” “anticipate,” “intend,” “believe,” or similar language. All forward-looking statements included in this annual report are based on information available to us on the date hereof, and we assume no obligation to update any such forward-looking statements. In evaluating our business, you should carefully consider the information provided under Item 3.D. “Key Information—Risk Factors.” Actual results could differ materially from those projected in the forward-looking statements. We caution you that our businesses and financial performance are subject to substantial risks and uncertainties.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           Operating Results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a successful online game business, developing and operating a rich portfolio of highly popular titles. Leveraging on our user insights and execution expertise, we have also incubated and developed in-house a pipeline of successful businesses, including our intelligent learning platform, Youdao, online music platform, NetEase Cloud Music, and other innovative businesses, ranging from e-commerce to advertising services, e-mail, payment platform and other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generated net revenues of RMB87.6 billion, RMB96.5 billion and RMB103.5 billion (US$14.6 billion) in 2021, 2022 and 2023, respectively. Our net income attributable to the company’s shareholders was RMB16.9 billion, RMB20.3 billion and RMB29.4 billion (US$4.1 billion) in 2021, 2022 and 2023, respectively.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OUR CORPORATE STRUCTURE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company was incorporated in the Cayman Islands. NetEase, Inc. conducts its business in China through its subsidiaries and the VIEs. Under current Chinese regulations, there are restrictions and prohibitions on foreign investment in Chinese companies providing, among other things, value-added telecommunications services, internet cultural services and internet publication services, which include the provision of online game, online education, online music and other internet content and services. In addition, the operation by foreign or foreign-invested companies of advertising businesses in China is subject to government approval. In order to comply with these restrictions and other Chinese rules and regulations, NetEase, Inc. and certain of its subsidiaries have entered into a series of contractual arrangements for the provision of such services with certain affiliated companies, including Guangzhou NetEase, Hangzhou Leihuo, Youdao Computer, Hangzhou Yuedu and certain other affiliated companies. These affiliated companies are considered “variable interest entities” for accounting purposes and are referred to collectively in this annual report as “VIEs.” These contractual arrangements provide us with the power to direct the activities that most significantly impact the economic performance of the VIEs and provide us with economic benefits of these VIEs and as such we are the primary beneficiary and consolidate the VIEs for financial reporting. The VIEs hold ICP licenses and other regulated licenses in which foreign investment is restricted or prohibited and operate our internet businesses and other businesses. The revenue earned by the VIEs largely flows through to NetEase, Inc. and its subsidiaries pursuant to such contractual arrangements. Based on these agreements, NetEase Hangzhou, Boguan and certain other subsidiaries provide technical consulting and related services to the VIEs. In addition, Guangzhou NetEase has a wholly-owned subsidiary, Wangyibao (the operator of our NetEase Pay online payment platform). Please also see Item 4.B. “Information on the Company—Business Overview—Our Organizational Structure.”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December 31, 2023, the total assets of all the consolidated VIEs were RMB22.3 billion (US$3.1 billion), mainly comprising cash and cash equivalents, restricted cash, accounts receivable, net, prepayments and other current assets, amounts due from group companies, short-term investments, long-term investments and other long-term assets, net. As of December 31, 2023, the total liabilities of the consolidated VIEs were RMB20.1 billion (US$2.8 billion), mainly comprising accounts payable, contract liabilities, amounts due to group companies and accrued liabilities and other payables.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that our present operations are structured to comply with the relevant Chinese laws. However, many Chinese regulations are subject to extensive interpretive powers of governmental agencies and commissions. We cannot be certain that the Chinese government will not take action to prohibit or restrict our business activities. Future changes in Chinese government policies affecting the provision of information services, including the provision of online games, online education, online music, live streaming, internet access, online advertising and online payment services, may impose additional regulatory requirements on us or our service providers or otherwise harm our business. Please see Item 3.D. “Key Information—Risk Factors—Risks Related to Our Corporate Structure.”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BASIS OF CONSOLIDATION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consolidated financial statements include the financial statements of our subsidiaries and the VIEs for which we are the primary beneficiary with the ownership interests of minority shareholders reported as noncontrolling interests. All significant transactions and balances among our company, our subsidiaries and the VIEs have been eliminated upon consolidation. We consolidate a VIE if we have the power to direct matters that most significantly impact the activities of the VIE, and have the obligation to absorb losses or the right to receive benefits of the VIE that could potentially be significant to the VIE.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FACTORS AFFECTING OUR RESULTS OF OPERATIONS</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Our ability to continue to deliver original and compelling content and service offerings and effectively operate our existing products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take pride in being an original content provider. Our continued success in producing and delivering original and compelling content and services to our users largely depends on our ability to stay abreast of users’ evolving needs and preferences and dynamics in the digital content and service industries. We seek to identify trend-setting content and services while striving to maintain the longevity and vitality of our existing products by effectively leveraging our rich operational know-how. In particular, as we generate a substantial amount of revenues from our game services, our ability to successfully update and expand our existing game franchises and maintain a pipeline of new games across diversified genres and geographic regions will affect our future revenue and financial results.</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Our ability to grow our user base and drive user engagement and loyalty, as well as the mix of products and services purchased by our users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built a massive and highly engaged user base across our business segments. We generate a substantial part of our revenues through sales of in-game virtual items and play time, merchandise sales, music streaming, advertising services and tuition fees for online courses. Our ability to generate these revenues is affected by the size of our user base and the level of their engagement, including, for example, the amount of time played on our games and the frequency of in-game purchases of virtual items. Our ability to continue to grow our user base and engagement is driven by various factors, including our ability to offer diverse, attractive and relevant content and services, deliver differentiated and superior user experiences, improve the community features on our platforms and enhance our brand reputation. In addition, our results are affected by the mix of products and services purchased by our users. For example, with respect to online games, our revenues depend in part on the types of virtual items purchased in-game and their pricing, as well as the proportion of players who are playing games developed in-house by us, games co-developed with third parties or licensed games.</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Our ability to continue to develop proprietary technologies and apply them meaningfully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demonstrated capabilities in developing proprietary technologies and applying technology to enhance our products and services and improve our user experience, which is a critical competitive advantage of ours and a key factor that affects our operations and financial results. We have successfully developed industry-leading proprietary game, big data and other technologies and integrate these technologies into our products and services, and we will continue to significantly invest in developing and upgrading our technology with a focus on optimizing our products and services and delivering a superior and differentiated user experience.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Our ability to manage our costs and expenses effectively across all business segments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results of operations are affected by our ability to effectively control our costs and expenses across all of our business segments. We incur revenue sharing costs, including fees shared with third-party platform providers, game developers and other third parties related to mobile games, course instructors related to Youdao’s services, music labels and other copyright and content partners related to Cloud Music’s services and others in connection with our other innovative businesses, which may increase in absolute amounts as we continue to scale up our operations across our business segments. We may also incur higher content costs as we continue to expand our product and service offerings to cater to the evolving user needs. Our ability to continue to manage and control our cost of revenues, including revenue sharing costs and content costs, while maintaining the high-quality and attractiveness of our products and services will have a significant impact on our business, financial condition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incurred substantial research and development expenses as we developed more products and improved our content offerings and technologies to deliver high quality services and value to our users. We strongly believe that R&amp;D must be guided by the principles of commercial viability and applicability, and we plan to continue making purpose-driven investment in technologies. We have also been able to maintain our sales and marketing expenses as a relatively low percentage of our net revenues due to our strong brand reputation. Our ability to sell and market our products and services cost-effectively depends on our ability to continue to leverage our existing brand value, grow and monetize our user bases, and improve our sales and marketing efficiency.</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Our ability to make successful strategic investments and acquisitions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made, and intend to make, strategic investments and acquisitions. Our investment and acquisition strategy is focused on strengthening our content development and R&amp;D capabilities, creating strategic synergies across our businesses, and enhancing our overall value. Our strategic investments and acquisitions may affect our future financial results, including our margins and net income. In addition, some of our acquisitions and investments may not be successful. We have recorded net investment losses in equity method investees and impairment provisions related to certain equity investments in the past and may incur net investment losses or impairment provisions in the future.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KEY COMPONENTS OF 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Revenues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sets forth our revenue by segment for the periods indicated.</w:t>
      </w:r>
    </w:p>
    <w:tbl>
      <w:tblPr>
        <w:tblW w:w="9004" w:type="dxa"/>
        <w:jc w:val="left"/>
        <w:tblInd w:w="0" w:type="dxa"/>
        <w:tblLayout w:type="fixed"/>
        <w:tblCellMar>
          <w:top w:w="0" w:type="dxa"/>
          <w:left w:w="0" w:type="dxa"/>
          <w:bottom w:w="0" w:type="dxa"/>
          <w:right w:w="0" w:type="dxa"/>
        </w:tblCellMar>
      </w:tblPr>
      <w:tblGrid>
        <w:gridCol w:w="3346"/>
        <w:gridCol w:w="326"/>
        <w:gridCol w:w="1036"/>
        <w:gridCol w:w="326"/>
        <w:gridCol w:w="1036"/>
        <w:gridCol w:w="326"/>
        <w:gridCol w:w="1141"/>
        <w:gridCol w:w="326"/>
        <w:gridCol w:w="1141"/>
      </w:tblGrid>
      <w:tr>
        <w:trPr/>
        <w:tc>
          <w:tcPr>
            <w:tcW w:w="3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24710" cy="175260"/>
                      <wp:effectExtent l="0" t="0" r="0" b="0"/>
                      <wp:wrapNone/>
                      <wp:docPr id="6" name="Frame5"/>
                      <a:graphic xmlns:a="http://schemas.openxmlformats.org/drawingml/2006/main">
                        <a:graphicData uri="http://schemas.microsoft.com/office/word/2010/wordprocessingShape">
                          <wps:wsp>
                            <wps:cNvSpPr txBox="1"/>
                            <wps:spPr>
                              <a:xfrm>
                                <a:off x="0" y="0"/>
                                <a:ext cx="2124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07010" cy="175260"/>
                      <wp:effectExtent l="0" t="0" r="0" b="0"/>
                      <wp:wrapNone/>
                      <wp:docPr id="7" name="Frame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57860" cy="175260"/>
                      <wp:effectExtent l="0" t="0" r="0" b="0"/>
                      <wp:wrapNone/>
                      <wp:docPr id="8" name="Frame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07010" cy="175260"/>
                      <wp:effectExtent l="0" t="0" r="0" b="0"/>
                      <wp:wrapNone/>
                      <wp:docPr id="9" name="Frame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57860" cy="175260"/>
                      <wp:effectExtent l="0" t="0" r="0" b="0"/>
                      <wp:wrapNone/>
                      <wp:docPr id="10" name="Frame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07010" cy="175260"/>
                      <wp:effectExtent l="0" t="0" r="0" b="0"/>
                      <wp:wrapNone/>
                      <wp:docPr id="11" name="Frame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724535" cy="175260"/>
                      <wp:effectExtent l="0" t="0" r="0" b="0"/>
                      <wp:wrapNone/>
                      <wp:docPr id="12" name="Frame11"/>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07010" cy="175260"/>
                      <wp:effectExtent l="0" t="0" r="0" b="0"/>
                      <wp:wrapNone/>
                      <wp:docPr id="13" name="Frame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724535" cy="175260"/>
                      <wp:effectExtent l="0" t="0" r="0" b="0"/>
                      <wp:wrapNone/>
                      <wp:docPr id="14" name="Frame13"/>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533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33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righ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righ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righ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3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9004" w:type="dxa"/>
            <w:gridSpan w:val="9"/>
            <w:tcBorders/>
            <w:vAlign w:val="center"/>
          </w:tcPr>
          <w:p>
            <w:pPr>
              <w:pStyle w:val="TableContents"/>
              <w:bidi w:val="0"/>
              <w:spacing w:before="0" w:after="283"/>
              <w:ind w:left="0" w:right="0" w:hanging="0"/>
              <w:jc w:val="left"/>
              <w:rPr>
                <w:sz w:val="4"/>
                <w:szCs w:val="4"/>
              </w:rPr>
            </w:pPr>
            <w:r>
              <w:rPr>
                <w:sz w:val="4"/>
                <w:szCs w:val="4"/>
              </w:rPr>
            </w:r>
          </w:p>
        </w:tc>
      </w:tr>
      <w:tr>
        <w:trPr/>
        <w:tc>
          <w:tcPr>
            <w:tcW w:w="33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5332"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revenues:</w:t>
            </w:r>
          </w:p>
        </w:tc>
        <w:tc>
          <w:tcPr>
            <w:tcW w:w="326" w:type="dxa"/>
            <w:tcBorders/>
            <w:shd w:fill="CCEEFF" w:val="clear"/>
            <w:vAlign w:val="center"/>
          </w:tcPr>
          <w:p>
            <w:pPr>
              <w:pStyle w:val="TableContents"/>
              <w:bidi w:val="0"/>
              <w:spacing w:before="0" w:after="0"/>
              <w:ind w:left="0" w:right="0" w:hanging="0"/>
              <w:jc w:val="center"/>
              <w:rPr/>
            </w:pPr>
            <w:r>
              <w:rPr/>
              <w:t>​</w:t>
            </w:r>
          </w:p>
        </w:tc>
        <w:tc>
          <w:tcPr>
            <w:tcW w:w="103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103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114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1141" w:type="dxa"/>
            <w:tcBorders/>
            <w:shd w:fill="CCEEFF" w:val="clear"/>
            <w:vAlign w:val="center"/>
          </w:tcPr>
          <w:p>
            <w:pPr>
              <w:pStyle w:val="TableContents"/>
              <w:bidi w:val="0"/>
              <w:spacing w:before="0" w:after="0"/>
              <w:ind w:left="0" w:right="0" w:hanging="0"/>
              <w:jc w:val="center"/>
              <w:rPr/>
            </w:pPr>
            <w:r>
              <w:rPr/>
              <w:t>​</w:t>
            </w:r>
          </w:p>
        </w:tc>
      </w:tr>
      <w:tr>
        <w:trPr/>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Games and related value-added services</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67,819,288</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74,566,471</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81,565,449</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11,488,253</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Youdao</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5,354,357</w:t>
            </w:r>
          </w:p>
        </w:tc>
        <w:tc>
          <w:tcPr>
            <w:tcW w:w="326" w:type="dxa"/>
            <w:tcBorders/>
            <w:shd w:fill="CCEEFF" w:val="clear"/>
            <w:vAlign w:val="center"/>
          </w:tcPr>
          <w:p>
            <w:pPr>
              <w:pStyle w:val="TableContents"/>
              <w:bidi w:val="0"/>
              <w:spacing w:before="0" w:after="0"/>
              <w:ind w:left="0" w:right="0" w:hanging="0"/>
              <w:jc w:val="righ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5,013,182</w:t>
            </w:r>
          </w:p>
        </w:tc>
        <w:tc>
          <w:tcPr>
            <w:tcW w:w="326" w:type="dxa"/>
            <w:tcBorders/>
            <w:shd w:fill="CCEEFF" w:val="clear"/>
            <w:vAlign w:val="center"/>
          </w:tcPr>
          <w:p>
            <w:pPr>
              <w:pStyle w:val="TableContents"/>
              <w:bidi w:val="0"/>
              <w:spacing w:before="0" w:after="0"/>
              <w:ind w:left="0" w:right="0" w:hanging="0"/>
              <w:jc w:val="righ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5,389,208</w:t>
            </w:r>
          </w:p>
        </w:tc>
        <w:tc>
          <w:tcPr>
            <w:tcW w:w="326" w:type="dxa"/>
            <w:tcBorders/>
            <w:shd w:fill="CCEEFF" w:val="clear"/>
            <w:vAlign w:val="center"/>
          </w:tcPr>
          <w:p>
            <w:pPr>
              <w:pStyle w:val="TableContents"/>
              <w:bidi w:val="0"/>
              <w:spacing w:before="0" w:after="0"/>
              <w:ind w:left="0" w:right="0" w:hanging="0"/>
              <w:jc w:val="righ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759,054</w:t>
            </w:r>
          </w:p>
        </w:tc>
      </w:tr>
      <w:tr>
        <w:trPr/>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Cloud Music</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6,997,622</w:t>
            </w:r>
          </w:p>
        </w:tc>
        <w:tc>
          <w:tcPr>
            <w:tcW w:w="326" w:type="dxa"/>
            <w:tcBorders/>
            <w:vAlign w:val="center"/>
          </w:tcPr>
          <w:p>
            <w:pPr>
              <w:pStyle w:val="TableContents"/>
              <w:bidi w:val="0"/>
              <w:spacing w:before="0" w:after="0"/>
              <w:ind w:left="0" w:right="0" w:hanging="0"/>
              <w:jc w:val="righ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8,992,221</w:t>
            </w:r>
          </w:p>
        </w:tc>
        <w:tc>
          <w:tcPr>
            <w:tcW w:w="326" w:type="dxa"/>
            <w:tcBorders/>
            <w:vAlign w:val="center"/>
          </w:tcPr>
          <w:p>
            <w:pPr>
              <w:pStyle w:val="TableContents"/>
              <w:bidi w:val="0"/>
              <w:spacing w:before="0" w:after="0"/>
              <w:ind w:left="0" w:right="0" w:hanging="0"/>
              <w:jc w:val="righ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7,866,992</w:t>
            </w:r>
          </w:p>
        </w:tc>
        <w:tc>
          <w:tcPr>
            <w:tcW w:w="326" w:type="dxa"/>
            <w:tcBorders/>
            <w:vAlign w:val="center"/>
          </w:tcPr>
          <w:p>
            <w:pPr>
              <w:pStyle w:val="TableContents"/>
              <w:bidi w:val="0"/>
              <w:spacing w:before="0" w:after="0"/>
              <w:ind w:left="0" w:right="0" w:hanging="0"/>
              <w:jc w:val="righ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1,108,043</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Innovative businesses and others</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7,434,759</w:t>
            </w:r>
          </w:p>
        </w:tc>
        <w:tc>
          <w:tcPr>
            <w:tcW w:w="326" w:type="dxa"/>
            <w:tcBorders/>
            <w:shd w:fill="CCEEFF" w:val="clear"/>
            <w:vAlign w:val="center"/>
          </w:tcPr>
          <w:p>
            <w:pPr>
              <w:pStyle w:val="TableContents"/>
              <w:bidi w:val="0"/>
              <w:spacing w:before="0" w:after="0"/>
              <w:ind w:left="0" w:right="0" w:hanging="0"/>
              <w:jc w:val="righ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7,923,935</w:t>
            </w:r>
          </w:p>
        </w:tc>
        <w:tc>
          <w:tcPr>
            <w:tcW w:w="326" w:type="dxa"/>
            <w:tcBorders/>
            <w:shd w:fill="CCEEFF" w:val="clear"/>
            <w:vAlign w:val="center"/>
          </w:tcPr>
          <w:p>
            <w:pPr>
              <w:pStyle w:val="TableContents"/>
              <w:bidi w:val="0"/>
              <w:spacing w:before="0" w:after="0"/>
              <w:ind w:left="0" w:right="0" w:hanging="0"/>
              <w:jc w:val="righ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8,646,510</w:t>
            </w:r>
          </w:p>
        </w:tc>
        <w:tc>
          <w:tcPr>
            <w:tcW w:w="326" w:type="dxa"/>
            <w:tcBorders/>
            <w:shd w:fill="CCEEFF" w:val="clear"/>
            <w:vAlign w:val="center"/>
          </w:tcPr>
          <w:p>
            <w:pPr>
              <w:pStyle w:val="TableContents"/>
              <w:bidi w:val="0"/>
              <w:spacing w:before="0" w:after="0"/>
              <w:ind w:left="0" w:right="0" w:hanging="0"/>
              <w:jc w:val="righ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1,217,835</w:t>
            </w:r>
          </w:p>
        </w:tc>
      </w:tr>
      <w:tr>
        <w:trPr/>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revenues</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87,606,026</w:t>
            </w:r>
          </w:p>
        </w:tc>
        <w:tc>
          <w:tcPr>
            <w:tcW w:w="326" w:type="dxa"/>
            <w:tcBorders/>
            <w:vAlign w:val="center"/>
          </w:tcPr>
          <w:p>
            <w:pPr>
              <w:pStyle w:val="TableContents"/>
              <w:bidi w:val="0"/>
              <w:spacing w:before="0" w:after="0"/>
              <w:ind w:left="0" w:right="0" w:hanging="0"/>
              <w:jc w:val="righ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96,495,809</w:t>
            </w:r>
          </w:p>
        </w:tc>
        <w:tc>
          <w:tcPr>
            <w:tcW w:w="326" w:type="dxa"/>
            <w:tcBorders/>
            <w:vAlign w:val="center"/>
          </w:tcPr>
          <w:p>
            <w:pPr>
              <w:pStyle w:val="TableContents"/>
              <w:bidi w:val="0"/>
              <w:spacing w:before="0" w:after="0"/>
              <w:ind w:left="0" w:right="0" w:hanging="0"/>
              <w:jc w:val="right"/>
              <w:rPr/>
            </w:pPr>
            <w:r>
              <w:rPr/>
              <w:t> </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103,468,159</w:t>
            </w:r>
          </w:p>
        </w:tc>
        <w:tc>
          <w:tcPr>
            <w:tcW w:w="326" w:type="dxa"/>
            <w:tcBorders/>
            <w:vAlign w:val="center"/>
          </w:tcPr>
          <w:p>
            <w:pPr>
              <w:pStyle w:val="TableContents"/>
              <w:bidi w:val="0"/>
              <w:spacing w:before="0" w:after="0"/>
              <w:ind w:left="0" w:right="0" w:hanging="0"/>
              <w:jc w:val="right"/>
              <w:rPr/>
            </w:pPr>
            <w:r>
              <w:rPr/>
              <w:t> </w:t>
            </w:r>
          </w:p>
        </w:tc>
        <w:tc>
          <w:tcPr>
            <w:tcW w:w="114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14,573,185</w:t>
            </w:r>
          </w:p>
        </w:tc>
      </w:tr>
    </w:tbl>
    <w:p>
      <w:pPr>
        <w:pStyle w:val="TextBody"/>
        <w:bidi w:val="0"/>
        <w:spacing w:before="0" w:after="0"/>
        <w:ind w:left="0" w:right="0" w:firstLine="72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generate our revenues from the provision of games and related value-added services, Youdao, Cloud Music, innovative businesses and others. No customer individually accounted for greater than 10% of our total revenues for the years ended December 31, 2021, 2022 and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Games and Related Value-added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generate our mobile game revenues primarily from the sale of in-game virtual items, including avatars, skills, privileges or other in-game consumables, features or functionalities, within the games. We distribute our mobile games through partnerships with major Android- and iOS-based app stores as well as proprietary platforms, such as our mobile apps and websites. Users have a variety of payment options for in-game virtual items, including using prepaid points or by making online payments through app stores and other online payment platforms. Our mobile game portfolio now consists of over 100 diverse games, and we expect to continue introducing new mobile games each year for the foreseeable future, which we believe will contribute to future growth in net revenues from this segment.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generate revenues from our PC games mainly through sales of prepaid points. Customers can purchase prepaid points on our NetEase online platforms through debit or credit cards or online payment platforms through which players can directly credit points to their accounts. Customers also can purchase virtual or physical point cards through our third-party retailers. Customers can use the points to play our PC games, either to pay for playing time or to purchase virtual items within the games, and use our other fee-based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also generate revenue from services which are related or ancillary to the operation of our games such as the NetEase CC live streaming service (a platform offering various live streaming content with a primary focus on game broadcasting) and other value-added services.</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Youdao</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Youdao’s revenue consists of three parts: learning services, smart devices and online marketing services. We currently generate the majority of the revenues of Youdao’s learning services from its tutoring services, which mainly include its existing online courses and digital content services. In order to comply with applicable PRC regulatory requirements adopted by the PRC government in the second half of 2021, Youdao disposed of its Academic AST Business, which historically contributed a significant portion of the learning services revenues. In 2021, Youdao’s Academic AST Business contributed RMB1.3 billion, which accounted for approximately 25.0% of Youdao’s total revenues for the period, and 1.5% of our total net revenues for the period. Youdao ceased offering its Academic AST Business at the end of December 2021. We also generate revenues from sales of smart devices as well as Youdao’s online marketing services through the provision of different formats of advertisements.</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Cloud Music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Cloud Music’s revenue is primarily generated from (i) online music services through the sales of membership subscriptions in various content and service packages and (ii) social entertainment services and others mainly through the sale of virtual items.</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Innovative Businesses and Others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derive our innovative businesses and others revenues primarily from e-commerce, advertising services and other value-added services.</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Seasonality of Revenues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Historically, usage of our online games has generally increased around the Chinese holidays, particularly the winter and summer school holidays. Revenues from certain of our innovative businesses and others, including advertising services, have followed the same general seasonal trend throughout each year, with the first quarter of the year being the weakest quarter due to the Chinese New Year holiday and the traditional close of customers’ annual budgets, and the fourth quarter as the strongest. Our Youdao platform tends to experience strong sales of its smart devices during the period leading up to commencement of school terms in September and in connection with various e-commerce promotions in November and December. Our e-commerce business revenues are relatively lower during the Chinese New Year holiday season in the first quarter of each year, while sales in the fourth quarter are higher than each of the preceding three quarters due to a variety of promotional activities conducted by retail and e-commerce businesses in China.</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Cost of Revenues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sets forth our cost of revenues by segment for the periods indicated:</w:t>
      </w:r>
    </w:p>
    <w:tbl>
      <w:tblPr>
        <w:tblW w:w="9214" w:type="dxa"/>
        <w:jc w:val="left"/>
        <w:tblInd w:w="0" w:type="dxa"/>
        <w:tblLayout w:type="fixed"/>
        <w:tblCellMar>
          <w:top w:w="0" w:type="dxa"/>
          <w:left w:w="0" w:type="dxa"/>
          <w:bottom w:w="0" w:type="dxa"/>
          <w:right w:w="0" w:type="dxa"/>
        </w:tblCellMar>
      </w:tblPr>
      <w:tblGrid>
        <w:gridCol w:w="3346"/>
        <w:gridCol w:w="326"/>
        <w:gridCol w:w="1156"/>
        <w:gridCol w:w="326"/>
        <w:gridCol w:w="1156"/>
        <w:gridCol w:w="326"/>
        <w:gridCol w:w="1156"/>
        <w:gridCol w:w="326"/>
        <w:gridCol w:w="1096"/>
      </w:tblGrid>
      <w:tr>
        <w:trPr/>
        <w:tc>
          <w:tcPr>
            <w:tcW w:w="3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124710" cy="175260"/>
                      <wp:effectExtent l="0" t="0" r="0" b="0"/>
                      <wp:wrapNone/>
                      <wp:docPr id="15" name="Frame14"/>
                      <a:graphic xmlns:a="http://schemas.openxmlformats.org/drawingml/2006/main">
                        <a:graphicData uri="http://schemas.microsoft.com/office/word/2010/wordprocessingShape">
                          <wps:wsp>
                            <wps:cNvSpPr txBox="1"/>
                            <wps:spPr>
                              <a:xfrm>
                                <a:off x="0" y="0"/>
                                <a:ext cx="2124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16" name="Frame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734060" cy="175260"/>
                      <wp:effectExtent l="0" t="0" r="0" b="0"/>
                      <wp:wrapNone/>
                      <wp:docPr id="17" name="Frame16"/>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07010" cy="175260"/>
                      <wp:effectExtent l="0" t="0" r="0" b="0"/>
                      <wp:wrapNone/>
                      <wp:docPr id="18" name="Frame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734060" cy="175260"/>
                      <wp:effectExtent l="0" t="0" r="0" b="0"/>
                      <wp:wrapNone/>
                      <wp:docPr id="19" name="Frame18"/>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07010" cy="175260"/>
                      <wp:effectExtent l="0" t="0" r="0" b="0"/>
                      <wp:wrapNone/>
                      <wp:docPr id="20" name="Frame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734060" cy="175260"/>
                      <wp:effectExtent l="0" t="0" r="0" b="0"/>
                      <wp:wrapNone/>
                      <wp:docPr id="21" name="Frame20"/>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7010" cy="175260"/>
                      <wp:effectExtent l="0" t="0" r="0" b="0"/>
                      <wp:wrapNone/>
                      <wp:docPr id="22" name="Frame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95960" cy="175260"/>
                      <wp:effectExtent l="0" t="0" r="0" b="0"/>
                      <wp:wrapNone/>
                      <wp:docPr id="23" name="Frame22"/>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554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33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3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9214" w:type="dxa"/>
            <w:gridSpan w:val="9"/>
            <w:tcBorders/>
            <w:vAlign w:val="center"/>
          </w:tcPr>
          <w:p>
            <w:pPr>
              <w:pStyle w:val="TableContents"/>
              <w:bidi w:val="0"/>
              <w:spacing w:before="0" w:after="283"/>
              <w:ind w:left="0" w:right="0" w:hanging="0"/>
              <w:jc w:val="left"/>
              <w:rPr>
                <w:sz w:val="4"/>
                <w:szCs w:val="4"/>
              </w:rPr>
            </w:pPr>
            <w:r>
              <w:rPr>
                <w:sz w:val="4"/>
                <w:szCs w:val="4"/>
              </w:rPr>
            </w:r>
          </w:p>
        </w:tc>
      </w:tr>
      <w:tr>
        <w:trPr/>
        <w:tc>
          <w:tcPr>
            <w:tcW w:w="33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5542"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Cost of revenues:</w:t>
            </w:r>
          </w:p>
        </w:tc>
        <w:tc>
          <w:tcPr>
            <w:tcW w:w="326" w:type="dxa"/>
            <w:tcBorders/>
            <w:shd w:fill="CCEEFF" w:val="clear"/>
            <w:vAlign w:val="center"/>
          </w:tcPr>
          <w:p>
            <w:pPr>
              <w:pStyle w:val="TableContents"/>
              <w:bidi w:val="0"/>
              <w:spacing w:before="0" w:after="0"/>
              <w:ind w:left="0" w:right="0" w:hanging="0"/>
              <w:jc w:val="center"/>
              <w:rPr/>
            </w:pPr>
            <w:r>
              <w:rPr/>
              <w:t>​</w:t>
            </w:r>
          </w:p>
        </w:tc>
        <w:tc>
          <w:tcPr>
            <w:tcW w:w="115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115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115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1096" w:type="dxa"/>
            <w:tcBorders/>
            <w:shd w:fill="CCEEFF" w:val="clear"/>
            <w:vAlign w:val="center"/>
          </w:tcPr>
          <w:p>
            <w:pPr>
              <w:pStyle w:val="TableContents"/>
              <w:bidi w:val="0"/>
              <w:spacing w:before="0" w:after="0"/>
              <w:ind w:left="0" w:right="0" w:hanging="0"/>
              <w:jc w:val="center"/>
              <w:rPr/>
            </w:pPr>
            <w:r>
              <w:rPr/>
              <w:t>​</w:t>
            </w:r>
          </w:p>
        </w:tc>
      </w:tr>
      <w:tr>
        <w:trPr/>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Games and related value-added services</w:t>
            </w:r>
          </w:p>
        </w:tc>
        <w:tc>
          <w:tcPr>
            <w:tcW w:w="32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(26,007,412)</w:t>
            </w:r>
          </w:p>
        </w:tc>
        <w:tc>
          <w:tcPr>
            <w:tcW w:w="32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(27,784,419)</w:t>
            </w:r>
          </w:p>
        </w:tc>
        <w:tc>
          <w:tcPr>
            <w:tcW w:w="32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(25,938,865)</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(3,653,413)</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Youdao</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(2,448,146)</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(2,430,738)</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(2,621,746)</w:t>
            </w:r>
          </w:p>
        </w:tc>
        <w:tc>
          <w:tcPr>
            <w:tcW w:w="32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(369,265)</w:t>
            </w:r>
          </w:p>
        </w:tc>
      </w:tr>
      <w:tr>
        <w:trPr/>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Cloud Music</w:t>
            </w:r>
          </w:p>
        </w:tc>
        <w:tc>
          <w:tcPr>
            <w:tcW w:w="32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(6,854,948)</w:t>
            </w:r>
          </w:p>
        </w:tc>
        <w:tc>
          <w:tcPr>
            <w:tcW w:w="32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(7,699,103)</w:t>
            </w:r>
          </w:p>
        </w:tc>
        <w:tc>
          <w:tcPr>
            <w:tcW w:w="32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(5,764,322)</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(811,888)</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Innovative businesses and others</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(5,324,719)</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(5,815,423)</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(6,079,832)</w:t>
            </w:r>
          </w:p>
        </w:tc>
        <w:tc>
          <w:tcPr>
            <w:tcW w:w="326" w:type="dxa"/>
            <w:tcBorders/>
            <w:shd w:fill="CCEEFF" w:val="clear"/>
            <w:vAlign w:val="center"/>
          </w:tcPr>
          <w:p>
            <w:pPr>
              <w:pStyle w:val="TableContents"/>
              <w:bidi w:val="0"/>
              <w:spacing w:before="0" w:after="0"/>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(856,326)</w:t>
            </w:r>
          </w:p>
        </w:tc>
      </w:tr>
      <w:tr>
        <w:trPr/>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 of revenues</w:t>
            </w:r>
          </w:p>
        </w:tc>
        <w:tc>
          <w:tcPr>
            <w:tcW w:w="326" w:type="dxa"/>
            <w:tcBorders/>
            <w:vAlign w:val="center"/>
          </w:tcPr>
          <w:p>
            <w:pPr>
              <w:pStyle w:val="TableContents"/>
              <w:bidi w:val="0"/>
              <w:spacing w:before="0" w:after="0"/>
              <w:ind w:left="0" w:right="0" w:hanging="0"/>
              <w:jc w:val="left"/>
              <w:rPr/>
            </w:pPr>
            <w:r>
              <w:rPr/>
              <w:t> </w:t>
            </w:r>
          </w:p>
        </w:tc>
        <w:tc>
          <w:tcPr>
            <w:tcW w:w="11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(40,635,225)</w:t>
            </w:r>
          </w:p>
        </w:tc>
        <w:tc>
          <w:tcPr>
            <w:tcW w:w="326" w:type="dxa"/>
            <w:tcBorders/>
            <w:vAlign w:val="center"/>
          </w:tcPr>
          <w:p>
            <w:pPr>
              <w:pStyle w:val="TableContents"/>
              <w:bidi w:val="0"/>
              <w:spacing w:before="0" w:after="0"/>
              <w:ind w:left="0" w:right="0" w:hanging="0"/>
              <w:jc w:val="left"/>
              <w:rPr/>
            </w:pPr>
            <w:r>
              <w:rPr/>
              <w:t> </w:t>
            </w:r>
          </w:p>
        </w:tc>
        <w:tc>
          <w:tcPr>
            <w:tcW w:w="11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(43,729,683)</w:t>
            </w:r>
          </w:p>
        </w:tc>
        <w:tc>
          <w:tcPr>
            <w:tcW w:w="326" w:type="dxa"/>
            <w:tcBorders/>
            <w:vAlign w:val="center"/>
          </w:tcPr>
          <w:p>
            <w:pPr>
              <w:pStyle w:val="TableContents"/>
              <w:bidi w:val="0"/>
              <w:spacing w:before="0" w:after="0"/>
              <w:ind w:left="0" w:right="0" w:hanging="0"/>
              <w:jc w:val="left"/>
              <w:rPr/>
            </w:pPr>
            <w:r>
              <w:rPr/>
              <w:t> </w:t>
            </w:r>
          </w:p>
        </w:tc>
        <w:tc>
          <w:tcPr>
            <w:tcW w:w="11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(40,404,765)</w:t>
            </w:r>
          </w:p>
        </w:tc>
        <w:tc>
          <w:tcPr>
            <w:tcW w:w="326" w:type="dxa"/>
            <w:tcBorders/>
            <w:vAlign w:val="center"/>
          </w:tcPr>
          <w:p>
            <w:pPr>
              <w:pStyle w:val="TableContents"/>
              <w:bidi w:val="0"/>
              <w:spacing w:before="0" w:after="0"/>
              <w:ind w:left="0" w:right="0" w:hanging="0"/>
              <w:jc w:val="left"/>
              <w:rPr/>
            </w:pPr>
            <w:r>
              <w:rPr/>
              <w:t> </w:t>
            </w:r>
          </w:p>
        </w:tc>
        <w:tc>
          <w:tcPr>
            <w:tcW w:w="10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(5,690,892)</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Games and Related Value-added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Cost of revenues for our games and related value-added services consists primarily of revenue sharing costs paid to platforms, game developers, content providers and performers, staff-related costs, royalties related to licensed games, server and bandwidth service fees and other direct costs of providing these services.</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Youdao</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cost of revenues of Youdao consists primarily of revenue sharing costs paid to Youdao’s course instructors, teaching assistants and course development personnel, staff-related costs, costs of course materials, costs relating to the sales of smart devices and traffic acquisition costs.</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Cloud Music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cost of revenues of Cloud Music consists primarily of content licensing fees paid to music labels, independent artists and other copy right partners, revenue sharing fees paid to live streaming performers and their agencies, advertising service-related costs, music and entertainment event related costs, staff-related costs and professional fees.</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 xml:space="preserve">Innovative Businesses and Others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Cost of revenues related to our innovative businesses and others segment consists primarily of cost of merchandise sold in our e-commerce business, staff-related costs and content fees and revenue sharing costs paid to third-parties.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Operating Expenses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sets forth the principal components of our operating expenses for the periods indicated:</w:t>
      </w:r>
    </w:p>
    <w:tbl>
      <w:tblPr>
        <w:tblW w:w="8959" w:type="dxa"/>
        <w:jc w:val="left"/>
        <w:tblInd w:w="0" w:type="dxa"/>
        <w:tblLayout w:type="fixed"/>
        <w:tblCellMar>
          <w:top w:w="0" w:type="dxa"/>
          <w:left w:w="0" w:type="dxa"/>
          <w:bottom w:w="0" w:type="dxa"/>
          <w:right w:w="0" w:type="dxa"/>
        </w:tblCellMar>
      </w:tblPr>
      <w:tblGrid>
        <w:gridCol w:w="3091"/>
        <w:gridCol w:w="326"/>
        <w:gridCol w:w="1156"/>
        <w:gridCol w:w="326"/>
        <w:gridCol w:w="1156"/>
        <w:gridCol w:w="326"/>
        <w:gridCol w:w="1156"/>
        <w:gridCol w:w="326"/>
        <w:gridCol w:w="1096"/>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962785" cy="175260"/>
                      <wp:effectExtent l="0" t="0" r="0" b="0"/>
                      <wp:wrapNone/>
                      <wp:docPr id="24" name="Frame23"/>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7010" cy="175260"/>
                      <wp:effectExtent l="0" t="0" r="0" b="0"/>
                      <wp:wrapNone/>
                      <wp:docPr id="25" name="Frame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734060" cy="175260"/>
                      <wp:effectExtent l="0" t="0" r="0" b="0"/>
                      <wp:wrapNone/>
                      <wp:docPr id="26" name="Frame25"/>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7010" cy="175260"/>
                      <wp:effectExtent l="0" t="0" r="0" b="0"/>
                      <wp:wrapNone/>
                      <wp:docPr id="27" name="Frame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734060" cy="175260"/>
                      <wp:effectExtent l="0" t="0" r="0" b="0"/>
                      <wp:wrapNone/>
                      <wp:docPr id="28" name="Frame27"/>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29" name="Frame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734060" cy="175260"/>
                      <wp:effectExtent l="0" t="0" r="0" b="0"/>
                      <wp:wrapNone/>
                      <wp:docPr id="30" name="Frame29"/>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7010" cy="175260"/>
                      <wp:effectExtent l="0" t="0" r="0" b="0"/>
                      <wp:wrapNone/>
                      <wp:docPr id="31" name="Frame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95960" cy="175260"/>
                      <wp:effectExtent l="0" t="0" r="0" b="0"/>
                      <wp:wrapNone/>
                      <wp:docPr id="32" name="Frame31"/>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554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8959" w:type="dxa"/>
            <w:gridSpan w:val="9"/>
            <w:tcBorders/>
            <w:vAlign w:val="center"/>
          </w:tcPr>
          <w:p>
            <w:pPr>
              <w:pStyle w:val="TableContents"/>
              <w:bidi w:val="0"/>
              <w:spacing w:before="0" w:after="283"/>
              <w:ind w:left="0" w:right="0" w:hanging="0"/>
              <w:jc w:val="left"/>
              <w:rPr>
                <w:sz w:val="4"/>
                <w:szCs w:val="4"/>
              </w:rPr>
            </w:pPr>
            <w:r>
              <w:rPr>
                <w:sz w:val="4"/>
                <w:szCs w:val="4"/>
              </w:rPr>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5542"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26" w:type="dxa"/>
            <w:tcBorders/>
            <w:shd w:fill="CCEEFF" w:val="clear"/>
            <w:vAlign w:val="center"/>
          </w:tcPr>
          <w:p>
            <w:pPr>
              <w:pStyle w:val="TableContents"/>
              <w:bidi w:val="0"/>
              <w:spacing w:before="0" w:after="0"/>
              <w:ind w:left="0" w:right="0" w:hanging="0"/>
              <w:jc w:val="center"/>
              <w:rPr/>
            </w:pPr>
            <w:r>
              <w:rPr/>
              <w:t>​</w:t>
            </w:r>
          </w:p>
        </w:tc>
        <w:tc>
          <w:tcPr>
            <w:tcW w:w="115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115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115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1096" w:type="dxa"/>
            <w:tcBorders/>
            <w:shd w:fill="CCEEFF" w:val="clear"/>
            <w:vAlign w:val="center"/>
          </w:tcPr>
          <w:p>
            <w:pPr>
              <w:pStyle w:val="TableContents"/>
              <w:bidi w:val="0"/>
              <w:spacing w:before="0" w:after="0"/>
              <w:ind w:left="0" w:right="0" w:hanging="0"/>
              <w:jc w:val="center"/>
              <w:rPr/>
            </w:pPr>
            <w:r>
              <w:rPr/>
              <w:t>​</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 expenses</w:t>
            </w:r>
          </w:p>
        </w:tc>
        <w:tc>
          <w:tcPr>
            <w:tcW w:w="32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(12,214,191)</w:t>
            </w:r>
          </w:p>
        </w:tc>
        <w:tc>
          <w:tcPr>
            <w:tcW w:w="32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(13,402,721)</w:t>
            </w:r>
          </w:p>
        </w:tc>
        <w:tc>
          <w:tcPr>
            <w:tcW w:w="32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(13,969,460)</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(1,967,557)</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(4,263,549)</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(4,695,798)</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(4,899,880)</w:t>
            </w:r>
          </w:p>
        </w:tc>
        <w:tc>
          <w:tcPr>
            <w:tcW w:w="32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(690,134)</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26" w:type="dxa"/>
            <w:tcBorders/>
            <w:vAlign w:val="center"/>
          </w:tcPr>
          <w:p>
            <w:pPr>
              <w:pStyle w:val="TableContents"/>
              <w:bidi w:val="0"/>
              <w:spacing w:before="0" w:after="0"/>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(14,075,991)</w:t>
            </w:r>
          </w:p>
        </w:tc>
        <w:tc>
          <w:tcPr>
            <w:tcW w:w="326" w:type="dxa"/>
            <w:tcBorders/>
            <w:vAlign w:val="center"/>
          </w:tcPr>
          <w:p>
            <w:pPr>
              <w:pStyle w:val="TableContents"/>
              <w:bidi w:val="0"/>
              <w:spacing w:before="0" w:after="0"/>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(15,039,014)</w:t>
            </w:r>
          </w:p>
        </w:tc>
        <w:tc>
          <w:tcPr>
            <w:tcW w:w="326" w:type="dxa"/>
            <w:tcBorders/>
            <w:vAlign w:val="center"/>
          </w:tcPr>
          <w:p>
            <w:pPr>
              <w:pStyle w:val="TableContents"/>
              <w:bidi w:val="0"/>
              <w:spacing w:before="0" w:after="0"/>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(16,484,910)</w:t>
            </w:r>
          </w:p>
        </w:tc>
        <w:tc>
          <w:tcPr>
            <w:tcW w:w="326" w:type="dxa"/>
            <w:tcBorders/>
            <w:vAlign w:val="center"/>
          </w:tcPr>
          <w:p>
            <w:pPr>
              <w:pStyle w:val="TableContents"/>
              <w:bidi w:val="0"/>
              <w:spacing w:before="0" w:after="0"/>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(2,321,851)</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(30,553,731)</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(33,137,533)</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(35,354,250)</w:t>
            </w:r>
          </w:p>
        </w:tc>
        <w:tc>
          <w:tcPr>
            <w:tcW w:w="326" w:type="dxa"/>
            <w:tcBorders/>
            <w:shd w:fill="CCEEFF" w:val="clear"/>
            <w:vAlign w:val="center"/>
          </w:tcPr>
          <w:p>
            <w:pPr>
              <w:pStyle w:val="TableContents"/>
              <w:bidi w:val="0"/>
              <w:spacing w:before="0" w:after="0"/>
              <w:ind w:left="0" w:right="0" w:hanging="0"/>
              <w:jc w:val="left"/>
              <w:rPr/>
            </w:pPr>
            <w:r>
              <w:rPr/>
              <w:t> </w:t>
            </w:r>
          </w:p>
        </w:tc>
        <w:tc>
          <w:tcPr>
            <w:tcW w:w="10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(4,979,542)</w:t>
            </w:r>
          </w:p>
        </w:tc>
      </w:tr>
    </w:tbl>
    <w:p>
      <w:pPr>
        <w:pStyle w:val="TextBody"/>
        <w:bidi w:val="0"/>
        <w:spacing w:before="0" w:after="0"/>
        <w:ind w:left="0" w:right="0" w:firstLine="72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Operating expenses include selling and marketing expenses, general and administrative expenses and research and development expenses.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Selling and Marketing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Selling and marketing expenses consist primarily of staff-related costs for our sales and marketing staff, shipping and handling costs, and marketing and advertising expenses payable to third-party vendors, internet companies and agents.</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General and administrative expenses consist primarily of staff-related costs for our general administrative and management staff, office rental, legal, professional and consultancy fees, expected credit loss and depreciation charges.</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Research and Development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Research and development expenses consist primarily of staff-related costs for our professionals and technology expenses.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Share-Based Compensation Cost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sets forth the allocation of our share-based compensation costs for the periods indicated:</w:t>
      </w:r>
    </w:p>
    <w:tbl>
      <w:tblPr>
        <w:tblW w:w="8674" w:type="dxa"/>
        <w:jc w:val="left"/>
        <w:tblInd w:w="0" w:type="dxa"/>
        <w:tblLayout w:type="fixed"/>
        <w:tblCellMar>
          <w:top w:w="0" w:type="dxa"/>
          <w:left w:w="0" w:type="dxa"/>
          <w:bottom w:w="0" w:type="dxa"/>
          <w:right w:w="0" w:type="dxa"/>
        </w:tblCellMar>
      </w:tblPr>
      <w:tblGrid>
        <w:gridCol w:w="3691"/>
        <w:gridCol w:w="326"/>
        <w:gridCol w:w="931"/>
        <w:gridCol w:w="326"/>
        <w:gridCol w:w="931"/>
        <w:gridCol w:w="326"/>
        <w:gridCol w:w="931"/>
        <w:gridCol w:w="326"/>
        <w:gridCol w:w="886"/>
      </w:tblGrid>
      <w:tr>
        <w:trPr/>
        <w:tc>
          <w:tcPr>
            <w:tcW w:w="3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343785" cy="175260"/>
                      <wp:effectExtent l="0" t="0" r="0" b="0"/>
                      <wp:wrapNone/>
                      <wp:docPr id="33" name="Frame32"/>
                      <a:graphic xmlns:a="http://schemas.openxmlformats.org/drawingml/2006/main">
                        <a:graphicData uri="http://schemas.microsoft.com/office/word/2010/wordprocessingShape">
                          <wps:wsp>
                            <wps:cNvSpPr txBox="1"/>
                            <wps:spPr>
                              <a:xfrm>
                                <a:off x="0" y="0"/>
                                <a:ext cx="2343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7010" cy="175260"/>
                      <wp:effectExtent l="0" t="0" r="0" b="0"/>
                      <wp:wrapNone/>
                      <wp:docPr id="34" name="Frame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591185" cy="175260"/>
                      <wp:effectExtent l="0" t="0" r="0" b="0"/>
                      <wp:wrapNone/>
                      <wp:docPr id="35" name="Frame3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07010" cy="175260"/>
                      <wp:effectExtent l="0" t="0" r="0" b="0"/>
                      <wp:wrapNone/>
                      <wp:docPr id="36" name="Frame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591185" cy="175260"/>
                      <wp:effectExtent l="0" t="0" r="0" b="0"/>
                      <wp:wrapNone/>
                      <wp:docPr id="37" name="Frame3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07010" cy="175260"/>
                      <wp:effectExtent l="0" t="0" r="0" b="0"/>
                      <wp:wrapNone/>
                      <wp:docPr id="38" name="Frame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591185" cy="175260"/>
                      <wp:effectExtent l="0" t="0" r="0" b="0"/>
                      <wp:wrapNone/>
                      <wp:docPr id="39" name="Frame3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07010" cy="175260"/>
                      <wp:effectExtent l="0" t="0" r="0" b="0"/>
                      <wp:wrapNone/>
                      <wp:docPr id="40" name="Frame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562610" cy="175260"/>
                      <wp:effectExtent l="0" t="0" r="0" b="0"/>
                      <wp:wrapNone/>
                      <wp:docPr id="41" name="Frame4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65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3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8674" w:type="dxa"/>
            <w:gridSpan w:val="9"/>
            <w:tcBorders/>
            <w:vAlign w:val="center"/>
          </w:tcPr>
          <w:p>
            <w:pPr>
              <w:pStyle w:val="TableContents"/>
              <w:bidi w:val="0"/>
              <w:spacing w:before="0" w:after="283"/>
              <w:ind w:left="0" w:right="0" w:hanging="0"/>
              <w:jc w:val="left"/>
              <w:rPr>
                <w:sz w:val="4"/>
                <w:szCs w:val="4"/>
              </w:rPr>
            </w:pPr>
            <w:r>
              <w:rPr>
                <w:sz w:val="4"/>
                <w:szCs w:val="4"/>
              </w:rPr>
            </w:r>
          </w:p>
        </w:tc>
      </w:tr>
      <w:tr>
        <w:trPr/>
        <w:tc>
          <w:tcPr>
            <w:tcW w:w="3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657"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 cost included in:</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  </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833,389</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758,413</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823,765</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116,025</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118,611</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120,171</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132,801</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18,705</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1,105,547</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1,214,995</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1,119,018</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157,610</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983,945</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1,080,581</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1,167,226</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164,400</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3,041,492</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3,174,160</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3,242,810</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456,740</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NetEase 2009 and 2019 Restricted Share Unit Plans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November 2009, we adopted the 2009 RSU Plan for our employees, directors and consultants. We reserved 323,694,050 ordinary shares for issuance under this plan. The 2009 RSU Plan expired on November 16, 2019 in accordance with its terms.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October 2019, we adopted our 2019 Restricted Share Unit Plan, for our employees, directors and consultants. Such plan was amended and restated in February 2023 and renamed the Amended and Restated 2019 Share Incentive Plan, or the 2019 Share Plan. We have reserved 322,458,300 ordinary shares for issuance under this plan. The 2019 Share Plan became effective on October 15, 2019 and will expire in February 2033.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the years ended December 31, 2021, 2022 and 2023, we recorded share-based compensation cost of approximately RMB3.0 billion, RMB3.2 billion and RMB3.2 billion (US$456.7 million), respectively, for awards granted under the 2009 RSU Plan and 2019 Share Plan, as well as the other share incentive plans discussed as below. This cost has been allocated to (i) cost of revenues, (ii) selling and marketing expenses, (iii) general and administrative expenses, and (iv) research and development expenses, depending on the responsibilities of the relevant employees.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December 31, 2023, total unrecognized compensation cost related to unvested awards granted under the 2009 RSU Plan and 2019 Share Plan, adjusted for estimated forfeitures, was RMB2.6 billion (US$365.3 million), which is expected to be recognized through the remaining vesting period of each grant. As of December 31, 2023, the weighted average remaining vesting period was 1.48 years.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Other Share Incentive Plans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Beginning in 2014, certain of our subsidiaries have adopted stock incentive plans, most of which were stock option plans to grant options exercisable for ordinary shares to certain of our employees. The options expire four to seven years from the date of grant and either vest or have a vesting commencement date upon certain conditions being met. The awards can become 100% vested on the vesting commencement date, or vest in two, three, four or five substantially equal annual installments with the first installment vesting on the vesting commencement date. For the years ended December 31, 2021, 2022 and 2023, we recorded share-based compensation costs of RMB528.2 million, RMB327.9 million and RMB289.0 million, respectively under these plans. But for certain share options granted with vesting conditions outside our control, no expenses will be recorded until the occurrence of the vesting conditions when we determine that it is probable that the vesting conditions will be satisfied.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December 31, 2023, there were RMB21.0 million in unrecognized share-based compensation expenses related to such share options for which the service conditions were met and are expected to be recognized when the vesting conditions are achieved.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Income Taxes</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Cayman Islands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current laws of the Cayman Islands, we and our intermediate holding companies which are incorporated in the Cayman Islands, are not subject to tax on income or capital gain. Additionally, upon payments of dividends by us to our shareholders or by our intermediate holding companies in the Cayman Islands to us, no Cayman Islands withholding tax will be imposed.</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British Virgin Islands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subsidiaries in the British Virgin Islands, or the BVI, are exempted from income tax on its foreign-derived income in the BVI. There are no withholding taxes in the BVI.</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Hong Kong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subsidiaries in Hong Kong were subject to income tax on their taxable income generated from operations in Hong Kong at a rate of 16.5%. For the years 2021, 2022 and 2023, the first HK$2 million of profits earned by one of our subsidiaries incorporated in Hong Kong is taxed at a rate of 8.25%, while the remaining profits will continue to be taxed at the 16.5% tax rate. The payments of dividends by these companies to us are not subject to any Hong Kong withholding tax.</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China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PRC Enterprise Income Tax Law subjects foreign invested enterprises and domestic companies to EIT at a uniform rate of 25%, and preferential tax treatments may be granted to foreign invested enterprises or domestic companies which conduct businesses in certain encouraged sectors and to entities otherwise classified as HNTEs.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Boguan, NetEase Hangzhou and certain of our other China mainland subsidiaries were qualified as HNTEs and enjoyed a preferential tax rate of 15% for 2021, 2022 and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foregoing preferential income tax rates, however, are subject to periodic review and renewal by PRC authorities.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Sales Tax</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Provisional Regulation of the PRC on Value Added Tax, or VAT, and its implementation rules, or Provisional VAT Regulation, our China mainland subsidiaries and the VIEs are generally subject to VAT at a rate of 6% for revenues earned from rendering services. Our sales of general goods to our customers in the PRC are also subject to VAT of 13%.</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RECENTLY ISSUED ACCOUNTING PRONOUNCEMENTS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Please see the Notes to the Consolidated Financial Statements—Note 2(bb) “Recently issued accounting pronouncements not yet adopted.”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sets forth a summary of our audited consolidated statements of operations for the periods indicated both in Renminbi and as a percentage of total revenues. Unless otherwise stated, financial results discussed herein refer to our continuing operations. Net income from discontinued operations attributable to the company’s shareholders in 2022 was related to the disposal of our Kaola e-commerce business.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784"/>
        <w:gridCol w:w="326"/>
        <w:gridCol w:w="1099"/>
        <w:gridCol w:w="326"/>
        <w:gridCol w:w="571"/>
        <w:gridCol w:w="326"/>
        <w:gridCol w:w="1099"/>
        <w:gridCol w:w="326"/>
        <w:gridCol w:w="571"/>
        <w:gridCol w:w="326"/>
        <w:gridCol w:w="1141"/>
        <w:gridCol w:w="326"/>
        <w:gridCol w:w="1036"/>
        <w:gridCol w:w="326"/>
        <w:gridCol w:w="622"/>
      </w:tblGrid>
      <w:tr>
        <w:trPr/>
        <w:tc>
          <w:tcPr>
            <w:tcW w:w="17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132840" cy="175260"/>
                      <wp:effectExtent l="0" t="0" r="0" b="0"/>
                      <wp:wrapNone/>
                      <wp:docPr id="42" name="Frame41"/>
                      <a:graphic xmlns:a="http://schemas.openxmlformats.org/drawingml/2006/main">
                        <a:graphicData uri="http://schemas.microsoft.com/office/word/2010/wordprocessingShape">
                          <wps:wsp>
                            <wps:cNvSpPr txBox="1"/>
                            <wps:spPr>
                              <a:xfrm>
                                <a:off x="0" y="0"/>
                                <a:ext cx="1132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07010" cy="175260"/>
                      <wp:effectExtent l="0" t="0" r="0" b="0"/>
                      <wp:wrapNone/>
                      <wp:docPr id="43" name="Frame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97865" cy="175260"/>
                      <wp:effectExtent l="0" t="0" r="0" b="0"/>
                      <wp:wrapNone/>
                      <wp:docPr id="44" name="Frame43"/>
                      <a:graphic xmlns:a="http://schemas.openxmlformats.org/drawingml/2006/main">
                        <a:graphicData uri="http://schemas.microsoft.com/office/word/2010/wordprocessingShape">
                          <wps:wsp>
                            <wps:cNvSpPr txBox="1"/>
                            <wps:spPr>
                              <a:xfrm>
                                <a:off x="0" y="0"/>
                                <a:ext cx="697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07010" cy="175260"/>
                      <wp:effectExtent l="0" t="0" r="0" b="0"/>
                      <wp:wrapNone/>
                      <wp:docPr id="45" name="Frame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362585" cy="175260"/>
                      <wp:effectExtent l="0" t="0" r="0" b="0"/>
                      <wp:wrapNone/>
                      <wp:docPr id="46" name="Frame4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07010" cy="175260"/>
                      <wp:effectExtent l="0" t="0" r="0" b="0"/>
                      <wp:wrapNone/>
                      <wp:docPr id="47" name="Frame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97865" cy="175260"/>
                      <wp:effectExtent l="0" t="0" r="0" b="0"/>
                      <wp:wrapNone/>
                      <wp:docPr id="48" name="Frame47"/>
                      <a:graphic xmlns:a="http://schemas.openxmlformats.org/drawingml/2006/main">
                        <a:graphicData uri="http://schemas.microsoft.com/office/word/2010/wordprocessingShape">
                          <wps:wsp>
                            <wps:cNvSpPr txBox="1"/>
                            <wps:spPr>
                              <a:xfrm>
                                <a:off x="0" y="0"/>
                                <a:ext cx="697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49" name="Frame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362585" cy="175260"/>
                      <wp:effectExtent l="0" t="0" r="0" b="0"/>
                      <wp:wrapNone/>
                      <wp:docPr id="50" name="Frame4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07010" cy="175260"/>
                      <wp:effectExtent l="0" t="0" r="0" b="0"/>
                      <wp:wrapNone/>
                      <wp:docPr id="51" name="Frame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724535" cy="175260"/>
                      <wp:effectExtent l="0" t="0" r="0" b="0"/>
                      <wp:wrapNone/>
                      <wp:docPr id="52" name="Frame51"/>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7010" cy="175260"/>
                      <wp:effectExtent l="0" t="0" r="0" b="0"/>
                      <wp:wrapNone/>
                      <wp:docPr id="53" name="Frame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57860" cy="175260"/>
                      <wp:effectExtent l="0" t="0" r="0" b="0"/>
                      <wp:wrapNone/>
                      <wp:docPr id="54" name="Frame5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07010" cy="175260"/>
                      <wp:effectExtent l="0" t="0" r="0" b="0"/>
                      <wp:wrapNone/>
                      <wp:docPr id="55" name="Frame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394970" cy="175260"/>
                      <wp:effectExtent l="0" t="0" r="0" b="0"/>
                      <wp:wrapNone/>
                      <wp:docPr id="56" name="Frame55"/>
                      <a:graphic xmlns:a="http://schemas.openxmlformats.org/drawingml/2006/main">
                        <a:graphicData uri="http://schemas.microsoft.com/office/word/2010/wordprocessingShape">
                          <wps:wsp>
                            <wps:cNvSpPr txBox="1"/>
                            <wps:spPr>
                              <a:xfrm>
                                <a:off x="0" y="0"/>
                                <a:ext cx="394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8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095" w:type="dxa"/>
            <w:gridSpan w:val="1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178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996"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center"/>
              <w:rPr/>
            </w:pPr>
            <w:r>
              <w:rPr/>
              <w:t>    </w:t>
            </w:r>
          </w:p>
        </w:tc>
        <w:tc>
          <w:tcPr>
            <w:tcW w:w="1996"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345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78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9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0"/>
              <w:ind w:left="0" w:right="0" w:hanging="0"/>
              <w:jc w:val="center"/>
              <w:rPr/>
            </w:pPr>
            <w:r>
              <w:rPr/>
              <w:t>    </w:t>
            </w:r>
          </w:p>
        </w:tc>
        <w:tc>
          <w:tcPr>
            <w:tcW w:w="109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0"/>
              <w:ind w:left="0" w:right="0" w:hanging="0"/>
              <w:jc w:val="center"/>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26" w:type="dxa"/>
            <w:tcBorders/>
            <w:vAlign w:val="center"/>
          </w:tcPr>
          <w:p>
            <w:pPr>
              <w:pStyle w:val="TableContents"/>
              <w:bidi w:val="0"/>
              <w:spacing w:before="0" w:after="0"/>
              <w:ind w:left="0" w:right="0" w:hanging="0"/>
              <w:jc w:val="center"/>
              <w:rPr/>
            </w:pPr>
            <w:r>
              <w:rPr/>
              <w:t>    </w:t>
            </w:r>
          </w:p>
        </w:tc>
        <w:tc>
          <w:tcPr>
            <w:tcW w:w="62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10205" w:type="dxa"/>
            <w:gridSpan w:val="15"/>
            <w:tcBorders/>
            <w:vAlign w:val="center"/>
          </w:tcPr>
          <w:p>
            <w:pPr>
              <w:pStyle w:val="TableContents"/>
              <w:bidi w:val="0"/>
              <w:spacing w:before="0" w:after="283"/>
              <w:ind w:left="0" w:right="0" w:hanging="0"/>
              <w:jc w:val="left"/>
              <w:rPr>
                <w:sz w:val="4"/>
                <w:szCs w:val="4"/>
              </w:rPr>
            </w:pPr>
            <w:r>
              <w:rPr>
                <w:sz w:val="4"/>
                <w:szCs w:val="4"/>
              </w:rPr>
            </w:r>
          </w:p>
        </w:tc>
      </w:tr>
      <w:tr>
        <w:trPr/>
        <w:tc>
          <w:tcPr>
            <w:tcW w:w="178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095" w:type="dxa"/>
            <w:gridSpan w:val="1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 and US$ in thousands)</w:t>
            </w:r>
          </w:p>
        </w:tc>
      </w:tr>
      <w:tr>
        <w:trPr/>
        <w:tc>
          <w:tcPr>
            <w:tcW w:w="1784"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Statement of Operations and Comprehensive Income Data:</w:t>
            </w:r>
          </w:p>
        </w:tc>
        <w:tc>
          <w:tcPr>
            <w:tcW w:w="326" w:type="dxa"/>
            <w:tcBorders/>
            <w:shd w:fill="CCEEFF" w:val="clear"/>
            <w:vAlign w:val="center"/>
          </w:tcPr>
          <w:p>
            <w:pPr>
              <w:pStyle w:val="TableContents"/>
              <w:bidi w:val="0"/>
              <w:spacing w:before="0" w:after="0"/>
              <w:ind w:left="0" w:right="0" w:hanging="0"/>
              <w:jc w:val="left"/>
              <w:rPr/>
            </w:pPr>
            <w:r>
              <w:rPr/>
              <w:t> </w:t>
            </w:r>
          </w:p>
        </w:tc>
        <w:tc>
          <w:tcPr>
            <w:tcW w:w="1099"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099"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622" w:type="dxa"/>
            <w:tcBorders/>
            <w:shd w:fill="CCEEFF" w:val="clear"/>
            <w:vAlign w:val="center"/>
          </w:tcPr>
          <w:p>
            <w:pPr>
              <w:pStyle w:val="TableContents"/>
              <w:bidi w:val="0"/>
              <w:spacing w:before="0" w:after="0"/>
              <w:ind w:left="0" w:right="0" w:hanging="0"/>
              <w:jc w:val="right"/>
              <w:rPr/>
            </w:pPr>
            <w:r>
              <w:rPr/>
              <w:t>  </w:t>
            </w:r>
          </w:p>
        </w:tc>
      </w:tr>
      <w:tr>
        <w:trPr/>
        <w:tc>
          <w:tcPr>
            <w:tcW w:w="178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revenues</w:t>
            </w:r>
          </w:p>
        </w:tc>
        <w:tc>
          <w:tcPr>
            <w:tcW w:w="326" w:type="dxa"/>
            <w:tcBorders/>
            <w:vAlign w:val="center"/>
          </w:tcPr>
          <w:p>
            <w:pPr>
              <w:pStyle w:val="TableContents"/>
              <w:bidi w:val="0"/>
              <w:spacing w:before="0" w:after="0"/>
              <w:ind w:left="0" w:right="0" w:hanging="0"/>
              <w:jc w:val="left"/>
              <w:rPr/>
            </w:pPr>
            <w:r>
              <w:rPr/>
              <w:t> </w:t>
            </w:r>
          </w:p>
        </w:tc>
        <w:tc>
          <w:tcPr>
            <w:tcW w:w="10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87,606,026</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26" w:type="dxa"/>
            <w:tcBorders/>
            <w:vAlign w:val="center"/>
          </w:tcPr>
          <w:p>
            <w:pPr>
              <w:pStyle w:val="TableContents"/>
              <w:bidi w:val="0"/>
              <w:spacing w:before="0" w:after="0"/>
              <w:ind w:left="0" w:right="0" w:hanging="0"/>
              <w:jc w:val="left"/>
              <w:rPr/>
            </w:pPr>
            <w:r>
              <w:rPr/>
              <w:t> </w:t>
            </w:r>
          </w:p>
        </w:tc>
        <w:tc>
          <w:tcPr>
            <w:tcW w:w="10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96,495,809</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103,468,159</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14,573,185</w:t>
            </w:r>
          </w:p>
        </w:tc>
        <w:tc>
          <w:tcPr>
            <w:tcW w:w="32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r>
      <w:tr>
        <w:trPr/>
        <w:tc>
          <w:tcPr>
            <w:tcW w:w="178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10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(40,635,225)</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w:t>
            </w:r>
          </w:p>
        </w:tc>
        <w:tc>
          <w:tcPr>
            <w:tcW w:w="326" w:type="dxa"/>
            <w:tcBorders/>
            <w:shd w:fill="CCEEFF" w:val="clear"/>
            <w:vAlign w:val="center"/>
          </w:tcPr>
          <w:p>
            <w:pPr>
              <w:pStyle w:val="TableContents"/>
              <w:bidi w:val="0"/>
              <w:spacing w:before="0" w:after="0"/>
              <w:ind w:left="0" w:right="0" w:hanging="0"/>
              <w:jc w:val="left"/>
              <w:rPr/>
            </w:pPr>
            <w:r>
              <w:rPr/>
              <w:t> </w:t>
            </w:r>
          </w:p>
        </w:tc>
        <w:tc>
          <w:tcPr>
            <w:tcW w:w="10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(43,729,683)</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(40,404,765)</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(5,690,892)</w:t>
            </w:r>
          </w:p>
        </w:tc>
        <w:tc>
          <w:tcPr>
            <w:tcW w:w="326" w:type="dxa"/>
            <w:tcBorders/>
            <w:shd w:fill="CCEEFF" w:val="clear"/>
            <w:vAlign w:val="center"/>
          </w:tcPr>
          <w:p>
            <w:pPr>
              <w:pStyle w:val="TableContents"/>
              <w:bidi w:val="0"/>
              <w:spacing w:before="0" w:after="0"/>
              <w:ind w:left="0" w:right="0" w:hanging="0"/>
              <w:jc w:val="left"/>
              <w:rPr/>
            </w:pPr>
            <w:r>
              <w:rPr/>
              <w:t> </w:t>
            </w:r>
          </w:p>
        </w:tc>
        <w:tc>
          <w:tcPr>
            <w:tcW w:w="6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w:t>
            </w:r>
          </w:p>
        </w:tc>
      </w:tr>
      <w:tr>
        <w:trPr/>
        <w:tc>
          <w:tcPr>
            <w:tcW w:w="178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vAlign w:val="center"/>
          </w:tcPr>
          <w:p>
            <w:pPr>
              <w:pStyle w:val="TableContents"/>
              <w:bidi w:val="0"/>
              <w:spacing w:before="0" w:after="0"/>
              <w:ind w:left="0" w:right="0" w:hanging="0"/>
              <w:jc w:val="left"/>
              <w:rPr/>
            </w:pPr>
            <w:r>
              <w:rPr/>
              <w:t> </w:t>
            </w:r>
          </w:p>
        </w:tc>
        <w:tc>
          <w:tcPr>
            <w:tcW w:w="10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46,970,801</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w:t>
            </w:r>
          </w:p>
        </w:tc>
        <w:tc>
          <w:tcPr>
            <w:tcW w:w="326" w:type="dxa"/>
            <w:tcBorders/>
            <w:vAlign w:val="center"/>
          </w:tcPr>
          <w:p>
            <w:pPr>
              <w:pStyle w:val="TableContents"/>
              <w:bidi w:val="0"/>
              <w:spacing w:before="0" w:after="0"/>
              <w:ind w:left="0" w:right="0" w:hanging="0"/>
              <w:jc w:val="left"/>
              <w:rPr/>
            </w:pPr>
            <w:r>
              <w:rPr/>
              <w:t> </w:t>
            </w:r>
          </w:p>
        </w:tc>
        <w:tc>
          <w:tcPr>
            <w:tcW w:w="10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52,766,126</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63,063,394</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8,882,293</w:t>
            </w:r>
          </w:p>
        </w:tc>
        <w:tc>
          <w:tcPr>
            <w:tcW w:w="326" w:type="dxa"/>
            <w:tcBorders/>
            <w:vAlign w:val="center"/>
          </w:tcPr>
          <w:p>
            <w:pPr>
              <w:pStyle w:val="TableContents"/>
              <w:bidi w:val="0"/>
              <w:spacing w:before="0" w:after="0"/>
              <w:ind w:left="0" w:right="0" w:hanging="0"/>
              <w:jc w:val="left"/>
              <w:rPr/>
            </w:pPr>
            <w:r>
              <w:rPr/>
              <w:t> </w:t>
            </w:r>
          </w:p>
        </w:tc>
        <w:tc>
          <w:tcPr>
            <w:tcW w:w="6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w:t>
            </w:r>
          </w:p>
        </w:tc>
      </w:tr>
      <w:tr>
        <w:trPr/>
        <w:tc>
          <w:tcPr>
            <w:tcW w:w="178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1099"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09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22" w:type="dxa"/>
            <w:tcBorders/>
            <w:shd w:fill="CCEEFF" w:val="clear"/>
            <w:vAlign w:val="center"/>
          </w:tcPr>
          <w:p>
            <w:pPr>
              <w:pStyle w:val="TableContents"/>
              <w:bidi w:val="0"/>
              <w:spacing w:before="0" w:after="0"/>
              <w:ind w:left="0" w:right="0" w:hanging="0"/>
              <w:jc w:val="right"/>
              <w:rPr/>
            </w:pPr>
            <w:r>
              <w:rPr/>
              <w:t>​</w:t>
            </w:r>
          </w:p>
        </w:tc>
      </w:tr>
      <w:tr>
        <w:trPr/>
        <w:tc>
          <w:tcPr>
            <w:tcW w:w="178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 expenses</w:t>
            </w:r>
          </w:p>
        </w:tc>
        <w:tc>
          <w:tcPr>
            <w:tcW w:w="326" w:type="dxa"/>
            <w:tcBorders/>
            <w:vAlign w:val="center"/>
          </w:tcPr>
          <w:p>
            <w:pPr>
              <w:pStyle w:val="TableContents"/>
              <w:bidi w:val="0"/>
              <w:spacing w:before="0" w:after="0"/>
              <w:ind w:left="0" w:right="0" w:hanging="0"/>
              <w:jc w:val="left"/>
              <w:rPr/>
            </w:pPr>
            <w:r>
              <w:rPr/>
              <w:t> </w:t>
            </w:r>
          </w:p>
        </w:tc>
        <w:tc>
          <w:tcPr>
            <w:tcW w:w="10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(12,214,191)</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c>
          <w:tcPr>
            <w:tcW w:w="326" w:type="dxa"/>
            <w:tcBorders/>
            <w:vAlign w:val="center"/>
          </w:tcPr>
          <w:p>
            <w:pPr>
              <w:pStyle w:val="TableContents"/>
              <w:bidi w:val="0"/>
              <w:spacing w:before="0" w:after="0"/>
              <w:ind w:left="0" w:right="0" w:hanging="0"/>
              <w:jc w:val="left"/>
              <w:rPr/>
            </w:pPr>
            <w:r>
              <w:rPr/>
              <w:t> </w:t>
            </w:r>
          </w:p>
        </w:tc>
        <w:tc>
          <w:tcPr>
            <w:tcW w:w="10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(13,402,721)</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(13,969,460)</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(1,967,557)</w:t>
            </w:r>
          </w:p>
        </w:tc>
        <w:tc>
          <w:tcPr>
            <w:tcW w:w="32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r>
      <w:tr>
        <w:trPr/>
        <w:tc>
          <w:tcPr>
            <w:tcW w:w="178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10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(4,263,549)</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26" w:type="dxa"/>
            <w:tcBorders/>
            <w:shd w:fill="CCEEFF" w:val="clear"/>
            <w:vAlign w:val="center"/>
          </w:tcPr>
          <w:p>
            <w:pPr>
              <w:pStyle w:val="TableContents"/>
              <w:bidi w:val="0"/>
              <w:spacing w:before="0" w:after="0"/>
              <w:ind w:left="0" w:right="0" w:hanging="0"/>
              <w:jc w:val="left"/>
              <w:rPr/>
            </w:pPr>
            <w:r>
              <w:rPr/>
              <w:t> </w:t>
            </w:r>
          </w:p>
        </w:tc>
        <w:tc>
          <w:tcPr>
            <w:tcW w:w="10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(4,695,798)</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(4,899,880)</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(690,134)</w:t>
            </w:r>
          </w:p>
        </w:tc>
        <w:tc>
          <w:tcPr>
            <w:tcW w:w="326" w:type="dxa"/>
            <w:tcBorders/>
            <w:shd w:fill="CCEEFF" w:val="clear"/>
            <w:vAlign w:val="center"/>
          </w:tcPr>
          <w:p>
            <w:pPr>
              <w:pStyle w:val="TableContents"/>
              <w:bidi w:val="0"/>
              <w:spacing w:before="0" w:after="0"/>
              <w:ind w:left="0" w:right="0" w:hanging="0"/>
              <w:jc w:val="left"/>
              <w:rPr/>
            </w:pPr>
            <w:r>
              <w:rPr/>
              <w:t> </w:t>
            </w:r>
          </w:p>
        </w:tc>
        <w:tc>
          <w:tcPr>
            <w:tcW w:w="6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178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26" w:type="dxa"/>
            <w:tcBorders/>
            <w:vAlign w:val="center"/>
          </w:tcPr>
          <w:p>
            <w:pPr>
              <w:pStyle w:val="TableContents"/>
              <w:bidi w:val="0"/>
              <w:spacing w:before="0" w:after="0"/>
              <w:ind w:left="0" w:right="0" w:hanging="0"/>
              <w:jc w:val="left"/>
              <w:rPr/>
            </w:pPr>
            <w:r>
              <w:rPr/>
              <w:t> </w:t>
            </w:r>
          </w:p>
        </w:tc>
        <w:tc>
          <w:tcPr>
            <w:tcW w:w="10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(14,075,991)</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w:t>
            </w:r>
          </w:p>
        </w:tc>
        <w:tc>
          <w:tcPr>
            <w:tcW w:w="326" w:type="dxa"/>
            <w:tcBorders/>
            <w:vAlign w:val="center"/>
          </w:tcPr>
          <w:p>
            <w:pPr>
              <w:pStyle w:val="TableContents"/>
              <w:bidi w:val="0"/>
              <w:spacing w:before="0" w:after="0"/>
              <w:ind w:left="0" w:right="0" w:hanging="0"/>
              <w:jc w:val="left"/>
              <w:rPr/>
            </w:pPr>
            <w:r>
              <w:rPr/>
              <w:t> </w:t>
            </w:r>
          </w:p>
        </w:tc>
        <w:tc>
          <w:tcPr>
            <w:tcW w:w="10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(15,039,014)</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(16,484,910)</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(2,321,851)</w:t>
            </w:r>
          </w:p>
        </w:tc>
        <w:tc>
          <w:tcPr>
            <w:tcW w:w="326" w:type="dxa"/>
            <w:tcBorders/>
            <w:vAlign w:val="center"/>
          </w:tcPr>
          <w:p>
            <w:pPr>
              <w:pStyle w:val="TableContents"/>
              <w:bidi w:val="0"/>
              <w:spacing w:before="0" w:after="0"/>
              <w:ind w:left="0" w:right="0" w:hanging="0"/>
              <w:jc w:val="left"/>
              <w:rPr/>
            </w:pPr>
            <w:r>
              <w:rPr/>
              <w:t> </w:t>
            </w:r>
          </w:p>
        </w:tc>
        <w:tc>
          <w:tcPr>
            <w:tcW w:w="6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w:t>
            </w:r>
          </w:p>
        </w:tc>
      </w:tr>
      <w:tr>
        <w:trPr/>
        <w:tc>
          <w:tcPr>
            <w:tcW w:w="178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10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(30,553,731)</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w:t>
            </w:r>
          </w:p>
        </w:tc>
        <w:tc>
          <w:tcPr>
            <w:tcW w:w="326" w:type="dxa"/>
            <w:tcBorders/>
            <w:shd w:fill="CCEEFF" w:val="clear"/>
            <w:vAlign w:val="center"/>
          </w:tcPr>
          <w:p>
            <w:pPr>
              <w:pStyle w:val="TableContents"/>
              <w:bidi w:val="0"/>
              <w:spacing w:before="0" w:after="0"/>
              <w:ind w:left="0" w:right="0" w:hanging="0"/>
              <w:jc w:val="left"/>
              <w:rPr/>
            </w:pPr>
            <w:r>
              <w:rPr/>
              <w:t> </w:t>
            </w:r>
          </w:p>
        </w:tc>
        <w:tc>
          <w:tcPr>
            <w:tcW w:w="10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(33,137,533)</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(35,354,250)</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(4,979,542)</w:t>
            </w:r>
          </w:p>
        </w:tc>
        <w:tc>
          <w:tcPr>
            <w:tcW w:w="326" w:type="dxa"/>
            <w:tcBorders/>
            <w:shd w:fill="CCEEFF" w:val="clear"/>
            <w:vAlign w:val="center"/>
          </w:tcPr>
          <w:p>
            <w:pPr>
              <w:pStyle w:val="TableContents"/>
              <w:bidi w:val="0"/>
              <w:spacing w:before="0" w:after="0"/>
              <w:ind w:left="0" w:right="0" w:hanging="0"/>
              <w:jc w:val="left"/>
              <w:rPr/>
            </w:pPr>
            <w:r>
              <w:rPr/>
              <w:t> </w:t>
            </w:r>
          </w:p>
        </w:tc>
        <w:tc>
          <w:tcPr>
            <w:tcW w:w="6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w:t>
            </w:r>
          </w:p>
        </w:tc>
      </w:tr>
      <w:tr>
        <w:trPr/>
        <w:tc>
          <w:tcPr>
            <w:tcW w:w="178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profit</w:t>
            </w:r>
          </w:p>
        </w:tc>
        <w:tc>
          <w:tcPr>
            <w:tcW w:w="326" w:type="dxa"/>
            <w:tcBorders/>
            <w:vAlign w:val="center"/>
          </w:tcPr>
          <w:p>
            <w:pPr>
              <w:pStyle w:val="TableContents"/>
              <w:bidi w:val="0"/>
              <w:spacing w:before="0" w:after="0"/>
              <w:ind w:left="0" w:right="0" w:hanging="0"/>
              <w:jc w:val="left"/>
              <w:rPr/>
            </w:pPr>
            <w:r>
              <w:rPr/>
              <w:t> </w:t>
            </w:r>
          </w:p>
        </w:tc>
        <w:tc>
          <w:tcPr>
            <w:tcW w:w="10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16,417,070</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w:t>
            </w:r>
          </w:p>
        </w:tc>
        <w:tc>
          <w:tcPr>
            <w:tcW w:w="326" w:type="dxa"/>
            <w:tcBorders/>
            <w:vAlign w:val="center"/>
          </w:tcPr>
          <w:p>
            <w:pPr>
              <w:pStyle w:val="TableContents"/>
              <w:bidi w:val="0"/>
              <w:spacing w:before="0" w:after="0"/>
              <w:ind w:left="0" w:right="0" w:hanging="0"/>
              <w:jc w:val="left"/>
              <w:rPr/>
            </w:pPr>
            <w:r>
              <w:rPr/>
              <w:t> </w:t>
            </w:r>
          </w:p>
        </w:tc>
        <w:tc>
          <w:tcPr>
            <w:tcW w:w="10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19,628,593</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27,709,144</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3,902,751</w:t>
            </w:r>
          </w:p>
        </w:tc>
        <w:tc>
          <w:tcPr>
            <w:tcW w:w="32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w:t>
            </w:r>
          </w:p>
        </w:tc>
      </w:tr>
      <w:tr>
        <w:trPr/>
        <w:tc>
          <w:tcPr>
            <w:tcW w:w="178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income/(expenses)</w:t>
            </w:r>
          </w:p>
        </w:tc>
        <w:tc>
          <w:tcPr>
            <w:tcW w:w="326" w:type="dxa"/>
            <w:tcBorders/>
            <w:shd w:fill="CCEEFF" w:val="clear"/>
            <w:vAlign w:val="center"/>
          </w:tcPr>
          <w:p>
            <w:pPr>
              <w:pStyle w:val="TableContents"/>
              <w:bidi w:val="0"/>
              <w:spacing w:before="0" w:after="0"/>
              <w:ind w:left="0" w:right="0" w:hanging="0"/>
              <w:jc w:val="left"/>
              <w:rPr/>
            </w:pPr>
            <w:r>
              <w:rPr/>
              <w:t>​</w:t>
            </w:r>
          </w:p>
        </w:tc>
        <w:tc>
          <w:tcPr>
            <w:tcW w:w="109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22" w:type="dxa"/>
            <w:tcBorders/>
            <w:shd w:fill="CCEEFF" w:val="clear"/>
            <w:vAlign w:val="center"/>
          </w:tcPr>
          <w:p>
            <w:pPr>
              <w:pStyle w:val="TableContents"/>
              <w:bidi w:val="0"/>
              <w:spacing w:before="0" w:after="0"/>
              <w:ind w:left="0" w:right="0" w:hanging="0"/>
              <w:jc w:val="right"/>
              <w:rPr/>
            </w:pPr>
            <w:r>
              <w:rPr/>
              <w:t>​</w:t>
            </w:r>
          </w:p>
        </w:tc>
      </w:tr>
      <w:tr>
        <w:trPr/>
        <w:tc>
          <w:tcPr>
            <w:tcW w:w="178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income, net</w:t>
            </w:r>
          </w:p>
        </w:tc>
        <w:tc>
          <w:tcPr>
            <w:tcW w:w="326" w:type="dxa"/>
            <w:tcBorders/>
            <w:vAlign w:val="center"/>
          </w:tcPr>
          <w:p>
            <w:pPr>
              <w:pStyle w:val="TableContents"/>
              <w:bidi w:val="0"/>
              <w:spacing w:before="0" w:after="0"/>
              <w:ind w:left="0" w:right="0" w:hanging="0"/>
              <w:jc w:val="left"/>
              <w:rPr/>
            </w:pPr>
            <w:r>
              <w:rPr/>
              <w:t> </w:t>
            </w:r>
          </w:p>
        </w:tc>
        <w:tc>
          <w:tcPr>
            <w:tcW w:w="10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2,947,721</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26" w:type="dxa"/>
            <w:tcBorders/>
            <w:vAlign w:val="center"/>
          </w:tcPr>
          <w:p>
            <w:pPr>
              <w:pStyle w:val="TableContents"/>
              <w:bidi w:val="0"/>
              <w:spacing w:before="0" w:after="0"/>
              <w:ind w:left="0" w:right="0" w:hanging="0"/>
              <w:jc w:val="left"/>
              <w:rPr/>
            </w:pPr>
            <w:r>
              <w:rPr/>
              <w:t> </w:t>
            </w:r>
          </w:p>
        </w:tc>
        <w:tc>
          <w:tcPr>
            <w:tcW w:w="10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53,976</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1,306,722</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184,048</w:t>
            </w:r>
          </w:p>
        </w:tc>
        <w:tc>
          <w:tcPr>
            <w:tcW w:w="32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178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net</w:t>
            </w:r>
          </w:p>
        </w:tc>
        <w:tc>
          <w:tcPr>
            <w:tcW w:w="326" w:type="dxa"/>
            <w:tcBorders/>
            <w:shd w:fill="CCEEFF" w:val="clear"/>
            <w:vAlign w:val="center"/>
          </w:tcPr>
          <w:p>
            <w:pPr>
              <w:pStyle w:val="TableContents"/>
              <w:bidi w:val="0"/>
              <w:spacing w:before="0" w:after="0"/>
              <w:ind w:left="0" w:right="0" w:hanging="0"/>
              <w:jc w:val="left"/>
              <w:rPr/>
            </w:pPr>
            <w:r>
              <w:rPr/>
              <w:t> </w:t>
            </w:r>
          </w:p>
        </w:tc>
        <w:tc>
          <w:tcPr>
            <w:tcW w:w="10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1,519,714</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bidi w:val="0"/>
              <w:spacing w:before="0" w:after="0"/>
              <w:ind w:left="0" w:right="0" w:hanging="0"/>
              <w:jc w:val="left"/>
              <w:rPr/>
            </w:pPr>
            <w:r>
              <w:rPr/>
              <w:t> </w:t>
            </w:r>
          </w:p>
        </w:tc>
        <w:tc>
          <w:tcPr>
            <w:tcW w:w="10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2,149,673</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4,120,418</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580,349</w:t>
            </w:r>
          </w:p>
        </w:tc>
        <w:tc>
          <w:tcPr>
            <w:tcW w:w="326" w:type="dxa"/>
            <w:tcBorders/>
            <w:shd w:fill="CCEEFF" w:val="clear"/>
            <w:vAlign w:val="center"/>
          </w:tcPr>
          <w:p>
            <w:pPr>
              <w:pStyle w:val="TableContents"/>
              <w:bidi w:val="0"/>
              <w:spacing w:before="0" w:after="0"/>
              <w:ind w:left="0" w:right="0" w:hanging="0"/>
              <w:jc w:val="left"/>
              <w:rPr/>
            </w:pPr>
            <w:r>
              <w:rPr/>
              <w:t> </w:t>
            </w:r>
          </w:p>
        </w:tc>
        <w:tc>
          <w:tcPr>
            <w:tcW w:w="6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178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Exchange (losses) / gains, net</w:t>
            </w:r>
          </w:p>
        </w:tc>
        <w:tc>
          <w:tcPr>
            <w:tcW w:w="326" w:type="dxa"/>
            <w:tcBorders/>
            <w:vAlign w:val="center"/>
          </w:tcPr>
          <w:p>
            <w:pPr>
              <w:pStyle w:val="TableContents"/>
              <w:bidi w:val="0"/>
              <w:spacing w:before="0" w:after="0"/>
              <w:ind w:left="0" w:right="0" w:hanging="0"/>
              <w:jc w:val="left"/>
              <w:rPr/>
            </w:pPr>
            <w:r>
              <w:rPr/>
              <w:t> </w:t>
            </w:r>
          </w:p>
        </w:tc>
        <w:tc>
          <w:tcPr>
            <w:tcW w:w="10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(490,481)</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326" w:type="dxa"/>
            <w:tcBorders/>
            <w:vAlign w:val="center"/>
          </w:tcPr>
          <w:p>
            <w:pPr>
              <w:pStyle w:val="TableContents"/>
              <w:bidi w:val="0"/>
              <w:spacing w:before="0" w:after="0"/>
              <w:ind w:left="0" w:right="0" w:hanging="0"/>
              <w:jc w:val="left"/>
              <w:rPr/>
            </w:pPr>
            <w:r>
              <w:rPr/>
              <w:t> </w:t>
            </w:r>
          </w:p>
        </w:tc>
        <w:tc>
          <w:tcPr>
            <w:tcW w:w="10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1,571,207</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(132,999)</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(18,733)</w:t>
            </w:r>
          </w:p>
        </w:tc>
        <w:tc>
          <w:tcPr>
            <w:tcW w:w="32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178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net</w:t>
            </w:r>
          </w:p>
        </w:tc>
        <w:tc>
          <w:tcPr>
            <w:tcW w:w="326" w:type="dxa"/>
            <w:tcBorders/>
            <w:shd w:fill="CCEEFF" w:val="clear"/>
            <w:vAlign w:val="center"/>
          </w:tcPr>
          <w:p>
            <w:pPr>
              <w:pStyle w:val="TableContents"/>
              <w:bidi w:val="0"/>
              <w:spacing w:before="0" w:after="0"/>
              <w:ind w:left="0" w:right="0" w:hanging="0"/>
              <w:jc w:val="left"/>
              <w:rPr/>
            </w:pPr>
            <w:r>
              <w:rPr/>
              <w:t> </w:t>
            </w:r>
          </w:p>
        </w:tc>
        <w:tc>
          <w:tcPr>
            <w:tcW w:w="10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710,435</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326" w:type="dxa"/>
            <w:tcBorders/>
            <w:shd w:fill="CCEEFF" w:val="clear"/>
            <w:vAlign w:val="center"/>
          </w:tcPr>
          <w:p>
            <w:pPr>
              <w:pStyle w:val="TableContents"/>
              <w:bidi w:val="0"/>
              <w:spacing w:before="0" w:after="0"/>
              <w:ind w:left="0" w:right="0" w:hanging="0"/>
              <w:jc w:val="left"/>
              <w:rPr/>
            </w:pPr>
            <w:r>
              <w:rPr/>
              <w:t> </w:t>
            </w:r>
          </w:p>
        </w:tc>
        <w:tc>
          <w:tcPr>
            <w:tcW w:w="10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846,815</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1,053,642</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148,402</w:t>
            </w:r>
          </w:p>
        </w:tc>
        <w:tc>
          <w:tcPr>
            <w:tcW w:w="326" w:type="dxa"/>
            <w:tcBorders/>
            <w:shd w:fill="CCEEFF" w:val="clear"/>
            <w:vAlign w:val="center"/>
          </w:tcPr>
          <w:p>
            <w:pPr>
              <w:pStyle w:val="TableContents"/>
              <w:bidi w:val="0"/>
              <w:spacing w:before="0" w:after="0"/>
              <w:ind w:left="0" w:right="0" w:hanging="0"/>
              <w:jc w:val="left"/>
              <w:rPr/>
            </w:pPr>
            <w:r>
              <w:rPr/>
              <w:t> </w:t>
            </w:r>
          </w:p>
        </w:tc>
        <w:tc>
          <w:tcPr>
            <w:tcW w:w="6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178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tax</w:t>
            </w:r>
          </w:p>
        </w:tc>
        <w:tc>
          <w:tcPr>
            <w:tcW w:w="326" w:type="dxa"/>
            <w:tcBorders/>
            <w:vAlign w:val="center"/>
          </w:tcPr>
          <w:p>
            <w:pPr>
              <w:pStyle w:val="TableContents"/>
              <w:bidi w:val="0"/>
              <w:spacing w:before="0" w:after="0"/>
              <w:ind w:left="0" w:right="0" w:hanging="0"/>
              <w:jc w:val="left"/>
              <w:rPr/>
            </w:pPr>
            <w:r>
              <w:rPr/>
              <w:t> </w:t>
            </w:r>
          </w:p>
        </w:tc>
        <w:tc>
          <w:tcPr>
            <w:tcW w:w="10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21,104,459</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w:t>
            </w:r>
          </w:p>
        </w:tc>
        <w:tc>
          <w:tcPr>
            <w:tcW w:w="326" w:type="dxa"/>
            <w:tcBorders/>
            <w:vAlign w:val="center"/>
          </w:tcPr>
          <w:p>
            <w:pPr>
              <w:pStyle w:val="TableContents"/>
              <w:bidi w:val="0"/>
              <w:spacing w:before="0" w:after="0"/>
              <w:ind w:left="0" w:right="0" w:hanging="0"/>
              <w:jc w:val="left"/>
              <w:rPr/>
            </w:pPr>
            <w:r>
              <w:rPr/>
              <w:t> </w:t>
            </w:r>
          </w:p>
        </w:tc>
        <w:tc>
          <w:tcPr>
            <w:tcW w:w="10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24,250,264</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34,056,927</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4,796,817</w:t>
            </w:r>
          </w:p>
        </w:tc>
        <w:tc>
          <w:tcPr>
            <w:tcW w:w="32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w:t>
            </w:r>
          </w:p>
        </w:tc>
      </w:tr>
      <w:tr>
        <w:trPr/>
        <w:tc>
          <w:tcPr>
            <w:tcW w:w="178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w:t>
            </w:r>
          </w:p>
        </w:tc>
        <w:tc>
          <w:tcPr>
            <w:tcW w:w="326" w:type="dxa"/>
            <w:tcBorders/>
            <w:shd w:fill="CCEEFF" w:val="clear"/>
            <w:vAlign w:val="center"/>
          </w:tcPr>
          <w:p>
            <w:pPr>
              <w:pStyle w:val="TableContents"/>
              <w:bidi w:val="0"/>
              <w:spacing w:before="0" w:after="0"/>
              <w:ind w:left="0" w:right="0" w:hanging="0"/>
              <w:jc w:val="left"/>
              <w:rPr/>
            </w:pPr>
            <w:r>
              <w:rPr/>
              <w:t> </w:t>
            </w:r>
          </w:p>
        </w:tc>
        <w:tc>
          <w:tcPr>
            <w:tcW w:w="10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(4,128,269)</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26" w:type="dxa"/>
            <w:tcBorders/>
            <w:shd w:fill="CCEEFF" w:val="clear"/>
            <w:vAlign w:val="center"/>
          </w:tcPr>
          <w:p>
            <w:pPr>
              <w:pStyle w:val="TableContents"/>
              <w:bidi w:val="0"/>
              <w:spacing w:before="0" w:after="0"/>
              <w:ind w:left="0" w:right="0" w:hanging="0"/>
              <w:jc w:val="left"/>
              <w:rPr/>
            </w:pPr>
            <w:r>
              <w:rPr/>
              <w:t> </w:t>
            </w:r>
          </w:p>
        </w:tc>
        <w:tc>
          <w:tcPr>
            <w:tcW w:w="10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(5,031,838)</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(4,699,704)</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(661,939)</w:t>
            </w:r>
          </w:p>
        </w:tc>
        <w:tc>
          <w:tcPr>
            <w:tcW w:w="326" w:type="dxa"/>
            <w:tcBorders/>
            <w:shd w:fill="CCEEFF" w:val="clear"/>
            <w:vAlign w:val="center"/>
          </w:tcPr>
          <w:p>
            <w:pPr>
              <w:pStyle w:val="TableContents"/>
              <w:bidi w:val="0"/>
              <w:spacing w:before="0" w:after="0"/>
              <w:ind w:left="0" w:right="0" w:hanging="0"/>
              <w:jc w:val="left"/>
              <w:rPr/>
            </w:pPr>
            <w:r>
              <w:rPr/>
              <w:t> </w:t>
            </w:r>
          </w:p>
        </w:tc>
        <w:tc>
          <w:tcPr>
            <w:tcW w:w="6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178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from continuing operations</w:t>
            </w:r>
          </w:p>
        </w:tc>
        <w:tc>
          <w:tcPr>
            <w:tcW w:w="326" w:type="dxa"/>
            <w:tcBorders/>
            <w:vAlign w:val="center"/>
          </w:tcPr>
          <w:p>
            <w:pPr>
              <w:pStyle w:val="TableContents"/>
              <w:bidi w:val="0"/>
              <w:spacing w:before="0" w:after="0"/>
              <w:ind w:left="0" w:right="0" w:hanging="0"/>
              <w:jc w:val="left"/>
              <w:rPr/>
            </w:pPr>
            <w:r>
              <w:rPr/>
              <w:t> </w:t>
            </w:r>
          </w:p>
        </w:tc>
        <w:tc>
          <w:tcPr>
            <w:tcW w:w="10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16,976,190</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w:t>
            </w:r>
          </w:p>
        </w:tc>
        <w:tc>
          <w:tcPr>
            <w:tcW w:w="326" w:type="dxa"/>
            <w:tcBorders/>
            <w:vAlign w:val="center"/>
          </w:tcPr>
          <w:p>
            <w:pPr>
              <w:pStyle w:val="TableContents"/>
              <w:bidi w:val="0"/>
              <w:spacing w:before="0" w:after="0"/>
              <w:ind w:left="0" w:right="0" w:hanging="0"/>
              <w:jc w:val="left"/>
              <w:rPr/>
            </w:pPr>
            <w:r>
              <w:rPr/>
              <w:t> </w:t>
            </w:r>
          </w:p>
        </w:tc>
        <w:tc>
          <w:tcPr>
            <w:tcW w:w="10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19,218,426</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29,357,223</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4,134,878</w:t>
            </w:r>
          </w:p>
        </w:tc>
        <w:tc>
          <w:tcPr>
            <w:tcW w:w="32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w:t>
            </w:r>
          </w:p>
        </w:tc>
      </w:tr>
      <w:tr>
        <w:trPr/>
        <w:tc>
          <w:tcPr>
            <w:tcW w:w="178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from discontinued operations</w:t>
            </w:r>
          </w:p>
        </w:tc>
        <w:tc>
          <w:tcPr>
            <w:tcW w:w="326" w:type="dxa"/>
            <w:tcBorders/>
            <w:shd w:fill="CCEEFF" w:val="clear"/>
            <w:vAlign w:val="center"/>
          </w:tcPr>
          <w:p>
            <w:pPr>
              <w:pStyle w:val="TableContents"/>
              <w:bidi w:val="0"/>
              <w:spacing w:before="0" w:after="0"/>
              <w:ind w:left="0" w:right="0" w:hanging="0"/>
              <w:jc w:val="left"/>
              <w:rPr/>
            </w:pPr>
            <w:r>
              <w:rPr/>
              <w:t> </w:t>
            </w:r>
          </w:p>
        </w:tc>
        <w:tc>
          <w:tcPr>
            <w:tcW w:w="10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624,864</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178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0"/>
              <w:ind w:left="0" w:right="0" w:hanging="0"/>
              <w:jc w:val="left"/>
              <w:rPr/>
            </w:pPr>
            <w:r>
              <w:rPr/>
              <w:t> </w:t>
            </w:r>
          </w:p>
        </w:tc>
        <w:tc>
          <w:tcPr>
            <w:tcW w:w="10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16,976,190</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w:t>
            </w:r>
          </w:p>
        </w:tc>
        <w:tc>
          <w:tcPr>
            <w:tcW w:w="326" w:type="dxa"/>
            <w:tcBorders/>
            <w:vAlign w:val="center"/>
          </w:tcPr>
          <w:p>
            <w:pPr>
              <w:pStyle w:val="TableContents"/>
              <w:bidi w:val="0"/>
              <w:spacing w:before="0" w:after="0"/>
              <w:ind w:left="0" w:right="0" w:hanging="0"/>
              <w:jc w:val="left"/>
              <w:rPr/>
            </w:pPr>
            <w:r>
              <w:rPr/>
              <w:t> </w:t>
            </w:r>
          </w:p>
        </w:tc>
        <w:tc>
          <w:tcPr>
            <w:tcW w:w="10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19,843,290</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29,357,223</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4,134,878</w:t>
            </w:r>
          </w:p>
        </w:tc>
        <w:tc>
          <w:tcPr>
            <w:tcW w:w="32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w:t>
            </w:r>
          </w:p>
        </w:tc>
      </w:tr>
      <w:tr>
        <w:trPr/>
        <w:tc>
          <w:tcPr>
            <w:tcW w:w="178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Accretion of redeemable noncontrolling interests</w:t>
            </w:r>
          </w:p>
        </w:tc>
        <w:tc>
          <w:tcPr>
            <w:tcW w:w="326" w:type="dxa"/>
            <w:tcBorders/>
            <w:shd w:fill="CCEEFF" w:val="clear"/>
            <w:vAlign w:val="center"/>
          </w:tcPr>
          <w:p>
            <w:pPr>
              <w:pStyle w:val="TableContents"/>
              <w:bidi w:val="0"/>
              <w:spacing w:before="0" w:after="0"/>
              <w:ind w:left="0" w:right="0" w:hanging="0"/>
              <w:jc w:val="left"/>
              <w:rPr/>
            </w:pPr>
            <w:r>
              <w:rPr/>
              <w:t> </w:t>
            </w:r>
          </w:p>
        </w:tc>
        <w:tc>
          <w:tcPr>
            <w:tcW w:w="10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(536,981)</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326" w:type="dxa"/>
            <w:tcBorders/>
            <w:shd w:fill="CCEEFF" w:val="clear"/>
            <w:vAlign w:val="center"/>
          </w:tcPr>
          <w:p>
            <w:pPr>
              <w:pStyle w:val="TableContents"/>
              <w:bidi w:val="0"/>
              <w:spacing w:before="0" w:after="0"/>
              <w:ind w:left="0" w:right="0" w:hanging="0"/>
              <w:jc w:val="left"/>
              <w:rPr/>
            </w:pPr>
            <w:r>
              <w:rPr/>
              <w:t> </w:t>
            </w:r>
          </w:p>
        </w:tc>
        <w:tc>
          <w:tcPr>
            <w:tcW w:w="10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(2,978)</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(3,589)</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w:t>
            </w:r>
          </w:p>
        </w:tc>
        <w:tc>
          <w:tcPr>
            <w:tcW w:w="326" w:type="dxa"/>
            <w:tcBorders/>
            <w:shd w:fill="CCEEFF" w:val="clear"/>
            <w:vAlign w:val="center"/>
          </w:tcPr>
          <w:p>
            <w:pPr>
              <w:pStyle w:val="TableContents"/>
              <w:bidi w:val="0"/>
              <w:spacing w:before="0" w:after="0"/>
              <w:ind w:left="0" w:right="0" w:hanging="0"/>
              <w:jc w:val="left"/>
              <w:rPr/>
            </w:pPr>
            <w:r>
              <w:rPr/>
              <w:t> </w:t>
            </w:r>
          </w:p>
        </w:tc>
        <w:tc>
          <w:tcPr>
            <w:tcW w:w="6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r>
      <w:tr>
        <w:trPr/>
        <w:tc>
          <w:tcPr>
            <w:tcW w:w="178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noncontrolling interests and redeemable noncontrolling interests</w:t>
            </w:r>
          </w:p>
        </w:tc>
        <w:tc>
          <w:tcPr>
            <w:tcW w:w="326" w:type="dxa"/>
            <w:tcBorders/>
            <w:vAlign w:val="center"/>
          </w:tcPr>
          <w:p>
            <w:pPr>
              <w:pStyle w:val="TableContents"/>
              <w:bidi w:val="0"/>
              <w:spacing w:before="0" w:after="0"/>
              <w:ind w:left="0" w:right="0" w:hanging="0"/>
              <w:jc w:val="left"/>
              <w:rPr/>
            </w:pPr>
            <w:r>
              <w:rPr/>
              <w:t> </w:t>
            </w:r>
          </w:p>
        </w:tc>
        <w:tc>
          <w:tcPr>
            <w:tcW w:w="10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417,633</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26" w:type="dxa"/>
            <w:tcBorders/>
            <w:vAlign w:val="center"/>
          </w:tcPr>
          <w:p>
            <w:pPr>
              <w:pStyle w:val="TableContents"/>
              <w:bidi w:val="0"/>
              <w:spacing w:before="0" w:after="0"/>
              <w:ind w:left="0" w:right="0" w:hanging="0"/>
              <w:jc w:val="left"/>
              <w:rPr/>
            </w:pPr>
            <w:r>
              <w:rPr/>
              <w:t> </w:t>
            </w:r>
          </w:p>
        </w:tc>
        <w:tc>
          <w:tcPr>
            <w:tcW w:w="10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497,288</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62,918</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8,862</w:t>
            </w:r>
          </w:p>
        </w:tc>
        <w:tc>
          <w:tcPr>
            <w:tcW w:w="326" w:type="dxa"/>
            <w:tcBorders/>
            <w:vAlign w:val="center"/>
          </w:tcPr>
          <w:p>
            <w:pPr>
              <w:pStyle w:val="TableContents"/>
              <w:bidi w:val="0"/>
              <w:spacing w:before="0" w:after="0"/>
              <w:ind w:left="0" w:right="0" w:hanging="0"/>
              <w:jc w:val="left"/>
              <w:rPr/>
            </w:pPr>
            <w:r>
              <w:rPr/>
              <w:t> </w:t>
            </w:r>
          </w:p>
        </w:tc>
        <w:tc>
          <w:tcPr>
            <w:tcW w:w="6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178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the Company’s shareholders</w:t>
            </w:r>
          </w:p>
        </w:tc>
        <w:tc>
          <w:tcPr>
            <w:tcW w:w="326" w:type="dxa"/>
            <w:tcBorders/>
            <w:shd w:fill="CCEEFF" w:val="clear"/>
            <w:vAlign w:val="center"/>
          </w:tcPr>
          <w:p>
            <w:pPr>
              <w:pStyle w:val="TableContents"/>
              <w:bidi w:val="0"/>
              <w:spacing w:before="0" w:after="0"/>
              <w:ind w:left="0" w:right="0" w:hanging="0"/>
              <w:jc w:val="left"/>
              <w:rPr/>
            </w:pPr>
            <w:r>
              <w:rPr/>
              <w:t> </w:t>
            </w:r>
          </w:p>
        </w:tc>
        <w:tc>
          <w:tcPr>
            <w:tcW w:w="10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16,856,842</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w:t>
            </w:r>
          </w:p>
        </w:tc>
        <w:tc>
          <w:tcPr>
            <w:tcW w:w="326" w:type="dxa"/>
            <w:tcBorders/>
            <w:shd w:fill="CCEEFF" w:val="clear"/>
            <w:vAlign w:val="center"/>
          </w:tcPr>
          <w:p>
            <w:pPr>
              <w:pStyle w:val="TableContents"/>
              <w:bidi w:val="0"/>
              <w:spacing w:before="0" w:after="0"/>
              <w:ind w:left="0" w:right="0" w:hanging="0"/>
              <w:jc w:val="left"/>
              <w:rPr/>
            </w:pPr>
            <w:r>
              <w:rPr/>
              <w:t> </w:t>
            </w:r>
          </w:p>
        </w:tc>
        <w:tc>
          <w:tcPr>
            <w:tcW w:w="10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20,337,600</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29,416,552</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4,143,234</w:t>
            </w:r>
          </w:p>
        </w:tc>
        <w:tc>
          <w:tcPr>
            <w:tcW w:w="326" w:type="dxa"/>
            <w:tcBorders/>
            <w:shd w:fill="CCEEFF" w:val="clear"/>
            <w:vAlign w:val="center"/>
          </w:tcPr>
          <w:p>
            <w:pPr>
              <w:pStyle w:val="TableContents"/>
              <w:bidi w:val="0"/>
              <w:spacing w:before="0" w:after="0"/>
              <w:ind w:left="0" w:right="0" w:hanging="0"/>
              <w:jc w:val="left"/>
              <w:rPr/>
            </w:pPr>
            <w:r>
              <w:rPr/>
              <w:t> </w:t>
            </w:r>
          </w:p>
        </w:tc>
        <w:tc>
          <w:tcPr>
            <w:tcW w:w="6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w:t>
            </w:r>
          </w:p>
        </w:tc>
      </w:tr>
      <w:tr>
        <w:trPr/>
        <w:tc>
          <w:tcPr>
            <w:tcW w:w="178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 cost included in:</w:t>
            </w:r>
          </w:p>
        </w:tc>
        <w:tc>
          <w:tcPr>
            <w:tcW w:w="326" w:type="dxa"/>
            <w:tcBorders/>
            <w:vAlign w:val="center"/>
          </w:tcPr>
          <w:p>
            <w:pPr>
              <w:pStyle w:val="TableContents"/>
              <w:bidi w:val="0"/>
              <w:spacing w:before="0" w:after="0"/>
              <w:ind w:left="0" w:right="0" w:hanging="0"/>
              <w:jc w:val="left"/>
              <w:rPr/>
            </w:pPr>
            <w:r>
              <w:rPr/>
              <w:t>​</w:t>
            </w:r>
          </w:p>
        </w:tc>
        <w:tc>
          <w:tcPr>
            <w:tcW w:w="109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9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22" w:type="dxa"/>
            <w:tcBorders/>
            <w:vAlign w:val="center"/>
          </w:tcPr>
          <w:p>
            <w:pPr>
              <w:pStyle w:val="TableContents"/>
              <w:bidi w:val="0"/>
              <w:spacing w:before="0" w:after="0"/>
              <w:ind w:left="0" w:right="0" w:hanging="0"/>
              <w:jc w:val="right"/>
              <w:rPr/>
            </w:pPr>
            <w:r>
              <w:rPr/>
              <w:t>​</w:t>
            </w:r>
          </w:p>
        </w:tc>
      </w:tr>
      <w:tr>
        <w:trPr/>
        <w:tc>
          <w:tcPr>
            <w:tcW w:w="178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10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833,389</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bidi w:val="0"/>
              <w:spacing w:before="0" w:after="0"/>
              <w:ind w:left="0" w:right="0" w:hanging="0"/>
              <w:jc w:val="left"/>
              <w:rPr/>
            </w:pPr>
            <w:r>
              <w:rPr/>
              <w:t> </w:t>
            </w:r>
          </w:p>
        </w:tc>
        <w:tc>
          <w:tcPr>
            <w:tcW w:w="10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758,413</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823,765</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116,025</w:t>
            </w:r>
          </w:p>
        </w:tc>
        <w:tc>
          <w:tcPr>
            <w:tcW w:w="326" w:type="dxa"/>
            <w:tcBorders/>
            <w:shd w:fill="CCEEFF" w:val="clear"/>
            <w:vAlign w:val="center"/>
          </w:tcPr>
          <w:p>
            <w:pPr>
              <w:pStyle w:val="TableContents"/>
              <w:bidi w:val="0"/>
              <w:spacing w:before="0" w:after="0"/>
              <w:ind w:left="0" w:right="0" w:hanging="0"/>
              <w:jc w:val="left"/>
              <w:rPr/>
            </w:pPr>
            <w:r>
              <w:rPr/>
              <w:t> </w:t>
            </w:r>
          </w:p>
        </w:tc>
        <w:tc>
          <w:tcPr>
            <w:tcW w:w="6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r>
      <w:tr>
        <w:trPr/>
        <w:tc>
          <w:tcPr>
            <w:tcW w:w="178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 expenses</w:t>
            </w:r>
          </w:p>
        </w:tc>
        <w:tc>
          <w:tcPr>
            <w:tcW w:w="326" w:type="dxa"/>
            <w:tcBorders/>
            <w:vAlign w:val="center"/>
          </w:tcPr>
          <w:p>
            <w:pPr>
              <w:pStyle w:val="TableContents"/>
              <w:bidi w:val="0"/>
              <w:spacing w:before="0" w:after="0"/>
              <w:ind w:left="0" w:right="0" w:hanging="0"/>
              <w:jc w:val="left"/>
              <w:rPr/>
            </w:pPr>
            <w:r>
              <w:rPr/>
              <w:t> </w:t>
            </w:r>
          </w:p>
        </w:tc>
        <w:tc>
          <w:tcPr>
            <w:tcW w:w="10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118,611</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vAlign w:val="center"/>
          </w:tcPr>
          <w:p>
            <w:pPr>
              <w:pStyle w:val="TableContents"/>
              <w:bidi w:val="0"/>
              <w:spacing w:before="0" w:after="0"/>
              <w:ind w:left="0" w:right="0" w:hanging="0"/>
              <w:jc w:val="left"/>
              <w:rPr/>
            </w:pPr>
            <w:r>
              <w:rPr/>
              <w:t> </w:t>
            </w:r>
          </w:p>
        </w:tc>
        <w:tc>
          <w:tcPr>
            <w:tcW w:w="10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120,171</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132,801</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18,705</w:t>
            </w:r>
          </w:p>
        </w:tc>
        <w:tc>
          <w:tcPr>
            <w:tcW w:w="32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178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10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1,105,547</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0"/>
              <w:ind w:left="0" w:right="0" w:hanging="0"/>
              <w:jc w:val="left"/>
              <w:rPr/>
            </w:pPr>
            <w:r>
              <w:rPr/>
              <w:t> </w:t>
            </w:r>
          </w:p>
        </w:tc>
        <w:tc>
          <w:tcPr>
            <w:tcW w:w="10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1,214,995</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1,119,018</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157,610</w:t>
            </w:r>
          </w:p>
        </w:tc>
        <w:tc>
          <w:tcPr>
            <w:tcW w:w="326" w:type="dxa"/>
            <w:tcBorders/>
            <w:shd w:fill="CCEEFF" w:val="clear"/>
            <w:vAlign w:val="center"/>
          </w:tcPr>
          <w:p>
            <w:pPr>
              <w:pStyle w:val="TableContents"/>
              <w:bidi w:val="0"/>
              <w:spacing w:before="0" w:after="0"/>
              <w:ind w:left="0" w:right="0" w:hanging="0"/>
              <w:jc w:val="left"/>
              <w:rPr/>
            </w:pPr>
            <w:r>
              <w:rPr/>
              <w:t> </w:t>
            </w:r>
          </w:p>
        </w:tc>
        <w:tc>
          <w:tcPr>
            <w:tcW w:w="6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178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26" w:type="dxa"/>
            <w:tcBorders/>
            <w:vAlign w:val="center"/>
          </w:tcPr>
          <w:p>
            <w:pPr>
              <w:pStyle w:val="TableContents"/>
              <w:bidi w:val="0"/>
              <w:spacing w:before="0" w:after="0"/>
              <w:ind w:left="0" w:right="0" w:hanging="0"/>
              <w:jc w:val="left"/>
              <w:rPr/>
            </w:pPr>
            <w:r>
              <w:rPr/>
              <w:t> </w:t>
            </w:r>
          </w:p>
        </w:tc>
        <w:tc>
          <w:tcPr>
            <w:tcW w:w="10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983,945</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vAlign w:val="center"/>
          </w:tcPr>
          <w:p>
            <w:pPr>
              <w:pStyle w:val="TableContents"/>
              <w:bidi w:val="0"/>
              <w:spacing w:before="0" w:after="0"/>
              <w:ind w:left="0" w:right="0" w:hanging="0"/>
              <w:jc w:val="left"/>
              <w:rPr/>
            </w:pPr>
            <w:r>
              <w:rPr/>
              <w:t> </w:t>
            </w:r>
          </w:p>
        </w:tc>
        <w:tc>
          <w:tcPr>
            <w:tcW w:w="10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1,080,581</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1,167,226</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164,400</w:t>
            </w:r>
          </w:p>
        </w:tc>
        <w:tc>
          <w:tcPr>
            <w:tcW w:w="32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Year Ended December 31, 2023 Compared to Year Ended December 31, 2022</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have organized our operations into following segments: games and related value-added services, Youdao, Cloud Music and innovative businesses and others. These segments reflect the way we evaluate, view and run our business operations. The following table sets forth the net revenues and cost of revenues by segment for the period presented as derived from our audited financial statements.</w:t>
      </w:r>
    </w:p>
    <w:p>
      <w:pPr>
        <w:pStyle w:val="TextBody"/>
        <w:bidi w:val="0"/>
        <w:spacing w:before="0" w:after="0"/>
        <w:ind w:left="0" w:right="0" w:hanging="0"/>
        <w:jc w:val="left"/>
        <w:rPr/>
      </w:pPr>
      <w:r>
        <w:rPr/>
        <w:t>​</w:t>
      </w:r>
    </w:p>
    <w:tbl>
      <w:tblPr>
        <w:tblW w:w="7732" w:type="dxa"/>
        <w:jc w:val="left"/>
        <w:tblInd w:w="0" w:type="dxa"/>
        <w:tblLayout w:type="fixed"/>
        <w:tblCellMar>
          <w:top w:w="0" w:type="dxa"/>
          <w:left w:w="0" w:type="dxa"/>
          <w:bottom w:w="0" w:type="dxa"/>
          <w:right w:w="0" w:type="dxa"/>
        </w:tblCellMar>
      </w:tblPr>
      <w:tblGrid>
        <w:gridCol w:w="3346"/>
        <w:gridCol w:w="326"/>
        <w:gridCol w:w="1156"/>
        <w:gridCol w:w="326"/>
        <w:gridCol w:w="1156"/>
        <w:gridCol w:w="326"/>
        <w:gridCol w:w="1096"/>
      </w:tblGrid>
      <w:tr>
        <w:trPr/>
        <w:tc>
          <w:tcPr>
            <w:tcW w:w="3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124710" cy="175260"/>
                      <wp:effectExtent l="0" t="0" r="0" b="0"/>
                      <wp:wrapNone/>
                      <wp:docPr id="57" name="Frame56"/>
                      <a:graphic xmlns:a="http://schemas.openxmlformats.org/drawingml/2006/main">
                        <a:graphicData uri="http://schemas.microsoft.com/office/word/2010/wordprocessingShape">
                          <wps:wsp>
                            <wps:cNvSpPr txBox="1"/>
                            <wps:spPr>
                              <a:xfrm>
                                <a:off x="0" y="0"/>
                                <a:ext cx="2124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07010" cy="175260"/>
                      <wp:effectExtent l="0" t="0" r="0" b="0"/>
                      <wp:wrapNone/>
                      <wp:docPr id="58" name="Frame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734060" cy="175260"/>
                      <wp:effectExtent l="0" t="0" r="0" b="0"/>
                      <wp:wrapNone/>
                      <wp:docPr id="59" name="Frame58"/>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07010" cy="175260"/>
                      <wp:effectExtent l="0" t="0" r="0" b="0"/>
                      <wp:wrapNone/>
                      <wp:docPr id="60" name="Frame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734060" cy="175260"/>
                      <wp:effectExtent l="0" t="0" r="0" b="0"/>
                      <wp:wrapNone/>
                      <wp:docPr id="61" name="Frame60"/>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07010" cy="175260"/>
                      <wp:effectExtent l="0" t="0" r="0" b="0"/>
                      <wp:wrapNone/>
                      <wp:docPr id="62" name="Frame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95960" cy="175260"/>
                      <wp:effectExtent l="0" t="0" r="0" b="0"/>
                      <wp:wrapNone/>
                      <wp:docPr id="63" name="Frame62"/>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406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33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3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7732"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3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revenues:</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center"/>
              <w:rPr/>
            </w:pPr>
            <w:r>
              <w:rPr/>
              <w:t>​</w:t>
            </w:r>
          </w:p>
        </w:tc>
      </w:tr>
      <w:tr>
        <w:trPr/>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Games and related value-added services</w:t>
            </w:r>
          </w:p>
        </w:tc>
        <w:tc>
          <w:tcPr>
            <w:tcW w:w="32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74,566,471</w:t>
            </w:r>
          </w:p>
        </w:tc>
        <w:tc>
          <w:tcPr>
            <w:tcW w:w="32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81,565,449</w:t>
            </w:r>
          </w:p>
        </w:tc>
        <w:tc>
          <w:tcPr>
            <w:tcW w:w="32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11,488,253</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Youdao</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5,013,182</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5,389,208</w:t>
            </w:r>
          </w:p>
        </w:tc>
        <w:tc>
          <w:tcPr>
            <w:tcW w:w="32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759,054</w:t>
            </w:r>
          </w:p>
        </w:tc>
      </w:tr>
      <w:tr>
        <w:trPr/>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Cloud Music</w:t>
            </w:r>
          </w:p>
        </w:tc>
        <w:tc>
          <w:tcPr>
            <w:tcW w:w="32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8,992,221</w:t>
            </w:r>
          </w:p>
        </w:tc>
        <w:tc>
          <w:tcPr>
            <w:tcW w:w="32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7,866,992</w:t>
            </w:r>
          </w:p>
        </w:tc>
        <w:tc>
          <w:tcPr>
            <w:tcW w:w="32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1,108,043</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Innovative businesses and others</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7,923,935</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8,646,510</w:t>
            </w:r>
          </w:p>
        </w:tc>
        <w:tc>
          <w:tcPr>
            <w:tcW w:w="326" w:type="dxa"/>
            <w:tcBorders/>
            <w:shd w:fill="CCEEFF" w:val="clear"/>
            <w:vAlign w:val="center"/>
          </w:tcPr>
          <w:p>
            <w:pPr>
              <w:pStyle w:val="TableContents"/>
              <w:bidi w:val="0"/>
              <w:spacing w:before="0" w:after="0"/>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1,217,835</w:t>
            </w:r>
          </w:p>
        </w:tc>
      </w:tr>
      <w:tr>
        <w:trPr/>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revenues</w:t>
            </w:r>
          </w:p>
        </w:tc>
        <w:tc>
          <w:tcPr>
            <w:tcW w:w="326" w:type="dxa"/>
            <w:tcBorders/>
            <w:vAlign w:val="center"/>
          </w:tcPr>
          <w:p>
            <w:pPr>
              <w:pStyle w:val="TableContents"/>
              <w:bidi w:val="0"/>
              <w:spacing w:before="0" w:after="0"/>
              <w:ind w:left="0" w:right="0" w:hanging="0"/>
              <w:jc w:val="left"/>
              <w:rPr/>
            </w:pPr>
            <w:r>
              <w:rPr/>
              <w:t> </w:t>
            </w:r>
          </w:p>
        </w:tc>
        <w:tc>
          <w:tcPr>
            <w:tcW w:w="11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96,495,809</w:t>
            </w:r>
          </w:p>
        </w:tc>
        <w:tc>
          <w:tcPr>
            <w:tcW w:w="326" w:type="dxa"/>
            <w:tcBorders/>
            <w:vAlign w:val="center"/>
          </w:tcPr>
          <w:p>
            <w:pPr>
              <w:pStyle w:val="TableContents"/>
              <w:bidi w:val="0"/>
              <w:spacing w:before="0" w:after="0"/>
              <w:ind w:left="0" w:right="0" w:hanging="0"/>
              <w:jc w:val="left"/>
              <w:rPr/>
            </w:pPr>
            <w:r>
              <w:rPr/>
              <w:t> </w:t>
            </w:r>
          </w:p>
        </w:tc>
        <w:tc>
          <w:tcPr>
            <w:tcW w:w="11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103,468,159</w:t>
            </w:r>
          </w:p>
        </w:tc>
        <w:tc>
          <w:tcPr>
            <w:tcW w:w="326" w:type="dxa"/>
            <w:tcBorders/>
            <w:vAlign w:val="center"/>
          </w:tcPr>
          <w:p>
            <w:pPr>
              <w:pStyle w:val="TableContents"/>
              <w:bidi w:val="0"/>
              <w:spacing w:before="0" w:after="0"/>
              <w:ind w:left="0" w:right="0" w:hanging="0"/>
              <w:jc w:val="left"/>
              <w:rPr/>
            </w:pPr>
            <w:r>
              <w:rPr/>
              <w:t> </w:t>
            </w:r>
          </w:p>
        </w:tc>
        <w:tc>
          <w:tcPr>
            <w:tcW w:w="10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14,573,185</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pPr>
            <w:r>
              <w:rPr/>
              <w:t>​</w:t>
            </w:r>
          </w:p>
        </w:tc>
      </w:tr>
      <w:tr>
        <w:trPr/>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Games and related value-added services</w:t>
            </w:r>
          </w:p>
        </w:tc>
        <w:tc>
          <w:tcPr>
            <w:tcW w:w="32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(27,784,419)</w:t>
            </w:r>
          </w:p>
        </w:tc>
        <w:tc>
          <w:tcPr>
            <w:tcW w:w="32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(25,938,865)</w:t>
            </w:r>
          </w:p>
        </w:tc>
        <w:tc>
          <w:tcPr>
            <w:tcW w:w="32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(3,653,413)</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Youdao</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(2,430,738)</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(2,621,746)</w:t>
            </w:r>
          </w:p>
        </w:tc>
        <w:tc>
          <w:tcPr>
            <w:tcW w:w="32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(369,265)</w:t>
            </w:r>
          </w:p>
        </w:tc>
      </w:tr>
      <w:tr>
        <w:trPr/>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Cloud Music</w:t>
            </w:r>
          </w:p>
        </w:tc>
        <w:tc>
          <w:tcPr>
            <w:tcW w:w="32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(7,699,103)</w:t>
            </w:r>
          </w:p>
        </w:tc>
        <w:tc>
          <w:tcPr>
            <w:tcW w:w="32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(5,764,322)</w:t>
            </w:r>
          </w:p>
        </w:tc>
        <w:tc>
          <w:tcPr>
            <w:tcW w:w="32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(811,888)</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Innovative businesses and others</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(5,815,423)</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(6,079,832)</w:t>
            </w:r>
          </w:p>
        </w:tc>
        <w:tc>
          <w:tcPr>
            <w:tcW w:w="326" w:type="dxa"/>
            <w:tcBorders/>
            <w:shd w:fill="CCEEFF" w:val="clear"/>
            <w:vAlign w:val="center"/>
          </w:tcPr>
          <w:p>
            <w:pPr>
              <w:pStyle w:val="TableContents"/>
              <w:bidi w:val="0"/>
              <w:spacing w:before="0" w:after="0"/>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(856,326)</w:t>
            </w:r>
          </w:p>
        </w:tc>
      </w:tr>
      <w:tr>
        <w:trPr/>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 of revenues</w:t>
            </w:r>
          </w:p>
        </w:tc>
        <w:tc>
          <w:tcPr>
            <w:tcW w:w="326" w:type="dxa"/>
            <w:tcBorders/>
            <w:vAlign w:val="center"/>
          </w:tcPr>
          <w:p>
            <w:pPr>
              <w:pStyle w:val="TableContents"/>
              <w:bidi w:val="0"/>
              <w:spacing w:before="0" w:after="0"/>
              <w:ind w:left="0" w:right="0" w:hanging="0"/>
              <w:jc w:val="left"/>
              <w:rPr/>
            </w:pPr>
            <w:r>
              <w:rPr/>
              <w:t> </w:t>
            </w:r>
          </w:p>
        </w:tc>
        <w:tc>
          <w:tcPr>
            <w:tcW w:w="11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(43,729,683)</w:t>
            </w:r>
          </w:p>
        </w:tc>
        <w:tc>
          <w:tcPr>
            <w:tcW w:w="326" w:type="dxa"/>
            <w:tcBorders/>
            <w:vAlign w:val="center"/>
          </w:tcPr>
          <w:p>
            <w:pPr>
              <w:pStyle w:val="TableContents"/>
              <w:bidi w:val="0"/>
              <w:spacing w:before="0" w:after="0"/>
              <w:ind w:left="0" w:right="0" w:hanging="0"/>
              <w:jc w:val="left"/>
              <w:rPr/>
            </w:pPr>
            <w:r>
              <w:rPr/>
              <w:t> </w:t>
            </w:r>
          </w:p>
        </w:tc>
        <w:tc>
          <w:tcPr>
            <w:tcW w:w="11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(40,404,765)</w:t>
            </w:r>
          </w:p>
        </w:tc>
        <w:tc>
          <w:tcPr>
            <w:tcW w:w="326" w:type="dxa"/>
            <w:tcBorders/>
            <w:vAlign w:val="center"/>
          </w:tcPr>
          <w:p>
            <w:pPr>
              <w:pStyle w:val="TableContents"/>
              <w:bidi w:val="0"/>
              <w:spacing w:before="0" w:after="0"/>
              <w:ind w:left="0" w:right="0" w:hanging="0"/>
              <w:jc w:val="left"/>
              <w:rPr/>
            </w:pPr>
            <w:r>
              <w:rPr/>
              <w:t> </w:t>
            </w:r>
          </w:p>
        </w:tc>
        <w:tc>
          <w:tcPr>
            <w:tcW w:w="10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(5,690,892)</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Net Revenues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Total net revenues increased by 7.2% to RMB103.5 billion (US$14.6 billion) in 2023 from RMB96.5 billion in 2022. Net revenues from games and related value-added services, Youdao, Cloud Music and innovative businesses and others constituted 78.8%, 5.2%, 7.6% and 8.4%, respectively, of our total net revenues in 2023, compared with 77.3%, 5.2%, 9.3% and 8.2%, respectively, in 2022.</w:t>
      </w:r>
    </w:p>
    <w:p>
      <w:pPr>
        <w:pStyle w:val="TextBody"/>
        <w:bidi w:val="0"/>
        <w:spacing w:before="0" w:after="240"/>
        <w:ind w:left="720" w:right="0" w:hanging="0"/>
        <w:jc w:val="both"/>
        <w:rPr>
          <w:rFonts w:ascii="Times New Roman;Times;serif" w:hAnsi="Times New Roman;Times;serif"/>
          <w:i/>
          <w:sz w:val="20"/>
        </w:rPr>
      </w:pPr>
      <w:r>
        <w:rPr>
          <w:rFonts w:ascii="Times New Roman;Times;serif" w:hAnsi="Times New Roman;Times;serif"/>
          <w:i/>
          <w:sz w:val="20"/>
        </w:rPr>
        <w:t>Games and Related Value-added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Net revenues from games and related value-added services increased by 9.4% to RMB81.6 billion (US$11.5 billion) in 2023 from RMB74.6 billion in 2022. The increase was principally attributable to the strong performance of certain of our mobile games including newly launched titles such as </w:t>
      </w:r>
      <w:r>
        <w:rPr>
          <w:rFonts w:ascii="Times New Roman;Times;serif" w:hAnsi="Times New Roman;Times;serif"/>
          <w:i/>
          <w:sz w:val="20"/>
        </w:rPr>
        <w:t>Justice</w:t>
      </w:r>
      <w:r>
        <w:rPr>
          <w:rFonts w:ascii="Times New Roman;Times;serif" w:hAnsi="Times New Roman;Times;serif"/>
          <w:sz w:val="20"/>
        </w:rPr>
        <w:t xml:space="preserve"> mobile game and hit titles such as </w:t>
      </w:r>
      <w:r>
        <w:rPr>
          <w:rFonts w:ascii="Times New Roman;Times;serif" w:hAnsi="Times New Roman;Times;serif"/>
          <w:i/>
          <w:sz w:val="20"/>
        </w:rPr>
        <w:t>Eggy Party</w:t>
      </w:r>
      <w:r>
        <w:rPr>
          <w:rFonts w:ascii="Times New Roman;Times;serif" w:hAnsi="Times New Roman;Times;serif"/>
          <w:sz w:val="20"/>
        </w:rPr>
        <w:t>. Net revenues from the operation of online games accounted for approximately 92.9% of this segment in 2023 compared to 92.5% in 2022.</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revenues from our in-house developed games (including certain games co-developed with our collaboration partners) increased by 18.7% to RMB71.0 billion (US$10.0 billion) in 2023 from RMB59.8 billion in 2022 as a result of the expansion of our portfolio of mobile games and increased popularity in 2023. Net revenues from licensed games decreased by 48.2% to RMB4.7 billion (US$668.6 million) in 2023 from RMB9.2 billion in 2022, which was mainly attributable to the termination of certain licensed titles. Net revenues generated from licensed games represented 4.6% of our total net revenues in 2023, compared to 9.5% in 2022.</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increase in net revenues of this segment also resulted from an increase in revenue contribution by game related value-added services such as game development services provided to third-parties.</w:t>
      </w:r>
    </w:p>
    <w:p>
      <w:pPr>
        <w:pStyle w:val="TextBody"/>
        <w:bidi w:val="0"/>
        <w:spacing w:before="0" w:after="240"/>
        <w:ind w:left="720" w:right="0" w:hanging="0"/>
        <w:jc w:val="both"/>
        <w:rPr>
          <w:rFonts w:ascii="Times New Roman;Times;serif" w:hAnsi="Times New Roman;Times;serif"/>
          <w:i/>
          <w:sz w:val="20"/>
        </w:rPr>
      </w:pPr>
      <w:r>
        <w:rPr>
          <w:rFonts w:ascii="Times New Roman;Times;serif" w:hAnsi="Times New Roman;Times;serif"/>
          <w:i/>
          <w:sz w:val="20"/>
        </w:rPr>
        <w:t>Youdao</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revenues from our Youdao segment increased by 7.5% to RMB5.4 billion (US$759.1 million) in 2023 from RMB5.0 billion in 2022. The increase was mainly due to increased revenue contribution from its online marketing services and learning services.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720" w:right="0" w:hanging="0"/>
        <w:jc w:val="left"/>
        <w:rPr>
          <w:rFonts w:ascii="Times New Roman;Times;serif" w:hAnsi="Times New Roman;Times;serif"/>
          <w:i/>
          <w:sz w:val="20"/>
        </w:rPr>
      </w:pPr>
      <w:r>
        <w:rPr>
          <w:rFonts w:ascii="Times New Roman;Times;serif" w:hAnsi="Times New Roman;Times;serif"/>
          <w:i/>
          <w:sz w:val="20"/>
        </w:rPr>
        <w:t>Cloud Music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revenues from our Cloud Music segment decreased by 12.5% to RMB7.9 billion (US$1.1 billion) in 2023 from RMB9.0 billion in 2022. The decrease was mainly attributable to the introduction of a number of measures to its live streaming services to enhance the listening experience of more dedicated music fans and reinforce its risk controls. These included reducing the in-app exposure of certain live streaming functions and lowering performers’ and agencies’ revenue sharing ratio. These measures led to a decrease in net revenues from Cloud Music’s social entertainment services, which was partially offset by increased revenues from online music services as a result of the growth in sales of membership subscriptions.</w:t>
      </w:r>
    </w:p>
    <w:p>
      <w:pPr>
        <w:pStyle w:val="TextBody"/>
        <w:bidi w:val="0"/>
        <w:spacing w:before="0" w:after="240"/>
        <w:ind w:left="720" w:right="0" w:hanging="0"/>
        <w:jc w:val="both"/>
        <w:rPr>
          <w:rFonts w:ascii="Times New Roman;Times;serif" w:hAnsi="Times New Roman;Times;serif"/>
          <w:i/>
          <w:sz w:val="20"/>
        </w:rPr>
      </w:pPr>
      <w:r>
        <w:rPr>
          <w:rFonts w:ascii="Times New Roman;Times;serif" w:hAnsi="Times New Roman;Times;serif"/>
          <w:i/>
          <w:sz w:val="20"/>
        </w:rPr>
        <w:t>Innovative Businesses and Others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revenues from the innovative businesses and others segment increased by 9.1% to RMB8.6 billion (US$1.2 billion) in 2023 from RMB7.9 billion in 2022. This increase mainly resulted from an increase in revenue contribution by our Yanxuan e-commerce business and certain other innovative businesses in this segment.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Cost of Revenues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cost of revenues decreased by 7.6% to RMB40.4 billion (US$5.7 billion) in 2023 from RMB43.7 billion in 2022. The year-over-year decrease was mainly due to a decrease in royalty fees and revenue sharing costs with game developers, talent agencies of live streaming performers and other third parties. In 2023, costs relating to games and related value-added services, Youdao, Cloud Music and innovative businesses and others represented 64.2%, 6.5%, 14.3% and 15.0% of total cost of revenues, respectively, as compared with 63.5%, 5.6%, 17.6% and 13.3% of the total cost of revenues, respectively, in 2022.</w:t>
      </w:r>
    </w:p>
    <w:p>
      <w:pPr>
        <w:pStyle w:val="TextBody"/>
        <w:bidi w:val="0"/>
        <w:spacing w:before="0" w:after="240"/>
        <w:ind w:left="720" w:right="0" w:hanging="0"/>
        <w:jc w:val="both"/>
        <w:rPr>
          <w:rFonts w:ascii="Times New Roman;Times;serif" w:hAnsi="Times New Roman;Times;serif"/>
          <w:i/>
          <w:sz w:val="20"/>
        </w:rPr>
      </w:pPr>
      <w:r>
        <w:rPr>
          <w:rFonts w:ascii="Times New Roman;Times;serif" w:hAnsi="Times New Roman;Times;serif"/>
          <w:i/>
          <w:sz w:val="20"/>
        </w:rPr>
        <w:t>Games and Related Value-added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Cost of revenues from our games and related value-added services decreased by 6.6% to RMB25.9 billion (US$3.7 billion) in 2023 from RMB27.8 billion in 2022. The decrease in cost of revenues in 2023 was primarily due to a decrease in royalty fees related to certain licensed games. The decrease was offset in part by an increase in revenue sharing costs to platforms as a result of the increased revenue from our mobile games in 2023.</w:t>
      </w:r>
    </w:p>
    <w:p>
      <w:pPr>
        <w:pStyle w:val="TextBody"/>
        <w:bidi w:val="0"/>
        <w:spacing w:before="0" w:after="240"/>
        <w:ind w:left="720" w:right="0" w:hanging="0"/>
        <w:jc w:val="both"/>
        <w:rPr>
          <w:rFonts w:ascii="Times New Roman;Times;serif" w:hAnsi="Times New Roman;Times;serif"/>
          <w:i/>
          <w:sz w:val="20"/>
        </w:rPr>
      </w:pPr>
      <w:r>
        <w:rPr>
          <w:rFonts w:ascii="Times New Roman;Times;serif" w:hAnsi="Times New Roman;Times;serif"/>
          <w:i/>
          <w:sz w:val="20"/>
        </w:rPr>
        <w:t>Youdao</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Cost of revenues from Youdao increased by 7.9% to RMB2.6 billion (US$369.3 million) in 2023 from RMB2.4 billion in 2022, which was primarily attributable to an increase in revenues shared to third parties’ internet properties related to increased revenue from online marketing services.</w:t>
      </w:r>
    </w:p>
    <w:p>
      <w:pPr>
        <w:pStyle w:val="TextBody"/>
        <w:bidi w:val="0"/>
        <w:spacing w:before="0" w:after="240"/>
        <w:ind w:left="720" w:right="0" w:hanging="0"/>
        <w:jc w:val="both"/>
        <w:rPr>
          <w:rFonts w:ascii="Times New Roman;Times;serif" w:hAnsi="Times New Roman;Times;serif"/>
          <w:i/>
          <w:sz w:val="20"/>
        </w:rPr>
      </w:pPr>
      <w:r>
        <w:rPr>
          <w:rFonts w:ascii="Times New Roman;Times;serif" w:hAnsi="Times New Roman;Times;serif"/>
          <w:i/>
          <w:sz w:val="20"/>
        </w:rPr>
        <w:t>Cloud Music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Cost of revenues from Cloud Music decreased by 25.1% to RMB5.8 billion (US$811.9 million) in 2023 from RMB7.7 billion in 2022, which was primarily attributable to a decrease in revenue sharing costs in line with the decline of its revenue from social entertainment services.</w:t>
      </w:r>
    </w:p>
    <w:p>
      <w:pPr>
        <w:pStyle w:val="TextBody"/>
        <w:bidi w:val="0"/>
        <w:spacing w:before="0" w:after="240"/>
        <w:ind w:left="720" w:right="0" w:hanging="0"/>
        <w:jc w:val="both"/>
        <w:rPr>
          <w:rFonts w:ascii="Times New Roman;Times;serif" w:hAnsi="Times New Roman;Times;serif"/>
          <w:i/>
          <w:sz w:val="20"/>
        </w:rPr>
      </w:pPr>
      <w:r>
        <w:rPr>
          <w:rFonts w:ascii="Times New Roman;Times;serif" w:hAnsi="Times New Roman;Times;serif"/>
          <w:i/>
          <w:sz w:val="20"/>
        </w:rPr>
        <w:t>Innovative Businesses and Others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Cost of revenues from our innovative businesses and others increased by 4.5% to RMB6.1 billion (US$856.3 million) in 2023 from RMB5.8 billion in 2022. The increase in cost of revenues in 2023 was primarily due to increased cost of merchandise sold in our e-commerce business resulting from increased sales volume, as well as revenue sharing costs related to our innovative businesses.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Gross Profit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gross profit increased by 19.5% to RMB63.1 billion (US$8.9 billion) in 2023 from RMB52.8 billion in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sets forth the consolidated gross profits and gross profit margins of our business activities for the periods indicated as derived from our audited financial statements. The gross profit margins in 2022 and 2023 were calculated by dividing our gross profits over our net revenues for the corresponding type of services.</w:t>
      </w:r>
    </w:p>
    <w:p>
      <w:pPr>
        <w:pStyle w:val="TextBody"/>
        <w:bidi w:val="0"/>
        <w:spacing w:before="0" w:after="0"/>
        <w:ind w:left="0" w:right="0" w:hanging="0"/>
        <w:jc w:val="left"/>
        <w:rPr/>
      </w:pPr>
      <w:r>
        <w:rPr/>
        <w:t>​</w:t>
      </w:r>
    </w:p>
    <w:tbl>
      <w:tblPr>
        <w:tblW w:w="7713" w:type="dxa"/>
        <w:jc w:val="left"/>
        <w:tblInd w:w="0" w:type="dxa"/>
        <w:tblLayout w:type="fixed"/>
        <w:tblCellMar>
          <w:top w:w="0" w:type="dxa"/>
          <w:left w:w="0" w:type="dxa"/>
          <w:bottom w:w="0" w:type="dxa"/>
          <w:right w:w="0" w:type="dxa"/>
        </w:tblCellMar>
      </w:tblPr>
      <w:tblGrid>
        <w:gridCol w:w="3346"/>
        <w:gridCol w:w="326"/>
        <w:gridCol w:w="1036"/>
        <w:gridCol w:w="361"/>
        <w:gridCol w:w="1036"/>
        <w:gridCol w:w="361"/>
        <w:gridCol w:w="931"/>
        <w:gridCol w:w="316"/>
      </w:tblGrid>
      <w:tr>
        <w:trPr/>
        <w:tc>
          <w:tcPr>
            <w:tcW w:w="3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124710" cy="175260"/>
                      <wp:effectExtent l="0" t="0" r="0" b="0"/>
                      <wp:wrapNone/>
                      <wp:docPr id="64" name="Frame63"/>
                      <a:graphic xmlns:a="http://schemas.openxmlformats.org/drawingml/2006/main">
                        <a:graphicData uri="http://schemas.microsoft.com/office/word/2010/wordprocessingShape">
                          <wps:wsp>
                            <wps:cNvSpPr txBox="1"/>
                            <wps:spPr>
                              <a:xfrm>
                                <a:off x="0" y="0"/>
                                <a:ext cx="2124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07010" cy="175260"/>
                      <wp:effectExtent l="0" t="0" r="0" b="0"/>
                      <wp:wrapNone/>
                      <wp:docPr id="65" name="Frame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57860" cy="175260"/>
                      <wp:effectExtent l="0" t="0" r="0" b="0"/>
                      <wp:wrapNone/>
                      <wp:docPr id="66" name="Frame6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29235" cy="175260"/>
                      <wp:effectExtent l="0" t="0" r="0" b="0"/>
                      <wp:wrapNone/>
                      <wp:docPr id="67" name="Frame6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57860" cy="175260"/>
                      <wp:effectExtent l="0" t="0" r="0" b="0"/>
                      <wp:wrapNone/>
                      <wp:docPr id="68" name="Frame6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29235" cy="175260"/>
                      <wp:effectExtent l="0" t="0" r="0" b="0"/>
                      <wp:wrapNone/>
                      <wp:docPr id="69" name="Frame6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591185" cy="175260"/>
                      <wp:effectExtent l="0" t="0" r="0" b="0"/>
                      <wp:wrapNone/>
                      <wp:docPr id="70" name="Frame6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00660" cy="175260"/>
                      <wp:effectExtent l="0" t="0" r="0" b="0"/>
                      <wp:wrapNone/>
                      <wp:docPr id="71" name="Frame7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7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c>
          <w:tcPr>
            <w:tcW w:w="316" w:type="dxa"/>
            <w:tcBorders/>
            <w:vAlign w:val="center"/>
          </w:tcPr>
          <w:p>
            <w:pPr>
              <w:pStyle w:val="TableContents"/>
              <w:bidi w:val="0"/>
              <w:spacing w:before="0" w:after="0"/>
              <w:ind w:left="0" w:right="0" w:hanging="0"/>
              <w:jc w:val="center"/>
              <w:rPr/>
            </w:pPr>
            <w:r>
              <w:rPr/>
              <w:t> </w:t>
            </w:r>
          </w:p>
        </w:tc>
      </w:tr>
      <w:tr>
        <w:trPr/>
        <w:tc>
          <w:tcPr>
            <w:tcW w:w="33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61"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16" w:type="dxa"/>
            <w:tcBorders/>
            <w:vAlign w:val="center"/>
          </w:tcPr>
          <w:p>
            <w:pPr>
              <w:pStyle w:val="TableContents"/>
              <w:bidi w:val="0"/>
              <w:spacing w:before="0" w:after="0"/>
              <w:ind w:left="0" w:right="0" w:hanging="0"/>
              <w:jc w:val="center"/>
              <w:rPr/>
            </w:pPr>
            <w:r>
              <w:rPr/>
              <w:t> </w:t>
            </w:r>
          </w:p>
        </w:tc>
      </w:tr>
      <w:tr>
        <w:trPr/>
        <w:tc>
          <w:tcPr>
            <w:tcW w:w="33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61"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61"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16" w:type="dxa"/>
            <w:tcBorders/>
            <w:vAlign w:val="center"/>
          </w:tcPr>
          <w:p>
            <w:pPr>
              <w:pStyle w:val="TableContents"/>
              <w:bidi w:val="0"/>
              <w:spacing w:before="0" w:after="0"/>
              <w:ind w:left="0" w:right="0" w:hanging="0"/>
              <w:jc w:val="center"/>
              <w:rPr/>
            </w:pPr>
            <w:r>
              <w:rPr/>
              <w:t> </w:t>
            </w:r>
          </w:p>
        </w:tc>
      </w:tr>
      <w:tr>
        <w:trPr/>
        <w:tc>
          <w:tcPr>
            <w:tcW w:w="7713"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33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72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16" w:type="dxa"/>
            <w:tcBorders/>
            <w:vAlign w:val="center"/>
          </w:tcPr>
          <w:p>
            <w:pPr>
              <w:pStyle w:val="TableContents"/>
              <w:bidi w:val="0"/>
              <w:spacing w:before="0" w:after="0"/>
              <w:ind w:left="0" w:right="0" w:hanging="0"/>
              <w:jc w:val="center"/>
              <w:rPr/>
            </w:pPr>
            <w:r>
              <w:rPr/>
              <w:t> </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Gross profit:</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left"/>
              <w:rPr/>
            </w:pPr>
            <w:r>
              <w:rPr/>
              <w:t>  </w:t>
            </w:r>
          </w:p>
        </w:tc>
        <w:tc>
          <w:tcPr>
            <w:tcW w:w="36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Games and related value-added services</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46,782,052</w:t>
            </w:r>
          </w:p>
        </w:tc>
        <w:tc>
          <w:tcPr>
            <w:tcW w:w="36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55,626,584</w:t>
            </w:r>
          </w:p>
        </w:tc>
        <w:tc>
          <w:tcPr>
            <w:tcW w:w="36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7,834,840</w:t>
            </w:r>
          </w:p>
        </w:tc>
        <w:tc>
          <w:tcPr>
            <w:tcW w:w="316" w:type="dxa"/>
            <w:tcBorders/>
            <w:vAlign w:val="center"/>
          </w:tcPr>
          <w:p>
            <w:pPr>
              <w:pStyle w:val="TableContents"/>
              <w:bidi w:val="0"/>
              <w:spacing w:before="0" w:after="0"/>
              <w:ind w:left="0" w:right="0" w:hanging="0"/>
              <w:jc w:val="left"/>
              <w:rPr/>
            </w:pPr>
            <w:r>
              <w:rPr/>
              <w:t>​</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Youdao</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2,582,444</w:t>
            </w:r>
          </w:p>
        </w:tc>
        <w:tc>
          <w:tcPr>
            <w:tcW w:w="36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2,767,462</w:t>
            </w:r>
          </w:p>
        </w:tc>
        <w:tc>
          <w:tcPr>
            <w:tcW w:w="36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389,789</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Cloud Music</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1,293,118</w:t>
            </w:r>
          </w:p>
        </w:tc>
        <w:tc>
          <w:tcPr>
            <w:tcW w:w="36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2,102,670</w:t>
            </w:r>
          </w:p>
        </w:tc>
        <w:tc>
          <w:tcPr>
            <w:tcW w:w="36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296,155</w:t>
            </w:r>
          </w:p>
        </w:tc>
        <w:tc>
          <w:tcPr>
            <w:tcW w:w="316" w:type="dxa"/>
            <w:tcBorders/>
            <w:vAlign w:val="center"/>
          </w:tcPr>
          <w:p>
            <w:pPr>
              <w:pStyle w:val="TableContents"/>
              <w:bidi w:val="0"/>
              <w:spacing w:before="0" w:after="0"/>
              <w:ind w:left="0" w:right="0" w:hanging="0"/>
              <w:jc w:val="left"/>
              <w:rPr/>
            </w:pPr>
            <w:r>
              <w:rPr/>
              <w:t>​</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Innovative businesses and others</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2,108,512</w:t>
            </w:r>
          </w:p>
        </w:tc>
        <w:tc>
          <w:tcPr>
            <w:tcW w:w="361"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2,566,678</w:t>
            </w:r>
          </w:p>
        </w:tc>
        <w:tc>
          <w:tcPr>
            <w:tcW w:w="361"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361,509</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gross profit</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52,766,126</w:t>
            </w:r>
          </w:p>
        </w:tc>
        <w:tc>
          <w:tcPr>
            <w:tcW w:w="361" w:type="dxa"/>
            <w:tcBorders/>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63,063,394</w:t>
            </w:r>
          </w:p>
        </w:tc>
        <w:tc>
          <w:tcPr>
            <w:tcW w:w="361"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8,882,293</w:t>
            </w:r>
          </w:p>
        </w:tc>
        <w:tc>
          <w:tcPr>
            <w:tcW w:w="316" w:type="dxa"/>
            <w:tcBorders/>
            <w:vAlign w:val="center"/>
          </w:tcPr>
          <w:p>
            <w:pPr>
              <w:pStyle w:val="TableContents"/>
              <w:bidi w:val="0"/>
              <w:spacing w:before="0" w:after="0"/>
              <w:ind w:left="0" w:right="0" w:hanging="0"/>
              <w:jc w:val="left"/>
              <w:rPr/>
            </w:pPr>
            <w:r>
              <w:rPr/>
              <w:t>​</w:t>
            </w:r>
          </w:p>
        </w:tc>
      </w:tr>
      <w:tr>
        <w:trPr/>
        <w:tc>
          <w:tcPr>
            <w:tcW w:w="33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3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Gross profit margin:</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left"/>
              <w:rPr/>
            </w:pPr>
            <w:r>
              <w:rPr/>
              <w:t>​</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Games and related value-added services</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68.2</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Youdao</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51.4</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51.4</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Cloud Music</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Innovative businesses and others</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gross profit margin</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increase in gross profit margin in 2023 for games and related value-added services was primarily attributable to increased contribution from our in-house developed games, which have a relatively higher gross profit margin, as well as changes in the revenue contribution from different platforms. The gross profit margin for Youdao remained relatively stable in 2023 compared to 2022. The improvement in gross profit margin in 2023 for Cloud Music was mainly due to increased net revenues from sales of membership subscriptions and continued improvement in cost control measures. The gross profit margin in innovative businesses and others increased from 2022 to 2023 mainly due to increased gross profit from Yanxuan and several other businesses included within the segment.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Operating Expenses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Total operating expenses increased by 6.7% to RMB35.4 billion (US$5.0 billion) in 2023 from RMB33.1 billion in 2022 as a result of higher R&amp;D investments and marketing expenditures mainly for games and related value-added services. The following table sets forth our operating expenses for the periods indicated as derived from our audited financial statements.</w:t>
      </w:r>
    </w:p>
    <w:p>
      <w:pPr>
        <w:pStyle w:val="TextBody"/>
        <w:bidi w:val="0"/>
        <w:spacing w:before="0" w:after="0"/>
        <w:ind w:left="0" w:right="0" w:hanging="0"/>
        <w:jc w:val="left"/>
        <w:rPr/>
      </w:pPr>
      <w:r>
        <w:rPr/>
        <w:t>​</w:t>
      </w:r>
    </w:p>
    <w:tbl>
      <w:tblPr>
        <w:tblW w:w="7477" w:type="dxa"/>
        <w:jc w:val="left"/>
        <w:tblInd w:w="0" w:type="dxa"/>
        <w:tblLayout w:type="fixed"/>
        <w:tblCellMar>
          <w:top w:w="0" w:type="dxa"/>
          <w:left w:w="0" w:type="dxa"/>
          <w:bottom w:w="0" w:type="dxa"/>
          <w:right w:w="0" w:type="dxa"/>
        </w:tblCellMar>
      </w:tblPr>
      <w:tblGrid>
        <w:gridCol w:w="3091"/>
        <w:gridCol w:w="326"/>
        <w:gridCol w:w="1156"/>
        <w:gridCol w:w="326"/>
        <w:gridCol w:w="1156"/>
        <w:gridCol w:w="326"/>
        <w:gridCol w:w="1096"/>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962785" cy="175260"/>
                      <wp:effectExtent l="0" t="0" r="0" b="0"/>
                      <wp:wrapNone/>
                      <wp:docPr id="72" name="Frame71"/>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07010" cy="175260"/>
                      <wp:effectExtent l="0" t="0" r="0" b="0"/>
                      <wp:wrapNone/>
                      <wp:docPr id="73" name="Frame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734060" cy="175260"/>
                      <wp:effectExtent l="0" t="0" r="0" b="0"/>
                      <wp:wrapNone/>
                      <wp:docPr id="74" name="Frame73"/>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07010" cy="175260"/>
                      <wp:effectExtent l="0" t="0" r="0" b="0"/>
                      <wp:wrapNone/>
                      <wp:docPr id="75" name="Frame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734060" cy="175260"/>
                      <wp:effectExtent l="0" t="0" r="0" b="0"/>
                      <wp:wrapNone/>
                      <wp:docPr id="76" name="Frame75"/>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7010" cy="175260"/>
                      <wp:effectExtent l="0" t="0" r="0" b="0"/>
                      <wp:wrapNone/>
                      <wp:docPr id="77" name="Frame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95960" cy="175260"/>
                      <wp:effectExtent l="0" t="0" r="0" b="0"/>
                      <wp:wrapNone/>
                      <wp:docPr id="78" name="Frame77"/>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406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7477"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06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left"/>
              <w:rPr/>
            </w:pPr>
            <w:r>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(13,402,721)</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(13,969,460)</w:t>
            </w:r>
          </w:p>
        </w:tc>
        <w:tc>
          <w:tcPr>
            <w:tcW w:w="32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(1,967,557)</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(4,695,798)</w:t>
            </w:r>
          </w:p>
        </w:tc>
        <w:tc>
          <w:tcPr>
            <w:tcW w:w="32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(4,899,880)</w:t>
            </w:r>
          </w:p>
        </w:tc>
        <w:tc>
          <w:tcPr>
            <w:tcW w:w="32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(690,134)</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(15,039,014)</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(16,484,910)</w:t>
            </w:r>
          </w:p>
        </w:tc>
        <w:tc>
          <w:tcPr>
            <w:tcW w:w="326" w:type="dxa"/>
            <w:tcBorders/>
            <w:shd w:fill="CCEEFF" w:val="clear"/>
            <w:vAlign w:val="center"/>
          </w:tcPr>
          <w:p>
            <w:pPr>
              <w:pStyle w:val="TableContents"/>
              <w:bidi w:val="0"/>
              <w:spacing w:before="0" w:after="0"/>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(2,321,851)</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0"/>
              <w:ind w:left="0" w:right="0" w:hanging="0"/>
              <w:jc w:val="left"/>
              <w:rPr/>
            </w:pPr>
            <w:r>
              <w:rPr/>
              <w:t> </w:t>
            </w:r>
          </w:p>
        </w:tc>
        <w:tc>
          <w:tcPr>
            <w:tcW w:w="11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(33,137,533)</w:t>
            </w:r>
          </w:p>
        </w:tc>
        <w:tc>
          <w:tcPr>
            <w:tcW w:w="326" w:type="dxa"/>
            <w:tcBorders/>
            <w:vAlign w:val="center"/>
          </w:tcPr>
          <w:p>
            <w:pPr>
              <w:pStyle w:val="TableContents"/>
              <w:bidi w:val="0"/>
              <w:spacing w:before="0" w:after="0"/>
              <w:ind w:left="0" w:right="0" w:hanging="0"/>
              <w:jc w:val="left"/>
              <w:rPr/>
            </w:pPr>
            <w:r>
              <w:rPr/>
              <w:t> </w:t>
            </w:r>
          </w:p>
        </w:tc>
        <w:tc>
          <w:tcPr>
            <w:tcW w:w="11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(35,354,250)</w:t>
            </w:r>
          </w:p>
        </w:tc>
        <w:tc>
          <w:tcPr>
            <w:tcW w:w="326" w:type="dxa"/>
            <w:tcBorders/>
            <w:vAlign w:val="center"/>
          </w:tcPr>
          <w:p>
            <w:pPr>
              <w:pStyle w:val="TableContents"/>
              <w:bidi w:val="0"/>
              <w:spacing w:before="0" w:after="0"/>
              <w:ind w:left="0" w:right="0" w:hanging="0"/>
              <w:jc w:val="left"/>
              <w:rPr/>
            </w:pPr>
            <w:r>
              <w:rPr/>
              <w:t> </w:t>
            </w:r>
          </w:p>
        </w:tc>
        <w:tc>
          <w:tcPr>
            <w:tcW w:w="10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(4,979,542)</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Selling and marketing expenses increased by 4.2% to RMB14.0 billion (US$2.0 billion) in 2023 from RMB13.4 billion in 2022, primarily due to increased marketing spending for games and related value-added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General and administrative expenses increased by 4.3% to RMB4.9 billion (US$690.1 million) in 2023 from RMB4.7 billion in 2022, primarily due to the settlement of certain litigation as well as an impairment provision made for fixed assets and land use rights.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Research and development expenses increased by 9.6% to RMB16.5 billion (US$2.3 billion) in 2023 from RMB15.0 billion in 2022, primarily due to increased staff-related costs and outsourcing game development expenses.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Other Income/(Expenses)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sets forth our other income/(expenses) for the periods indicated as derived from our audited financial statements.</w:t>
      </w:r>
    </w:p>
    <w:p>
      <w:pPr>
        <w:pStyle w:val="TextBody"/>
        <w:bidi w:val="0"/>
        <w:spacing w:before="0" w:after="0"/>
        <w:ind w:left="0" w:right="0" w:hanging="0"/>
        <w:jc w:val="left"/>
        <w:rPr/>
      </w:pPr>
      <w:r>
        <w:rPr/>
        <w:t>​</w:t>
      </w:r>
    </w:p>
    <w:tbl>
      <w:tblPr>
        <w:tblW w:w="6142" w:type="dxa"/>
        <w:jc w:val="left"/>
        <w:tblInd w:w="0" w:type="dxa"/>
        <w:tblLayout w:type="fixed"/>
        <w:tblCellMar>
          <w:top w:w="0" w:type="dxa"/>
          <w:left w:w="0" w:type="dxa"/>
          <w:bottom w:w="0" w:type="dxa"/>
          <w:right w:w="0" w:type="dxa"/>
        </w:tblCellMar>
      </w:tblPr>
      <w:tblGrid>
        <w:gridCol w:w="2416"/>
        <w:gridCol w:w="326"/>
        <w:gridCol w:w="931"/>
        <w:gridCol w:w="326"/>
        <w:gridCol w:w="931"/>
        <w:gridCol w:w="326"/>
        <w:gridCol w:w="886"/>
      </w:tblGrid>
      <w:tr>
        <w:trPr/>
        <w:tc>
          <w:tcPr>
            <w:tcW w:w="2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534160" cy="175260"/>
                      <wp:effectExtent l="0" t="0" r="0" b="0"/>
                      <wp:wrapNone/>
                      <wp:docPr id="79" name="Frame78"/>
                      <a:graphic xmlns:a="http://schemas.openxmlformats.org/drawingml/2006/main">
                        <a:graphicData uri="http://schemas.microsoft.com/office/word/2010/wordprocessingShape">
                          <wps:wsp>
                            <wps:cNvSpPr txBox="1"/>
                            <wps:spPr>
                              <a:xfrm>
                                <a:off x="0" y="0"/>
                                <a:ext cx="1534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07010" cy="175260"/>
                      <wp:effectExtent l="0" t="0" r="0" b="0"/>
                      <wp:wrapNone/>
                      <wp:docPr id="80" name="Frame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591185" cy="175260"/>
                      <wp:effectExtent l="0" t="0" r="0" b="0"/>
                      <wp:wrapNone/>
                      <wp:docPr id="81" name="Frame8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07010" cy="175260"/>
                      <wp:effectExtent l="0" t="0" r="0" b="0"/>
                      <wp:wrapNone/>
                      <wp:docPr id="82" name="Frame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591185" cy="175260"/>
                      <wp:effectExtent l="0" t="0" r="0" b="0"/>
                      <wp:wrapNone/>
                      <wp:docPr id="83" name="Frame8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84" name="Frame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562610" cy="175260"/>
                      <wp:effectExtent l="0" t="0" r="0" b="0"/>
                      <wp:wrapNone/>
                      <wp:docPr id="85" name="Frame8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4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24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4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6142"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4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4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r>
      <w:tr>
        <w:trPr/>
        <w:tc>
          <w:tcPr>
            <w:tcW w:w="2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income, net</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53,976</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1,306,722</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184,048</w:t>
            </w:r>
          </w:p>
        </w:tc>
      </w:tr>
      <w:tr>
        <w:trPr/>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net</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2,149,673</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4,120,418</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580,349</w:t>
            </w:r>
          </w:p>
        </w:tc>
      </w:tr>
      <w:tr>
        <w:trPr/>
        <w:tc>
          <w:tcPr>
            <w:tcW w:w="2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Exchange gains/(losses), net</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1,571,207</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(132,999)</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(18,733)</w:t>
            </w:r>
          </w:p>
        </w:tc>
      </w:tr>
      <w:tr>
        <w:trPr/>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net</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846,815</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1,053,642</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148,402</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Other income/(expenses) mainly consisted of investment income related to short-term investments, interest income, government incentives, net foreign exchange gains/(losses), impairment provisions related to certain equity investments, net investment gain in equity method investees and fair value change related to our equity investments with readily determinable fair value.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Investment income was RMB1.3 billion (US$184.0 million) in 2023 compared to investment income of RMB54.0 million in 2022, consisting primarily of (i) a gain from fair value change related to equity investments with readily determinable fair value of RMB535.3 million (US$75.4 million) in 2023 compared to a loss of RMB3.4 billion in 2022, (ii) a net investment gain in equity method investees of RMB473.9 million (US$66.8 million) in 2023 compared to RMB1.3 billion in 2022, (iii) investment income related to short-term investments of RMB414.2 million (US$58.3 million) in 2023 compared to RMB342.6 million in 2022, and (iv) a gain on disposal of certain long-term investments of RMB63.8 million in 2023 compared to RMB1.8 billion in 2022, which was offset in part by impairment provisions related to certain investments of RMB274.2 million (US$38.6 million) compared to RMB282.8 million in 2022.</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Interest income increased to RMB4.1 billion (US$580.3 million) in 2023 from RMB2.1 billion in 2022, among which, we incurred interest expenses of RMB884.1 million (US$124.5 million) in 2023 related to our short-term and long-term loans.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also incurred net foreign exchange losses of RMB133.0 million (US$18.7 million) in 2023, compared to net foreign exchange gains of RMB1.6 billion in 2022, primarily due to the fluctuation between the U.S. dollar against the RMB over the years.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Other, net increased to RMB1.1 billion (US$148.4 million) in 2023 from RMB846.8 million in 2022, which were mainly related to government incentives received and recognized in 2023 and 2022.</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Income Tax</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Income tax decreased to RMB4.7 billion (US$661.9 million) in 2023 from RMB5.0 billion in 2022. Our effective tax rate in 2023 was 13.8% compared with 20.7% in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Year Ended December 31, 2022 Compared to Year Ended December 31, 2021</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sets forth the net revenues and cost of revenues by segment for the period presented as derived from our audited financial statements.</w:t>
      </w:r>
    </w:p>
    <w:p>
      <w:pPr>
        <w:pStyle w:val="TextBody"/>
        <w:bidi w:val="0"/>
        <w:spacing w:before="0" w:after="0"/>
        <w:ind w:left="0" w:right="0" w:hanging="0"/>
        <w:jc w:val="left"/>
        <w:rPr/>
      </w:pPr>
      <w:r>
        <w:rPr/>
        <w:t>​</w:t>
      </w:r>
    </w:p>
    <w:tbl>
      <w:tblPr>
        <w:tblW w:w="6355" w:type="dxa"/>
        <w:jc w:val="left"/>
        <w:tblInd w:w="0" w:type="dxa"/>
        <w:tblLayout w:type="fixed"/>
        <w:tblCellMar>
          <w:top w:w="0" w:type="dxa"/>
          <w:left w:w="0" w:type="dxa"/>
          <w:bottom w:w="0" w:type="dxa"/>
          <w:right w:w="0" w:type="dxa"/>
        </w:tblCellMar>
      </w:tblPr>
      <w:tblGrid>
        <w:gridCol w:w="3346"/>
        <w:gridCol w:w="326"/>
        <w:gridCol w:w="1156"/>
        <w:gridCol w:w="326"/>
        <w:gridCol w:w="1201"/>
      </w:tblGrid>
      <w:tr>
        <w:trPr/>
        <w:tc>
          <w:tcPr>
            <w:tcW w:w="3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124710" cy="175260"/>
                      <wp:effectExtent l="0" t="0" r="0" b="0"/>
                      <wp:wrapNone/>
                      <wp:docPr id="86" name="Frame85"/>
                      <a:graphic xmlns:a="http://schemas.openxmlformats.org/drawingml/2006/main">
                        <a:graphicData uri="http://schemas.microsoft.com/office/word/2010/wordprocessingShape">
                          <wps:wsp>
                            <wps:cNvSpPr txBox="1"/>
                            <wps:spPr>
                              <a:xfrm>
                                <a:off x="0" y="0"/>
                                <a:ext cx="2124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7010" cy="175260"/>
                      <wp:effectExtent l="0" t="0" r="0" b="0"/>
                      <wp:wrapNone/>
                      <wp:docPr id="87" name="Frame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734060" cy="175260"/>
                      <wp:effectExtent l="0" t="0" r="0" b="0"/>
                      <wp:wrapNone/>
                      <wp:docPr id="88" name="Frame87"/>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07010" cy="175260"/>
                      <wp:effectExtent l="0" t="0" r="0" b="0"/>
                      <wp:wrapNone/>
                      <wp:docPr id="89" name="Frame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762635" cy="175260"/>
                      <wp:effectExtent l="0" t="0" r="0" b="0"/>
                      <wp:wrapNone/>
                      <wp:docPr id="90" name="Frame89"/>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8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33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3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    </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6355" w:type="dxa"/>
            <w:gridSpan w:val="5"/>
            <w:tcBorders/>
            <w:vAlign w:val="center"/>
          </w:tcPr>
          <w:p>
            <w:pPr>
              <w:pStyle w:val="TableContents"/>
              <w:bidi w:val="0"/>
              <w:spacing w:before="0" w:after="283"/>
              <w:ind w:left="0" w:right="0" w:hanging="0"/>
              <w:jc w:val="left"/>
              <w:rPr>
                <w:sz w:val="4"/>
                <w:szCs w:val="4"/>
              </w:rPr>
            </w:pPr>
            <w:r>
              <w:rPr>
                <w:sz w:val="4"/>
                <w:szCs w:val="4"/>
              </w:rPr>
            </w:r>
          </w:p>
        </w:tc>
      </w:tr>
      <w:tr>
        <w:trPr/>
        <w:tc>
          <w:tcPr>
            <w:tcW w:w="33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683"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3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revenues:</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center"/>
              <w:rPr/>
            </w:pPr>
            <w:r>
              <w:rPr/>
              <w:t>​</w:t>
            </w:r>
          </w:p>
        </w:tc>
      </w:tr>
      <w:tr>
        <w:trPr/>
        <w:tc>
          <w:tcPr>
            <w:tcW w:w="33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Games and related value-added services</w:t>
            </w:r>
          </w:p>
        </w:tc>
        <w:tc>
          <w:tcPr>
            <w:tcW w:w="32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67,819,288</w:t>
            </w:r>
          </w:p>
        </w:tc>
        <w:tc>
          <w:tcPr>
            <w:tcW w:w="32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74,566,471</w:t>
            </w:r>
          </w:p>
        </w:tc>
      </w:tr>
      <w:tr>
        <w:trPr/>
        <w:tc>
          <w:tcPr>
            <w:tcW w:w="33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Youdao</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5,354,357</w:t>
            </w:r>
          </w:p>
        </w:tc>
        <w:tc>
          <w:tcPr>
            <w:tcW w:w="32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5,013,182</w:t>
            </w:r>
          </w:p>
        </w:tc>
      </w:tr>
      <w:tr>
        <w:trPr/>
        <w:tc>
          <w:tcPr>
            <w:tcW w:w="33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Cloud Music</w:t>
            </w:r>
          </w:p>
        </w:tc>
        <w:tc>
          <w:tcPr>
            <w:tcW w:w="32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6,997,622</w:t>
            </w:r>
          </w:p>
        </w:tc>
        <w:tc>
          <w:tcPr>
            <w:tcW w:w="32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8,992,221</w:t>
            </w:r>
          </w:p>
        </w:tc>
      </w:tr>
      <w:tr>
        <w:trPr/>
        <w:tc>
          <w:tcPr>
            <w:tcW w:w="33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Innovative businesses and others</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7,434,759</w:t>
            </w:r>
          </w:p>
        </w:tc>
        <w:tc>
          <w:tcPr>
            <w:tcW w:w="326" w:type="dxa"/>
            <w:tcBorders/>
            <w:shd w:fill="CCEEFF" w:val="clear"/>
            <w:vAlign w:val="center"/>
          </w:tcPr>
          <w:p>
            <w:pPr>
              <w:pStyle w:val="TableContents"/>
              <w:bidi w:val="0"/>
              <w:spacing w:before="0" w:after="0"/>
              <w:ind w:left="0" w:right="0" w:hanging="0"/>
              <w:jc w:val="left"/>
              <w:rPr/>
            </w:pPr>
            <w:r>
              <w:rPr/>
              <w:t> </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7,923,935</w:t>
            </w:r>
          </w:p>
        </w:tc>
      </w:tr>
      <w:tr>
        <w:trPr/>
        <w:tc>
          <w:tcPr>
            <w:tcW w:w="33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revenues</w:t>
            </w:r>
          </w:p>
        </w:tc>
        <w:tc>
          <w:tcPr>
            <w:tcW w:w="326" w:type="dxa"/>
            <w:tcBorders/>
            <w:vAlign w:val="center"/>
          </w:tcPr>
          <w:p>
            <w:pPr>
              <w:pStyle w:val="TableContents"/>
              <w:bidi w:val="0"/>
              <w:spacing w:before="0" w:after="0"/>
              <w:ind w:left="0" w:right="0" w:hanging="0"/>
              <w:jc w:val="left"/>
              <w:rPr/>
            </w:pPr>
            <w:r>
              <w:rPr/>
              <w:t> </w:t>
            </w:r>
          </w:p>
        </w:tc>
        <w:tc>
          <w:tcPr>
            <w:tcW w:w="11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87,606,026</w:t>
            </w:r>
          </w:p>
        </w:tc>
        <w:tc>
          <w:tcPr>
            <w:tcW w:w="326" w:type="dxa"/>
            <w:tcBorders/>
            <w:vAlign w:val="center"/>
          </w:tcPr>
          <w:p>
            <w:pPr>
              <w:pStyle w:val="TableContents"/>
              <w:bidi w:val="0"/>
              <w:spacing w:before="0" w:after="0"/>
              <w:ind w:left="0" w:right="0" w:hanging="0"/>
              <w:jc w:val="left"/>
              <w:rPr/>
            </w:pPr>
            <w:r>
              <w:rPr/>
              <w:t> </w:t>
            </w:r>
          </w:p>
        </w:tc>
        <w:tc>
          <w:tcPr>
            <w:tcW w:w="12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96,495,809</w:t>
            </w:r>
          </w:p>
        </w:tc>
      </w:tr>
      <w:tr>
        <w:trPr/>
        <w:tc>
          <w:tcPr>
            <w:tcW w:w="33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pPr>
            <w:r>
              <w:rPr/>
              <w:t>​</w:t>
            </w:r>
          </w:p>
        </w:tc>
      </w:tr>
      <w:tr>
        <w:trPr/>
        <w:tc>
          <w:tcPr>
            <w:tcW w:w="33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Games and related value-added services</w:t>
            </w:r>
          </w:p>
        </w:tc>
        <w:tc>
          <w:tcPr>
            <w:tcW w:w="32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(26,007,412)</w:t>
            </w:r>
          </w:p>
        </w:tc>
        <w:tc>
          <w:tcPr>
            <w:tcW w:w="32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(27,784,419)</w:t>
            </w:r>
          </w:p>
        </w:tc>
      </w:tr>
      <w:tr>
        <w:trPr/>
        <w:tc>
          <w:tcPr>
            <w:tcW w:w="33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Youdao</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(2,448,146)</w:t>
            </w:r>
          </w:p>
        </w:tc>
        <w:tc>
          <w:tcPr>
            <w:tcW w:w="32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(2,430,738)</w:t>
            </w:r>
          </w:p>
        </w:tc>
      </w:tr>
      <w:tr>
        <w:trPr/>
        <w:tc>
          <w:tcPr>
            <w:tcW w:w="33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Cloud Music</w:t>
            </w:r>
          </w:p>
        </w:tc>
        <w:tc>
          <w:tcPr>
            <w:tcW w:w="32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(6,854,948)</w:t>
            </w:r>
          </w:p>
        </w:tc>
        <w:tc>
          <w:tcPr>
            <w:tcW w:w="32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(7,699,103)</w:t>
            </w:r>
          </w:p>
        </w:tc>
      </w:tr>
      <w:tr>
        <w:trPr/>
        <w:tc>
          <w:tcPr>
            <w:tcW w:w="33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Innovative businesses and others</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(5,324,719)</w:t>
            </w:r>
          </w:p>
        </w:tc>
        <w:tc>
          <w:tcPr>
            <w:tcW w:w="326" w:type="dxa"/>
            <w:tcBorders/>
            <w:shd w:fill="CCEEFF" w:val="clear"/>
            <w:vAlign w:val="center"/>
          </w:tcPr>
          <w:p>
            <w:pPr>
              <w:pStyle w:val="TableContents"/>
              <w:bidi w:val="0"/>
              <w:spacing w:before="0" w:after="0"/>
              <w:ind w:left="0" w:right="0" w:hanging="0"/>
              <w:jc w:val="left"/>
              <w:rPr/>
            </w:pPr>
            <w:r>
              <w:rPr/>
              <w:t> </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(5,815,423)</w:t>
            </w:r>
          </w:p>
        </w:tc>
      </w:tr>
      <w:tr>
        <w:trPr/>
        <w:tc>
          <w:tcPr>
            <w:tcW w:w="33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 of revenues</w:t>
            </w:r>
          </w:p>
        </w:tc>
        <w:tc>
          <w:tcPr>
            <w:tcW w:w="326" w:type="dxa"/>
            <w:tcBorders/>
            <w:vAlign w:val="center"/>
          </w:tcPr>
          <w:p>
            <w:pPr>
              <w:pStyle w:val="TableContents"/>
              <w:bidi w:val="0"/>
              <w:spacing w:before="0" w:after="0"/>
              <w:ind w:left="0" w:right="0" w:hanging="0"/>
              <w:jc w:val="left"/>
              <w:rPr/>
            </w:pPr>
            <w:r>
              <w:rPr/>
              <w:t> </w:t>
            </w:r>
          </w:p>
        </w:tc>
        <w:tc>
          <w:tcPr>
            <w:tcW w:w="11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(40,635,225)</w:t>
            </w:r>
          </w:p>
        </w:tc>
        <w:tc>
          <w:tcPr>
            <w:tcW w:w="326" w:type="dxa"/>
            <w:tcBorders/>
            <w:vAlign w:val="center"/>
          </w:tcPr>
          <w:p>
            <w:pPr>
              <w:pStyle w:val="TableContents"/>
              <w:bidi w:val="0"/>
              <w:spacing w:before="0" w:after="0"/>
              <w:ind w:left="0" w:right="0" w:hanging="0"/>
              <w:jc w:val="left"/>
              <w:rPr/>
            </w:pPr>
            <w:r>
              <w:rPr/>
              <w:t> </w:t>
            </w:r>
          </w:p>
        </w:tc>
        <w:tc>
          <w:tcPr>
            <w:tcW w:w="12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(43,729,683)</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Net Revenues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Total net revenues increased by 10.1% to RMB96.5 billion in 2022 from RMB87.6 billion in 2021. Net revenues from games and related value-added services, Youdao, Cloud Music and innovative businesses and others constituted 77.3%, 5.2%, 9.3% and 8.2%, respectively, of our total net revenues in 2022, compared with 77.4%, 6.1%, 8.0% and 8.5%, respectively, in 2021.</w:t>
      </w:r>
    </w:p>
    <w:p>
      <w:pPr>
        <w:pStyle w:val="TextBody"/>
        <w:bidi w:val="0"/>
        <w:spacing w:before="0" w:after="240"/>
        <w:ind w:left="720" w:right="0" w:hanging="0"/>
        <w:jc w:val="both"/>
        <w:rPr>
          <w:rFonts w:ascii="Times New Roman;Times;serif" w:hAnsi="Times New Roman;Times;serif"/>
          <w:i/>
          <w:sz w:val="20"/>
        </w:rPr>
      </w:pPr>
      <w:r>
        <w:rPr>
          <w:rFonts w:ascii="Times New Roman;Times;serif" w:hAnsi="Times New Roman;Times;serif"/>
          <w:i/>
          <w:sz w:val="20"/>
        </w:rPr>
        <w:t>Games and Related Value-added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Net revenues from games and related value-added services increased by 9.9% to RMB74.6 billion in 2022 from RMB67.8 billion in 2021. The increase was principally attributable to the strong performance of PC games such as </w:t>
      </w:r>
      <w:r>
        <w:rPr>
          <w:rFonts w:ascii="Times New Roman;Times;serif" w:hAnsi="Times New Roman;Times;serif"/>
          <w:i/>
          <w:sz w:val="20"/>
        </w:rPr>
        <w:t>Fantasy Westward Journey Online</w:t>
      </w:r>
      <w:r>
        <w:rPr>
          <w:rFonts w:ascii="Times New Roman;Times;serif" w:hAnsi="Times New Roman;Times;serif"/>
          <w:sz w:val="20"/>
        </w:rPr>
        <w:t xml:space="preserve"> and </w:t>
      </w:r>
      <w:r>
        <w:rPr>
          <w:rFonts w:ascii="Times New Roman;Times;serif" w:hAnsi="Times New Roman;Times;serif"/>
          <w:i/>
          <w:sz w:val="20"/>
        </w:rPr>
        <w:t>Naraka: Bladepoint</w:t>
      </w:r>
      <w:r>
        <w:rPr>
          <w:rFonts w:ascii="Times New Roman;Times;serif" w:hAnsi="Times New Roman;Times;serif"/>
          <w:sz w:val="20"/>
        </w:rPr>
        <w:t xml:space="preserve">, as well as mobile games including certain newly-launched titles and existing hit titles like </w:t>
      </w:r>
      <w:r>
        <w:rPr>
          <w:rFonts w:ascii="Times New Roman;Times;serif" w:hAnsi="Times New Roman;Times;serif"/>
          <w:i/>
          <w:sz w:val="20"/>
        </w:rPr>
        <w:t>Infinite Lagrange</w:t>
      </w:r>
      <w:r>
        <w:rPr>
          <w:rFonts w:ascii="Times New Roman;Times;serif" w:hAnsi="Times New Roman;Times;serif"/>
          <w:sz w:val="20"/>
        </w:rPr>
        <w:t>. Net revenues from the operation of online games accounted for approximately 92.5% of the segment in 2022 compared to 92.6% in 2021.</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Net revenues from our in-house developed games (including certain games co-developed with our collaboration partners) increased by 9.9% to RMB59.8 billion in 2022 from RMB54.5 billion in 2021 as a result of the expansion of our portfolio of both PC and mobile games and their increased popularity in 2022. Net revenues from licensed games increased by 9.8% to RMB9.2 billion in 2022 from RMB8.4 billion in 2021, which was mainly attributable to increased popularity of certain licensed titles such as </w:t>
      </w:r>
      <w:r>
        <w:rPr>
          <w:rFonts w:ascii="Times New Roman;Times;serif" w:hAnsi="Times New Roman;Times;serif"/>
          <w:i/>
          <w:sz w:val="20"/>
        </w:rPr>
        <w:t>Sky</w:t>
      </w:r>
      <w:r>
        <w:rPr>
          <w:rFonts w:ascii="Times New Roman;Times;serif" w:hAnsi="Times New Roman;Times;serif"/>
          <w:sz w:val="20"/>
        </w:rPr>
        <w:t>. Net revenues generated from licensed games represented 9.5% each of our total net revenues in 2022 and 2021.</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increase in net revenues of this segment also resulted from an increase in revenue contribution by game related value-added services such as NetEase CC live streaming.</w:t>
      </w:r>
    </w:p>
    <w:p>
      <w:pPr>
        <w:pStyle w:val="TextBody"/>
        <w:bidi w:val="0"/>
        <w:spacing w:before="0" w:after="240"/>
        <w:ind w:left="720" w:right="0" w:hanging="0"/>
        <w:jc w:val="both"/>
        <w:rPr>
          <w:rFonts w:ascii="Times New Roman;Times;serif" w:hAnsi="Times New Roman;Times;serif"/>
          <w:i/>
          <w:sz w:val="20"/>
        </w:rPr>
      </w:pPr>
      <w:r>
        <w:rPr>
          <w:rFonts w:ascii="Times New Roman;Times;serif" w:hAnsi="Times New Roman;Times;serif"/>
          <w:i/>
          <w:sz w:val="20"/>
        </w:rPr>
        <w:t>Youdao</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revenues from our Youdao segment decreased by 6.4% to RMB5.0 billion in 2022 from RMB5.4 billion in 2021. The decrease was mainly due to the conclusion of its Academic AST Business, which was partially offset by increased revenue contribution from its new services and products.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720" w:right="0" w:hanging="0"/>
        <w:jc w:val="left"/>
        <w:rPr>
          <w:rFonts w:ascii="Times New Roman;Times;serif" w:hAnsi="Times New Roman;Times;serif"/>
          <w:i/>
          <w:sz w:val="20"/>
        </w:rPr>
      </w:pPr>
      <w:r>
        <w:rPr>
          <w:rFonts w:ascii="Times New Roman;Times;serif" w:hAnsi="Times New Roman;Times;serif"/>
          <w:i/>
          <w:sz w:val="20"/>
        </w:rPr>
        <w:t>Cloud Music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revenues from our Cloud Music segment increased by 28.5% to RMB9.0 billion in 2022 from RMB7.0 billion in 2021. The increase was mainly attributable to increased revenues from its rapidly-developing social entertainment services, which benefit from a vibrant community culture that encourages content creation and diverse content offerings in a variety of social entertainment formats. Growth in sales of membership subscriptions for its online music services also contributed to the increase in net revenues.</w:t>
      </w:r>
    </w:p>
    <w:p>
      <w:pPr>
        <w:pStyle w:val="TextBody"/>
        <w:bidi w:val="0"/>
        <w:spacing w:before="0" w:after="240"/>
        <w:ind w:left="720" w:right="0" w:hanging="0"/>
        <w:jc w:val="both"/>
        <w:rPr>
          <w:rFonts w:ascii="Times New Roman;Times;serif" w:hAnsi="Times New Roman;Times;serif"/>
          <w:i/>
          <w:sz w:val="20"/>
        </w:rPr>
      </w:pPr>
      <w:r>
        <w:rPr>
          <w:rFonts w:ascii="Times New Roman;Times;serif" w:hAnsi="Times New Roman;Times;serif"/>
          <w:i/>
          <w:sz w:val="20"/>
        </w:rPr>
        <w:t>Innovative Businesses and Others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revenues from the innovative businesses and others segment increased by 6.6% to RMB7.9 billion in 2022 from RMB7.4 billion in 2021. This increase mainly resulted from an increase in revenue contribution by our Yanxuan and certain other innovative businesses such as e-reading services, which was partially offset by a decrease in net revenues from our advertising business as a result of a relatively more challenging macroeconomic environment in China and the adverse impact of the COVID-19 pandemic.</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Cost of Revenues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cost of revenues increased by 7.6% to RMB43.7 billion in 2022 from RMB40.6 billion in 2021. The year-over-year increase was mainly due to an increase in revenue sharing costs with game developers, talent agencies of live streaming performers and other third parties, royalty fees and staff-related costs. In 2022, costs relating to games and related value-added services, Youdao, Cloud Music and innovative businesses and others represented 63.5%, 5.6%, 17.6% and 13.3% of total cost of revenues, respectively, as compared with 64.0%, 6.0%, 16.9% and 13.1% of the total cost of revenues, respectively, in 2021.</w:t>
      </w:r>
    </w:p>
    <w:p>
      <w:pPr>
        <w:pStyle w:val="TextBody"/>
        <w:bidi w:val="0"/>
        <w:spacing w:before="0" w:after="240"/>
        <w:ind w:left="720" w:right="0" w:hanging="0"/>
        <w:jc w:val="both"/>
        <w:rPr>
          <w:rFonts w:ascii="Times New Roman;Times;serif" w:hAnsi="Times New Roman;Times;serif"/>
          <w:i/>
          <w:sz w:val="20"/>
        </w:rPr>
      </w:pPr>
      <w:r>
        <w:rPr>
          <w:rFonts w:ascii="Times New Roman;Times;serif" w:hAnsi="Times New Roman;Times;serif"/>
          <w:i/>
          <w:sz w:val="20"/>
        </w:rPr>
        <w:t>Games and Related Value-added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Cost of revenues from our games and related value-added services increased by 6.8% to RMB27.8 billion in 2022 from RMB26.0 billion in 2021. The increase in cost of revenues in 2022 was primarily due to (i) an increase in revenue sharing costs with game developers and other third parties, as a result of the increased revenue from our various in-house developed games and licensed games in 2022, the one-off recognition of royalty fees related to certain licensed games, as well as the increased revenue from NetEase CC live streaming, and (ii) an increase in staff-related costs.</w:t>
      </w:r>
    </w:p>
    <w:p>
      <w:pPr>
        <w:pStyle w:val="TextBody"/>
        <w:bidi w:val="0"/>
        <w:spacing w:before="0" w:after="240"/>
        <w:ind w:left="720" w:right="0" w:hanging="0"/>
        <w:jc w:val="both"/>
        <w:rPr>
          <w:rFonts w:ascii="Times New Roman;Times;serif" w:hAnsi="Times New Roman;Times;serif"/>
          <w:i/>
          <w:sz w:val="20"/>
        </w:rPr>
      </w:pPr>
      <w:r>
        <w:rPr>
          <w:rFonts w:ascii="Times New Roman;Times;serif" w:hAnsi="Times New Roman;Times;serif"/>
          <w:i/>
          <w:sz w:val="20"/>
        </w:rPr>
        <w:t>Youdao</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Cost of revenues from Youdao was RMB2.4 billion for each of 2022 and 2021. The slight decrease of 0.7% was primarily attributable to decreased staff-related costs, partially offset by the increased cost of smart devices sold.</w:t>
      </w:r>
    </w:p>
    <w:p>
      <w:pPr>
        <w:pStyle w:val="TextBody"/>
        <w:bidi w:val="0"/>
        <w:spacing w:before="0" w:after="240"/>
        <w:ind w:left="720" w:right="0" w:hanging="0"/>
        <w:jc w:val="both"/>
        <w:rPr>
          <w:rFonts w:ascii="Times New Roman;Times;serif" w:hAnsi="Times New Roman;Times;serif"/>
          <w:i/>
          <w:sz w:val="20"/>
        </w:rPr>
      </w:pPr>
      <w:r>
        <w:rPr>
          <w:rFonts w:ascii="Times New Roman;Times;serif" w:hAnsi="Times New Roman;Times;serif"/>
          <w:i/>
          <w:sz w:val="20"/>
        </w:rPr>
        <w:t>Cloud Music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Cost of revenues from Cloud Music increased by 12.3% to RMB7.7 billion in 2022 from RMB6.9 billion in 2021, which was primarily attributable to an increase in revenue sharing costs in line with the rapid growth of its revenue from social entertainment services.</w:t>
      </w:r>
    </w:p>
    <w:p>
      <w:pPr>
        <w:pStyle w:val="TextBody"/>
        <w:bidi w:val="0"/>
        <w:spacing w:before="0" w:after="240"/>
        <w:ind w:left="720" w:right="0" w:hanging="0"/>
        <w:jc w:val="both"/>
        <w:rPr>
          <w:rFonts w:ascii="Times New Roman;Times;serif" w:hAnsi="Times New Roman;Times;serif"/>
          <w:i/>
          <w:sz w:val="20"/>
        </w:rPr>
      </w:pPr>
      <w:r>
        <w:rPr>
          <w:rFonts w:ascii="Times New Roman;Times;serif" w:hAnsi="Times New Roman;Times;serif"/>
          <w:i/>
          <w:sz w:val="20"/>
        </w:rPr>
        <w:t>Innovative Businesses and Others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Cost of revenues from our innovative businesses and others increased by 9.2% to RMB5.8 billion in 2022 from RMB5.3 billion in 2021. The increase in cost of revenues in 2022 was primarily due to increased cost of merchandise sold in our e-commerce business resulting from increased sales volume, revenue sharing related to our e-reading services as well as increased staff-related costs.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Gross Profit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gross profit increased by 12.3% to RMB52.8 billion in 2022 from RMB47.0 billion in 2021.</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sets forth the consolidated gross profits and gross profit margins of our business activities for the periods indicated as derived from our audited financial statements. The gross profit margins in 2021 and 2022 were calculated by dividing our gross profits over our net revenues for the corresponding type of services.</w:t>
      </w:r>
    </w:p>
    <w:p>
      <w:pPr>
        <w:pStyle w:val="TextBody"/>
        <w:bidi w:val="0"/>
        <w:spacing w:before="0" w:after="0"/>
        <w:ind w:left="0" w:right="0" w:hanging="0"/>
        <w:jc w:val="left"/>
        <w:rPr/>
      </w:pPr>
      <w:r>
        <w:rPr/>
        <w:t>​</w:t>
      </w:r>
    </w:p>
    <w:tbl>
      <w:tblPr>
        <w:tblW w:w="6508" w:type="dxa"/>
        <w:jc w:val="left"/>
        <w:tblInd w:w="0" w:type="dxa"/>
        <w:tblLayout w:type="fixed"/>
        <w:tblCellMar>
          <w:top w:w="0" w:type="dxa"/>
          <w:left w:w="0" w:type="dxa"/>
          <w:bottom w:w="0" w:type="dxa"/>
          <w:right w:w="0" w:type="dxa"/>
        </w:tblCellMar>
      </w:tblPr>
      <w:tblGrid>
        <w:gridCol w:w="3346"/>
        <w:gridCol w:w="326"/>
        <w:gridCol w:w="1073"/>
        <w:gridCol w:w="373"/>
        <w:gridCol w:w="1074"/>
        <w:gridCol w:w="316"/>
      </w:tblGrid>
      <w:tr>
        <w:trPr/>
        <w:tc>
          <w:tcPr>
            <w:tcW w:w="3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124710" cy="175260"/>
                      <wp:effectExtent l="0" t="0" r="0" b="0"/>
                      <wp:wrapNone/>
                      <wp:docPr id="91" name="Frame90"/>
                      <a:graphic xmlns:a="http://schemas.openxmlformats.org/drawingml/2006/main">
                        <a:graphicData uri="http://schemas.microsoft.com/office/word/2010/wordprocessingShape">
                          <wps:wsp>
                            <wps:cNvSpPr txBox="1"/>
                            <wps:spPr>
                              <a:xfrm>
                                <a:off x="0" y="0"/>
                                <a:ext cx="2124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07010" cy="175260"/>
                      <wp:effectExtent l="0" t="0" r="0" b="0"/>
                      <wp:wrapNone/>
                      <wp:docPr id="92" name="Frame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81355" cy="175260"/>
                      <wp:effectExtent l="0" t="0" r="0" b="0"/>
                      <wp:wrapNone/>
                      <wp:docPr id="93" name="Frame92"/>
                      <a:graphic xmlns:a="http://schemas.openxmlformats.org/drawingml/2006/main">
                        <a:graphicData uri="http://schemas.microsoft.com/office/word/2010/wordprocessingShape">
                          <wps:wsp>
                            <wps:cNvSpPr txBox="1"/>
                            <wps:spPr>
                              <a:xfrm>
                                <a:off x="0" y="0"/>
                                <a:ext cx="681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36855" cy="175260"/>
                      <wp:effectExtent l="0" t="0" r="0" b="0"/>
                      <wp:wrapNone/>
                      <wp:docPr id="94" name="Frame93"/>
                      <a:graphic xmlns:a="http://schemas.openxmlformats.org/drawingml/2006/main">
                        <a:graphicData uri="http://schemas.microsoft.com/office/word/2010/wordprocessingShape">
                          <wps:wsp>
                            <wps:cNvSpPr txBox="1"/>
                            <wps:spPr>
                              <a:xfrm>
                                <a:off x="0" y="0"/>
                                <a:ext cx="236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81990" cy="175260"/>
                      <wp:effectExtent l="0" t="0" r="0" b="0"/>
                      <wp:wrapNone/>
                      <wp:docPr id="95" name="Frame94"/>
                      <a:graphic xmlns:a="http://schemas.openxmlformats.org/drawingml/2006/main">
                        <a:graphicData uri="http://schemas.microsoft.com/office/word/2010/wordprocessingShape">
                          <wps:wsp>
                            <wps:cNvSpPr txBox="1"/>
                            <wps:spPr>
                              <a:xfrm>
                                <a:off x="0" y="0"/>
                                <a:ext cx="681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0660" cy="175260"/>
                      <wp:effectExtent l="0" t="0" r="0" b="0"/>
                      <wp:wrapNone/>
                      <wp:docPr id="96" name="Frame9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52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c>
          <w:tcPr>
            <w:tcW w:w="316" w:type="dxa"/>
            <w:tcBorders/>
            <w:vAlign w:val="center"/>
          </w:tcPr>
          <w:p>
            <w:pPr>
              <w:pStyle w:val="TableContents"/>
              <w:bidi w:val="0"/>
              <w:spacing w:before="0" w:after="0"/>
              <w:ind w:left="0" w:right="0" w:hanging="0"/>
              <w:jc w:val="center"/>
              <w:rPr/>
            </w:pPr>
            <w:r>
              <w:rPr/>
              <w:t> </w:t>
            </w:r>
          </w:p>
        </w:tc>
      </w:tr>
      <w:tr>
        <w:trPr/>
        <w:tc>
          <w:tcPr>
            <w:tcW w:w="33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7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73" w:type="dxa"/>
            <w:tcBorders/>
            <w:vAlign w:val="center"/>
          </w:tcPr>
          <w:p>
            <w:pPr>
              <w:pStyle w:val="TableContents"/>
              <w:bidi w:val="0"/>
              <w:spacing w:before="0" w:after="0"/>
              <w:ind w:left="0" w:right="0" w:hanging="0"/>
              <w:jc w:val="left"/>
              <w:rPr/>
            </w:pPr>
            <w:r>
              <w:rPr/>
              <w:t>    </w:t>
            </w:r>
          </w:p>
        </w:tc>
        <w:tc>
          <w:tcPr>
            <w:tcW w:w="107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16" w:type="dxa"/>
            <w:tcBorders/>
            <w:vAlign w:val="center"/>
          </w:tcPr>
          <w:p>
            <w:pPr>
              <w:pStyle w:val="TableContents"/>
              <w:bidi w:val="0"/>
              <w:spacing w:before="0" w:after="0"/>
              <w:ind w:left="0" w:right="0" w:hanging="0"/>
              <w:jc w:val="center"/>
              <w:rPr/>
            </w:pPr>
            <w:r>
              <w:rPr/>
              <w:t> </w:t>
            </w:r>
          </w:p>
        </w:tc>
      </w:tr>
      <w:tr>
        <w:trPr/>
        <w:tc>
          <w:tcPr>
            <w:tcW w:w="33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7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73" w:type="dxa"/>
            <w:tcBorders/>
            <w:vAlign w:val="center"/>
          </w:tcPr>
          <w:p>
            <w:pPr>
              <w:pStyle w:val="TableContents"/>
              <w:bidi w:val="0"/>
              <w:spacing w:before="0" w:after="0"/>
              <w:ind w:left="0" w:right="0" w:hanging="0"/>
              <w:jc w:val="left"/>
              <w:rPr/>
            </w:pPr>
            <w:r>
              <w:rPr/>
              <w:t>​</w:t>
            </w:r>
          </w:p>
        </w:tc>
        <w:tc>
          <w:tcPr>
            <w:tcW w:w="107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16" w:type="dxa"/>
            <w:tcBorders/>
            <w:vAlign w:val="center"/>
          </w:tcPr>
          <w:p>
            <w:pPr>
              <w:pStyle w:val="TableContents"/>
              <w:bidi w:val="0"/>
              <w:spacing w:before="0" w:after="0"/>
              <w:ind w:left="0" w:right="0" w:hanging="0"/>
              <w:jc w:val="center"/>
              <w:rPr/>
            </w:pPr>
            <w:r>
              <w:rPr/>
              <w:t> </w:t>
            </w:r>
          </w:p>
        </w:tc>
      </w:tr>
      <w:tr>
        <w:trPr/>
        <w:tc>
          <w:tcPr>
            <w:tcW w:w="6508" w:type="dxa"/>
            <w:gridSpan w:val="6"/>
            <w:tcBorders/>
            <w:vAlign w:val="center"/>
          </w:tcPr>
          <w:p>
            <w:pPr>
              <w:pStyle w:val="TableContents"/>
              <w:bidi w:val="0"/>
              <w:spacing w:before="0" w:after="283"/>
              <w:ind w:left="0" w:right="0" w:hanging="0"/>
              <w:jc w:val="left"/>
              <w:rPr>
                <w:sz w:val="4"/>
                <w:szCs w:val="4"/>
              </w:rPr>
            </w:pPr>
            <w:r>
              <w:rPr>
                <w:sz w:val="4"/>
                <w:szCs w:val="4"/>
              </w:rPr>
            </w:r>
          </w:p>
        </w:tc>
      </w:tr>
      <w:tr>
        <w:trPr/>
        <w:tc>
          <w:tcPr>
            <w:tcW w:w="33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520"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16" w:type="dxa"/>
            <w:tcBorders/>
            <w:vAlign w:val="center"/>
          </w:tcPr>
          <w:p>
            <w:pPr>
              <w:pStyle w:val="TableContents"/>
              <w:bidi w:val="0"/>
              <w:spacing w:before="0" w:after="0"/>
              <w:ind w:left="0" w:right="0" w:hanging="0"/>
              <w:jc w:val="center"/>
              <w:rPr/>
            </w:pPr>
            <w:r>
              <w:rPr/>
              <w:t> </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1073" w:type="dxa"/>
            <w:tcBorders/>
            <w:shd w:fill="CCEEFF" w:val="clear"/>
            <w:vAlign w:val="center"/>
          </w:tcPr>
          <w:p>
            <w:pPr>
              <w:pStyle w:val="TableContents"/>
              <w:bidi w:val="0"/>
              <w:spacing w:before="0" w:after="0"/>
              <w:ind w:left="0" w:right="0" w:hanging="0"/>
              <w:jc w:val="left"/>
              <w:rPr/>
            </w:pPr>
            <w:r>
              <w:rPr/>
              <w:t>​</w:t>
            </w:r>
          </w:p>
        </w:tc>
        <w:tc>
          <w:tcPr>
            <w:tcW w:w="373" w:type="dxa"/>
            <w:tcBorders/>
            <w:shd w:fill="CCEEFF" w:val="clear"/>
            <w:vAlign w:val="center"/>
          </w:tcPr>
          <w:p>
            <w:pPr>
              <w:pStyle w:val="TableContents"/>
              <w:bidi w:val="0"/>
              <w:spacing w:before="0" w:after="0"/>
              <w:ind w:left="0" w:right="0" w:hanging="0"/>
              <w:jc w:val="left"/>
              <w:rPr/>
            </w:pPr>
            <w:r>
              <w:rPr/>
              <w:t>​</w:t>
            </w:r>
          </w:p>
        </w:tc>
        <w:tc>
          <w:tcPr>
            <w:tcW w:w="1074"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Games and related value-added services</w:t>
            </w:r>
          </w:p>
        </w:tc>
        <w:tc>
          <w:tcPr>
            <w:tcW w:w="326" w:type="dxa"/>
            <w:tcBorders/>
            <w:vAlign w:val="center"/>
          </w:tcPr>
          <w:p>
            <w:pPr>
              <w:pStyle w:val="TableContents"/>
              <w:bidi w:val="0"/>
              <w:spacing w:before="0" w:after="0"/>
              <w:ind w:left="0" w:right="0" w:hanging="0"/>
              <w:jc w:val="left"/>
              <w:rPr/>
            </w:pPr>
            <w:r>
              <w:rPr/>
              <w:t> </w:t>
            </w:r>
          </w:p>
        </w:tc>
        <w:tc>
          <w:tcPr>
            <w:tcW w:w="10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41,811,876</w:t>
            </w:r>
          </w:p>
        </w:tc>
        <w:tc>
          <w:tcPr>
            <w:tcW w:w="373" w:type="dxa"/>
            <w:tcBorders/>
            <w:vAlign w:val="center"/>
          </w:tcPr>
          <w:p>
            <w:pPr>
              <w:pStyle w:val="TableContents"/>
              <w:bidi w:val="0"/>
              <w:spacing w:before="0" w:after="0"/>
              <w:ind w:left="0" w:right="0" w:hanging="0"/>
              <w:jc w:val="left"/>
              <w:rPr/>
            </w:pPr>
            <w:r>
              <w:rPr/>
              <w:t> </w:t>
            </w:r>
          </w:p>
        </w:tc>
        <w:tc>
          <w:tcPr>
            <w:tcW w:w="10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46,782,052</w:t>
            </w:r>
          </w:p>
        </w:tc>
        <w:tc>
          <w:tcPr>
            <w:tcW w:w="316" w:type="dxa"/>
            <w:tcBorders/>
            <w:vAlign w:val="center"/>
          </w:tcPr>
          <w:p>
            <w:pPr>
              <w:pStyle w:val="TableContents"/>
              <w:bidi w:val="0"/>
              <w:spacing w:before="0" w:after="0"/>
              <w:ind w:left="0" w:right="0" w:hanging="0"/>
              <w:jc w:val="left"/>
              <w:rPr/>
            </w:pPr>
            <w:r>
              <w:rPr/>
              <w:t>​</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Youdao</w:t>
            </w:r>
          </w:p>
        </w:tc>
        <w:tc>
          <w:tcPr>
            <w:tcW w:w="326" w:type="dxa"/>
            <w:tcBorders/>
            <w:shd w:fill="CCEEFF" w:val="clear"/>
            <w:vAlign w:val="center"/>
          </w:tcPr>
          <w:p>
            <w:pPr>
              <w:pStyle w:val="TableContents"/>
              <w:bidi w:val="0"/>
              <w:spacing w:before="0" w:after="0"/>
              <w:ind w:left="0" w:right="0" w:hanging="0"/>
              <w:jc w:val="left"/>
              <w:rPr/>
            </w:pPr>
            <w:r>
              <w:rPr/>
              <w:t> </w:t>
            </w:r>
          </w:p>
        </w:tc>
        <w:tc>
          <w:tcPr>
            <w:tcW w:w="10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2,906,211</w:t>
            </w:r>
          </w:p>
        </w:tc>
        <w:tc>
          <w:tcPr>
            <w:tcW w:w="373" w:type="dxa"/>
            <w:tcBorders/>
            <w:shd w:fill="CCEEFF" w:val="clear"/>
            <w:vAlign w:val="center"/>
          </w:tcPr>
          <w:p>
            <w:pPr>
              <w:pStyle w:val="TableContents"/>
              <w:bidi w:val="0"/>
              <w:spacing w:before="0" w:after="0"/>
              <w:ind w:left="0" w:right="0" w:hanging="0"/>
              <w:jc w:val="left"/>
              <w:rPr/>
            </w:pPr>
            <w:r>
              <w:rPr/>
              <w:t> </w:t>
            </w:r>
          </w:p>
        </w:tc>
        <w:tc>
          <w:tcPr>
            <w:tcW w:w="10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2,582,444</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Cloud Music</w:t>
            </w:r>
          </w:p>
        </w:tc>
        <w:tc>
          <w:tcPr>
            <w:tcW w:w="326" w:type="dxa"/>
            <w:tcBorders/>
            <w:vAlign w:val="center"/>
          </w:tcPr>
          <w:p>
            <w:pPr>
              <w:pStyle w:val="TableContents"/>
              <w:bidi w:val="0"/>
              <w:spacing w:before="0" w:after="0"/>
              <w:ind w:left="0" w:right="0" w:hanging="0"/>
              <w:jc w:val="left"/>
              <w:rPr/>
            </w:pPr>
            <w:r>
              <w:rPr/>
              <w:t> </w:t>
            </w:r>
          </w:p>
        </w:tc>
        <w:tc>
          <w:tcPr>
            <w:tcW w:w="10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142,674</w:t>
            </w:r>
          </w:p>
        </w:tc>
        <w:tc>
          <w:tcPr>
            <w:tcW w:w="373" w:type="dxa"/>
            <w:tcBorders/>
            <w:vAlign w:val="center"/>
          </w:tcPr>
          <w:p>
            <w:pPr>
              <w:pStyle w:val="TableContents"/>
              <w:bidi w:val="0"/>
              <w:spacing w:before="0" w:after="0"/>
              <w:ind w:left="0" w:right="0" w:hanging="0"/>
              <w:jc w:val="left"/>
              <w:rPr/>
            </w:pPr>
            <w:r>
              <w:rPr/>
              <w:t> </w:t>
            </w:r>
          </w:p>
        </w:tc>
        <w:tc>
          <w:tcPr>
            <w:tcW w:w="10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1,293,118</w:t>
            </w:r>
          </w:p>
        </w:tc>
        <w:tc>
          <w:tcPr>
            <w:tcW w:w="316" w:type="dxa"/>
            <w:tcBorders/>
            <w:vAlign w:val="center"/>
          </w:tcPr>
          <w:p>
            <w:pPr>
              <w:pStyle w:val="TableContents"/>
              <w:bidi w:val="0"/>
              <w:spacing w:before="0" w:after="0"/>
              <w:ind w:left="0" w:right="0" w:hanging="0"/>
              <w:jc w:val="left"/>
              <w:rPr/>
            </w:pPr>
            <w:r>
              <w:rPr/>
              <w:t>​</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Innovative businesses and others</w:t>
            </w:r>
          </w:p>
        </w:tc>
        <w:tc>
          <w:tcPr>
            <w:tcW w:w="326" w:type="dxa"/>
            <w:tcBorders/>
            <w:shd w:fill="CCEEFF" w:val="clear"/>
            <w:vAlign w:val="center"/>
          </w:tcPr>
          <w:p>
            <w:pPr>
              <w:pStyle w:val="TableContents"/>
              <w:bidi w:val="0"/>
              <w:spacing w:before="0" w:after="0"/>
              <w:ind w:left="0" w:right="0" w:hanging="0"/>
              <w:jc w:val="left"/>
              <w:rPr/>
            </w:pPr>
            <w:r>
              <w:rPr/>
              <w:t> </w:t>
            </w:r>
          </w:p>
        </w:tc>
        <w:tc>
          <w:tcPr>
            <w:tcW w:w="10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2,110,040</w:t>
            </w:r>
          </w:p>
        </w:tc>
        <w:tc>
          <w:tcPr>
            <w:tcW w:w="373" w:type="dxa"/>
            <w:tcBorders/>
            <w:shd w:fill="CCEEFF" w:val="clear"/>
            <w:vAlign w:val="center"/>
          </w:tcPr>
          <w:p>
            <w:pPr>
              <w:pStyle w:val="TableContents"/>
              <w:bidi w:val="0"/>
              <w:spacing w:before="0" w:after="0"/>
              <w:ind w:left="0" w:right="0" w:hanging="0"/>
              <w:jc w:val="left"/>
              <w:rPr/>
            </w:pPr>
            <w:r>
              <w:rPr/>
              <w:t> </w:t>
            </w:r>
          </w:p>
        </w:tc>
        <w:tc>
          <w:tcPr>
            <w:tcW w:w="10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2,108,512</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gross profit</w:t>
            </w:r>
          </w:p>
        </w:tc>
        <w:tc>
          <w:tcPr>
            <w:tcW w:w="326" w:type="dxa"/>
            <w:tcBorders/>
            <w:vAlign w:val="center"/>
          </w:tcPr>
          <w:p>
            <w:pPr>
              <w:pStyle w:val="TableContents"/>
              <w:bidi w:val="0"/>
              <w:spacing w:before="0" w:after="0"/>
              <w:ind w:left="0" w:right="0" w:hanging="0"/>
              <w:jc w:val="left"/>
              <w:rPr/>
            </w:pPr>
            <w:r>
              <w:rPr/>
              <w:t> </w:t>
            </w:r>
          </w:p>
        </w:tc>
        <w:tc>
          <w:tcPr>
            <w:tcW w:w="107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46,970,801</w:t>
            </w:r>
          </w:p>
        </w:tc>
        <w:tc>
          <w:tcPr>
            <w:tcW w:w="373" w:type="dxa"/>
            <w:tcBorders/>
            <w:vAlign w:val="center"/>
          </w:tcPr>
          <w:p>
            <w:pPr>
              <w:pStyle w:val="TableContents"/>
              <w:bidi w:val="0"/>
              <w:spacing w:before="0" w:after="0"/>
              <w:ind w:left="0" w:right="0" w:hanging="0"/>
              <w:jc w:val="left"/>
              <w:rPr/>
            </w:pPr>
            <w:r>
              <w:rPr/>
              <w:t> </w:t>
            </w:r>
          </w:p>
        </w:tc>
        <w:tc>
          <w:tcPr>
            <w:tcW w:w="10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52,766,126</w:t>
            </w:r>
          </w:p>
        </w:tc>
        <w:tc>
          <w:tcPr>
            <w:tcW w:w="316" w:type="dxa"/>
            <w:tcBorders/>
            <w:vAlign w:val="center"/>
          </w:tcPr>
          <w:p>
            <w:pPr>
              <w:pStyle w:val="TableContents"/>
              <w:bidi w:val="0"/>
              <w:spacing w:before="0" w:after="0"/>
              <w:ind w:left="0" w:right="0" w:hanging="0"/>
              <w:jc w:val="left"/>
              <w:rPr/>
            </w:pPr>
            <w:r>
              <w:rPr/>
              <w:t>​</w:t>
            </w:r>
          </w:p>
        </w:tc>
      </w:tr>
      <w:tr>
        <w:trPr/>
        <w:tc>
          <w:tcPr>
            <w:tcW w:w="33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73" w:type="dxa"/>
            <w:tcBorders/>
            <w:shd w:fill="CCEEFF" w:val="clear"/>
            <w:vAlign w:val="center"/>
          </w:tcPr>
          <w:p>
            <w:pPr>
              <w:pStyle w:val="TableContents"/>
              <w:bidi w:val="0"/>
              <w:spacing w:before="0" w:after="0"/>
              <w:ind w:left="0" w:right="0" w:hanging="0"/>
              <w:jc w:val="right"/>
              <w:rPr/>
            </w:pPr>
            <w:r>
              <w:rPr/>
              <w:t>​</w:t>
            </w:r>
          </w:p>
        </w:tc>
        <w:tc>
          <w:tcPr>
            <w:tcW w:w="373" w:type="dxa"/>
            <w:tcBorders/>
            <w:shd w:fill="CCEEFF" w:val="clear"/>
            <w:vAlign w:val="center"/>
          </w:tcPr>
          <w:p>
            <w:pPr>
              <w:pStyle w:val="TableContents"/>
              <w:bidi w:val="0"/>
              <w:spacing w:before="0" w:after="0"/>
              <w:ind w:left="0" w:right="0" w:hanging="0"/>
              <w:jc w:val="left"/>
              <w:rPr/>
            </w:pPr>
            <w:r>
              <w:rPr/>
              <w:t>​</w:t>
            </w:r>
          </w:p>
        </w:tc>
        <w:tc>
          <w:tcPr>
            <w:tcW w:w="1074"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3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Gross profit margin:</w:t>
            </w:r>
          </w:p>
        </w:tc>
        <w:tc>
          <w:tcPr>
            <w:tcW w:w="326" w:type="dxa"/>
            <w:tcBorders/>
            <w:vAlign w:val="center"/>
          </w:tcPr>
          <w:p>
            <w:pPr>
              <w:pStyle w:val="TableContents"/>
              <w:bidi w:val="0"/>
              <w:spacing w:before="0" w:after="0"/>
              <w:ind w:left="0" w:right="0" w:hanging="0"/>
              <w:jc w:val="left"/>
              <w:rPr/>
            </w:pPr>
            <w:r>
              <w:rPr/>
              <w:t> </w:t>
            </w:r>
          </w:p>
        </w:tc>
        <w:tc>
          <w:tcPr>
            <w:tcW w:w="1073" w:type="dxa"/>
            <w:tcBorders/>
            <w:vAlign w:val="center"/>
          </w:tcPr>
          <w:p>
            <w:pPr>
              <w:pStyle w:val="TableContents"/>
              <w:bidi w:val="0"/>
              <w:spacing w:before="0" w:after="0"/>
              <w:ind w:left="0" w:right="0" w:hanging="0"/>
              <w:jc w:val="right"/>
              <w:rPr/>
            </w:pPr>
            <w:r>
              <w:rPr/>
              <w:t>​</w:t>
            </w:r>
          </w:p>
        </w:tc>
        <w:tc>
          <w:tcPr>
            <w:tcW w:w="373" w:type="dxa"/>
            <w:tcBorders/>
            <w:vAlign w:val="center"/>
          </w:tcPr>
          <w:p>
            <w:pPr>
              <w:pStyle w:val="TableContents"/>
              <w:bidi w:val="0"/>
              <w:spacing w:before="0" w:after="0"/>
              <w:ind w:left="0" w:right="0" w:hanging="0"/>
              <w:jc w:val="left"/>
              <w:rPr/>
            </w:pPr>
            <w:r>
              <w:rPr/>
              <w:t> </w:t>
            </w:r>
          </w:p>
        </w:tc>
        <w:tc>
          <w:tcPr>
            <w:tcW w:w="1074"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Games and related value-added services</w:t>
            </w:r>
          </w:p>
        </w:tc>
        <w:tc>
          <w:tcPr>
            <w:tcW w:w="326" w:type="dxa"/>
            <w:tcBorders/>
            <w:shd w:fill="CCEEFF" w:val="clear"/>
            <w:vAlign w:val="center"/>
          </w:tcPr>
          <w:p>
            <w:pPr>
              <w:pStyle w:val="TableContents"/>
              <w:bidi w:val="0"/>
              <w:spacing w:before="0" w:after="0"/>
              <w:ind w:left="0" w:right="0" w:hanging="0"/>
              <w:jc w:val="left"/>
              <w:rPr/>
            </w:pPr>
            <w:r>
              <w:rPr/>
              <w:t> </w:t>
            </w:r>
          </w:p>
        </w:tc>
        <w:tc>
          <w:tcPr>
            <w:tcW w:w="10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w:t>
            </w:r>
          </w:p>
        </w:tc>
        <w:tc>
          <w:tcPr>
            <w:tcW w:w="3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Youdao</w:t>
            </w:r>
          </w:p>
        </w:tc>
        <w:tc>
          <w:tcPr>
            <w:tcW w:w="326" w:type="dxa"/>
            <w:tcBorders/>
            <w:vAlign w:val="center"/>
          </w:tcPr>
          <w:p>
            <w:pPr>
              <w:pStyle w:val="TableContents"/>
              <w:bidi w:val="0"/>
              <w:spacing w:before="0" w:after="0"/>
              <w:ind w:left="0" w:right="0" w:hanging="0"/>
              <w:jc w:val="left"/>
              <w:rPr/>
            </w:pPr>
            <w:r>
              <w:rPr/>
              <w:t> </w:t>
            </w:r>
          </w:p>
        </w:tc>
        <w:tc>
          <w:tcPr>
            <w:tcW w:w="10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54.3</w:t>
            </w:r>
          </w:p>
        </w:tc>
        <w:tc>
          <w:tcPr>
            <w:tcW w:w="3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Cloud Music</w:t>
            </w:r>
          </w:p>
        </w:tc>
        <w:tc>
          <w:tcPr>
            <w:tcW w:w="326" w:type="dxa"/>
            <w:tcBorders/>
            <w:shd w:fill="CCEEFF" w:val="clear"/>
            <w:vAlign w:val="center"/>
          </w:tcPr>
          <w:p>
            <w:pPr>
              <w:pStyle w:val="TableContents"/>
              <w:bidi w:val="0"/>
              <w:spacing w:before="0" w:after="0"/>
              <w:ind w:left="0" w:right="0" w:hanging="0"/>
              <w:jc w:val="left"/>
              <w:rPr/>
            </w:pPr>
            <w:r>
              <w:rPr/>
              <w:t> </w:t>
            </w:r>
          </w:p>
        </w:tc>
        <w:tc>
          <w:tcPr>
            <w:tcW w:w="10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Innovative businesses and others</w:t>
            </w:r>
          </w:p>
        </w:tc>
        <w:tc>
          <w:tcPr>
            <w:tcW w:w="326" w:type="dxa"/>
            <w:tcBorders/>
            <w:vAlign w:val="center"/>
          </w:tcPr>
          <w:p>
            <w:pPr>
              <w:pStyle w:val="TableContents"/>
              <w:bidi w:val="0"/>
              <w:spacing w:before="0" w:after="0"/>
              <w:ind w:left="0" w:right="0" w:hanging="0"/>
              <w:jc w:val="left"/>
              <w:rPr/>
            </w:pPr>
            <w:r>
              <w:rPr/>
              <w:t> </w:t>
            </w:r>
          </w:p>
        </w:tc>
        <w:tc>
          <w:tcPr>
            <w:tcW w:w="10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w:t>
            </w:r>
          </w:p>
        </w:tc>
        <w:tc>
          <w:tcPr>
            <w:tcW w:w="3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gross profit margin</w:t>
            </w:r>
          </w:p>
        </w:tc>
        <w:tc>
          <w:tcPr>
            <w:tcW w:w="326" w:type="dxa"/>
            <w:tcBorders/>
            <w:shd w:fill="CCEEFF" w:val="clear"/>
            <w:vAlign w:val="center"/>
          </w:tcPr>
          <w:p>
            <w:pPr>
              <w:pStyle w:val="TableContents"/>
              <w:bidi w:val="0"/>
              <w:spacing w:before="0" w:after="0"/>
              <w:ind w:left="0" w:right="0" w:hanging="0"/>
              <w:jc w:val="left"/>
              <w:rPr/>
            </w:pPr>
            <w:r>
              <w:rPr/>
              <w:t> </w:t>
            </w:r>
          </w:p>
        </w:tc>
        <w:tc>
          <w:tcPr>
            <w:tcW w:w="10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w:t>
            </w:r>
          </w:p>
        </w:tc>
        <w:tc>
          <w:tcPr>
            <w:tcW w:w="3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increase in gross profit margin in 2022 for games and related value-added services was primarily attributable to increased contribution from our in-house developed PC games, which have a relatively higher gross profit margin, as a percentage of our operation of online games revenues, as well as changes in the revenue contribution from different platforms. The decrease in gross profit margin in 2022 for Youdao was mainly due to the conclusion of its Academic AST Business. The improvement in gross profit margin in 2022 for Cloud Music was mainly due to enhanced economies of scale in its business and cost controls. The gross profit margin in innovative businesses and others decreased from 2021 to 2022 mainly due to decreased gross profit from our advertising business.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Operating Expenses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Total operating expenses increased by 8.5% to RMB33.1 billion in 2022 from RMB30.6 billion in 2021 as a result of increased staff-related costs and marketing expenditures related to online games, Cloud Music and Yanxuan. The following table sets forth our operating expenses for the periods indicated as derived from our audited financial statements.</w:t>
      </w:r>
    </w:p>
    <w:p>
      <w:pPr>
        <w:pStyle w:val="TextBody"/>
        <w:bidi w:val="0"/>
        <w:spacing w:before="0" w:after="0"/>
        <w:ind w:left="0" w:right="0" w:hanging="0"/>
        <w:jc w:val="left"/>
        <w:rPr/>
      </w:pPr>
      <w:r>
        <w:rPr/>
        <w:t>​</w:t>
      </w:r>
    </w:p>
    <w:tbl>
      <w:tblPr>
        <w:tblW w:w="6100" w:type="dxa"/>
        <w:jc w:val="left"/>
        <w:tblInd w:w="0" w:type="dxa"/>
        <w:tblLayout w:type="fixed"/>
        <w:tblCellMar>
          <w:top w:w="0" w:type="dxa"/>
          <w:left w:w="0" w:type="dxa"/>
          <w:bottom w:w="0" w:type="dxa"/>
          <w:right w:w="0" w:type="dxa"/>
        </w:tblCellMar>
      </w:tblPr>
      <w:tblGrid>
        <w:gridCol w:w="3091"/>
        <w:gridCol w:w="326"/>
        <w:gridCol w:w="1156"/>
        <w:gridCol w:w="326"/>
        <w:gridCol w:w="1201"/>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962785" cy="175260"/>
                      <wp:effectExtent l="0" t="0" r="0" b="0"/>
                      <wp:wrapNone/>
                      <wp:docPr id="97" name="Frame96"/>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07010" cy="175260"/>
                      <wp:effectExtent l="0" t="0" r="0" b="0"/>
                      <wp:wrapNone/>
                      <wp:docPr id="98" name="Frame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734060" cy="175260"/>
                      <wp:effectExtent l="0" t="0" r="0" b="0"/>
                      <wp:wrapNone/>
                      <wp:docPr id="99" name="Frame98"/>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07010" cy="175260"/>
                      <wp:effectExtent l="0" t="0" r="0" b="0"/>
                      <wp:wrapNone/>
                      <wp:docPr id="100" name="Frame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762635" cy="175260"/>
                      <wp:effectExtent l="0" t="0" r="0" b="0"/>
                      <wp:wrapNone/>
                      <wp:docPr id="101" name="Frame100"/>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68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center"/>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6100" w:type="dxa"/>
            <w:gridSpan w:val="5"/>
            <w:tcBorders/>
            <w:vAlign w:val="center"/>
          </w:tcPr>
          <w:p>
            <w:pPr>
              <w:pStyle w:val="TableContents"/>
              <w:bidi w:val="0"/>
              <w:spacing w:before="0" w:after="283"/>
              <w:ind w:left="0" w:right="0" w:hanging="0"/>
              <w:jc w:val="left"/>
              <w:rPr>
                <w:sz w:val="4"/>
                <w:szCs w:val="4"/>
              </w:rPr>
            </w:pPr>
            <w:r>
              <w:rPr>
                <w:sz w:val="4"/>
                <w:szCs w:val="4"/>
              </w:rPr>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683"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(12,214,191)</w:t>
            </w:r>
          </w:p>
        </w:tc>
        <w:tc>
          <w:tcPr>
            <w:tcW w:w="32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(13,402,721)</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(4,263,549)</w:t>
            </w:r>
          </w:p>
        </w:tc>
        <w:tc>
          <w:tcPr>
            <w:tcW w:w="32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(4,695,798)</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(14,075,991)</w:t>
            </w:r>
          </w:p>
        </w:tc>
        <w:tc>
          <w:tcPr>
            <w:tcW w:w="326" w:type="dxa"/>
            <w:tcBorders/>
            <w:shd w:fill="CCEEFF" w:val="clear"/>
            <w:vAlign w:val="center"/>
          </w:tcPr>
          <w:p>
            <w:pPr>
              <w:pStyle w:val="TableContents"/>
              <w:bidi w:val="0"/>
              <w:spacing w:before="0" w:after="0"/>
              <w:ind w:left="0" w:right="0" w:hanging="0"/>
              <w:jc w:val="left"/>
              <w:rPr/>
            </w:pPr>
            <w:r>
              <w:rPr/>
              <w:t> </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(15,039,014)</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0"/>
              <w:ind w:left="0" w:right="0" w:hanging="0"/>
              <w:jc w:val="left"/>
              <w:rPr/>
            </w:pPr>
            <w:r>
              <w:rPr/>
              <w:t> </w:t>
            </w:r>
          </w:p>
        </w:tc>
        <w:tc>
          <w:tcPr>
            <w:tcW w:w="11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(30,553,731)</w:t>
            </w:r>
          </w:p>
        </w:tc>
        <w:tc>
          <w:tcPr>
            <w:tcW w:w="326" w:type="dxa"/>
            <w:tcBorders/>
            <w:vAlign w:val="center"/>
          </w:tcPr>
          <w:p>
            <w:pPr>
              <w:pStyle w:val="TableContents"/>
              <w:bidi w:val="0"/>
              <w:spacing w:before="0" w:after="0"/>
              <w:ind w:left="0" w:right="0" w:hanging="0"/>
              <w:jc w:val="left"/>
              <w:rPr/>
            </w:pPr>
            <w:r>
              <w:rPr/>
              <w:t> </w:t>
            </w:r>
          </w:p>
        </w:tc>
        <w:tc>
          <w:tcPr>
            <w:tcW w:w="12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(33,137,533)</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Selling and marketing expenses increased by 9.7% to RMB13.4 billion in 2022 from RMB12.2 billion in 2021, primarily due to increased marketing spending on online games, Cloud Music and Yanxuan.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General and administrative expenses increased by 10.1% to RMB4.7 billion in 2022 from RMB4.3 billion in 2021, primarily due to an increase in staff-related costs driven by higher compensation levels and increased headcount, which was partially offset by decreased expected credit losses on our accounts receivables.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Research and development expenses increased by 6.8% to RMB15.0 billion in 2022 from RMB14.1 billion in 2021, primarily due to an increase in staff-related costs, which was partially offset by decreased outsourcing game development expenses.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Other Income/(Expenses)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sets forth our other income/(expenses) for the periods indicated as derived from our audited financial statements.</w:t>
      </w:r>
    </w:p>
    <w:p>
      <w:pPr>
        <w:pStyle w:val="TextBody"/>
        <w:bidi w:val="0"/>
        <w:spacing w:before="0" w:after="0"/>
        <w:ind w:left="0" w:right="0" w:hanging="0"/>
        <w:jc w:val="left"/>
        <w:rPr/>
      </w:pPr>
      <w:r>
        <w:rPr/>
        <w:t>​</w:t>
      </w:r>
    </w:p>
    <w:tbl>
      <w:tblPr>
        <w:tblW w:w="5306" w:type="dxa"/>
        <w:jc w:val="left"/>
        <w:tblInd w:w="0" w:type="dxa"/>
        <w:tblLayout w:type="fixed"/>
        <w:tblCellMar>
          <w:top w:w="0" w:type="dxa"/>
          <w:left w:w="0" w:type="dxa"/>
          <w:bottom w:w="0" w:type="dxa"/>
          <w:right w:w="0" w:type="dxa"/>
        </w:tblCellMar>
      </w:tblPr>
      <w:tblGrid>
        <w:gridCol w:w="2416"/>
        <w:gridCol w:w="326"/>
        <w:gridCol w:w="1069"/>
        <w:gridCol w:w="374"/>
        <w:gridCol w:w="1121"/>
      </w:tblGrid>
      <w:tr>
        <w:trPr/>
        <w:tc>
          <w:tcPr>
            <w:tcW w:w="2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534160" cy="175260"/>
                      <wp:effectExtent l="0" t="0" r="0" b="0"/>
                      <wp:wrapNone/>
                      <wp:docPr id="102" name="Frame101"/>
                      <a:graphic xmlns:a="http://schemas.openxmlformats.org/drawingml/2006/main">
                        <a:graphicData uri="http://schemas.microsoft.com/office/word/2010/wordprocessingShape">
                          <wps:wsp>
                            <wps:cNvSpPr txBox="1"/>
                            <wps:spPr>
                              <a:xfrm>
                                <a:off x="0" y="0"/>
                                <a:ext cx="1534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07010" cy="175260"/>
                      <wp:effectExtent l="0" t="0" r="0" b="0"/>
                      <wp:wrapNone/>
                      <wp:docPr id="103" name="Frame1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78815" cy="175260"/>
                      <wp:effectExtent l="0" t="0" r="0" b="0"/>
                      <wp:wrapNone/>
                      <wp:docPr id="104" name="Frame103"/>
                      <a:graphic xmlns:a="http://schemas.openxmlformats.org/drawingml/2006/main">
                        <a:graphicData uri="http://schemas.microsoft.com/office/word/2010/wordprocessingShape">
                          <wps:wsp>
                            <wps:cNvSpPr txBox="1"/>
                            <wps:spPr>
                              <a:xfrm>
                                <a:off x="0" y="0"/>
                                <a:ext cx="678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37490" cy="175260"/>
                      <wp:effectExtent l="0" t="0" r="0" b="0"/>
                      <wp:wrapNone/>
                      <wp:docPr id="105" name="Frame104"/>
                      <a:graphic xmlns:a="http://schemas.openxmlformats.org/drawingml/2006/main">
                        <a:graphicData uri="http://schemas.microsoft.com/office/word/2010/wordprocessingShape">
                          <wps:wsp>
                            <wps:cNvSpPr txBox="1"/>
                            <wps:spPr>
                              <a:xfrm>
                                <a:off x="0" y="0"/>
                                <a:ext cx="237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711835" cy="175260"/>
                      <wp:effectExtent l="0" t="0" r="0" b="0"/>
                      <wp:wrapNone/>
                      <wp:docPr id="106" name="Frame105"/>
                      <a:graphic xmlns:a="http://schemas.openxmlformats.org/drawingml/2006/main">
                        <a:graphicData uri="http://schemas.microsoft.com/office/word/2010/wordprocessingShape">
                          <wps:wsp>
                            <wps:cNvSpPr txBox="1"/>
                            <wps:spPr>
                              <a:xfrm>
                                <a:off x="0" y="0"/>
                                <a:ext cx="711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564"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24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6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74" w:type="dxa"/>
            <w:tcBorders/>
            <w:vAlign w:val="center"/>
          </w:tcPr>
          <w:p>
            <w:pPr>
              <w:pStyle w:val="TableContents"/>
              <w:bidi w:val="0"/>
              <w:spacing w:before="0" w:after="0"/>
              <w:ind w:left="0" w:right="0" w:hanging="0"/>
              <w:jc w:val="center"/>
              <w:rPr/>
            </w:pPr>
            <w:r>
              <w:rPr/>
              <w:t>    </w:t>
            </w:r>
          </w:p>
        </w:tc>
        <w:tc>
          <w:tcPr>
            <w:tcW w:w="11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4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6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74" w:type="dxa"/>
            <w:tcBorders/>
            <w:vAlign w:val="center"/>
          </w:tcPr>
          <w:p>
            <w:pPr>
              <w:pStyle w:val="TableContents"/>
              <w:bidi w:val="0"/>
              <w:spacing w:before="0" w:after="0"/>
              <w:ind w:left="0" w:right="0" w:hanging="0"/>
              <w:jc w:val="center"/>
              <w:rPr/>
            </w:pPr>
            <w:r>
              <w:rPr/>
              <w:t>​</w:t>
            </w:r>
          </w:p>
        </w:tc>
        <w:tc>
          <w:tcPr>
            <w:tcW w:w="11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5306" w:type="dxa"/>
            <w:gridSpan w:val="5"/>
            <w:tcBorders/>
            <w:vAlign w:val="center"/>
          </w:tcPr>
          <w:p>
            <w:pPr>
              <w:pStyle w:val="TableContents"/>
              <w:bidi w:val="0"/>
              <w:spacing w:before="0" w:after="283"/>
              <w:ind w:left="0" w:right="0" w:hanging="0"/>
              <w:jc w:val="left"/>
              <w:rPr>
                <w:sz w:val="4"/>
                <w:szCs w:val="4"/>
              </w:rPr>
            </w:pPr>
            <w:r>
              <w:rPr>
                <w:sz w:val="4"/>
                <w:szCs w:val="4"/>
              </w:rPr>
            </w:r>
          </w:p>
        </w:tc>
      </w:tr>
      <w:tr>
        <w:trPr/>
        <w:tc>
          <w:tcPr>
            <w:tcW w:w="24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564"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4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69" w:type="dxa"/>
            <w:tcBorders/>
            <w:vAlign w:val="center"/>
          </w:tcPr>
          <w:p>
            <w:pPr>
              <w:pStyle w:val="TableContents"/>
              <w:bidi w:val="0"/>
              <w:spacing w:before="0" w:after="0"/>
              <w:ind w:left="0" w:right="0" w:hanging="0"/>
              <w:jc w:val="left"/>
              <w:rPr/>
            </w:pPr>
            <w:r>
              <w:rPr/>
              <w:t>​</w:t>
            </w:r>
          </w:p>
        </w:tc>
        <w:tc>
          <w:tcPr>
            <w:tcW w:w="374" w:type="dxa"/>
            <w:tcBorders/>
            <w:vAlign w:val="center"/>
          </w:tcPr>
          <w:p>
            <w:pPr>
              <w:pStyle w:val="TableContents"/>
              <w:bidi w:val="0"/>
              <w:spacing w:before="0" w:after="0"/>
              <w:ind w:left="0" w:right="0" w:hanging="0"/>
              <w:jc w:val="left"/>
              <w:rPr/>
            </w:pPr>
            <w:r>
              <w:rPr/>
              <w:t>​</w:t>
            </w:r>
          </w:p>
        </w:tc>
        <w:tc>
          <w:tcPr>
            <w:tcW w:w="1121" w:type="dxa"/>
            <w:tcBorders/>
            <w:vAlign w:val="center"/>
          </w:tcPr>
          <w:p>
            <w:pPr>
              <w:pStyle w:val="TableContents"/>
              <w:bidi w:val="0"/>
              <w:spacing w:before="0" w:after="0"/>
              <w:ind w:left="0" w:right="0" w:hanging="0"/>
              <w:jc w:val="left"/>
              <w:rPr/>
            </w:pPr>
            <w:r>
              <w:rPr/>
              <w:t>​</w:t>
            </w:r>
          </w:p>
        </w:tc>
      </w:tr>
      <w:tr>
        <w:trPr/>
        <w:tc>
          <w:tcPr>
            <w:tcW w:w="2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income, net</w:t>
            </w:r>
          </w:p>
        </w:tc>
        <w:tc>
          <w:tcPr>
            <w:tcW w:w="326" w:type="dxa"/>
            <w:tcBorders/>
            <w:shd w:fill="CCEEFF" w:val="clear"/>
            <w:vAlign w:val="center"/>
          </w:tcPr>
          <w:p>
            <w:pPr>
              <w:pStyle w:val="TableContents"/>
              <w:bidi w:val="0"/>
              <w:spacing w:before="0" w:after="0"/>
              <w:ind w:left="0" w:right="0" w:hanging="0"/>
              <w:jc w:val="left"/>
              <w:rPr/>
            </w:pPr>
            <w:r>
              <w:rPr/>
              <w:t> </w:t>
            </w:r>
          </w:p>
        </w:tc>
        <w:tc>
          <w:tcPr>
            <w:tcW w:w="10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2,947,721</w:t>
            </w:r>
          </w:p>
        </w:tc>
        <w:tc>
          <w:tcPr>
            <w:tcW w:w="374" w:type="dxa"/>
            <w:tcBorders/>
            <w:shd w:fill="CCEEFF" w:val="clear"/>
            <w:vAlign w:val="center"/>
          </w:tcPr>
          <w:p>
            <w:pPr>
              <w:pStyle w:val="TableContents"/>
              <w:bidi w:val="0"/>
              <w:spacing w:before="0" w:after="0"/>
              <w:ind w:left="0" w:right="0" w:hanging="0"/>
              <w:jc w:val="left"/>
              <w:rPr/>
            </w:pPr>
            <w:r>
              <w:rPr/>
              <w:t> </w:t>
            </w:r>
          </w:p>
        </w:tc>
        <w:tc>
          <w:tcPr>
            <w:tcW w:w="11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53,976</w:t>
            </w:r>
          </w:p>
        </w:tc>
      </w:tr>
      <w:tr>
        <w:trPr/>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net</w:t>
            </w:r>
          </w:p>
        </w:tc>
        <w:tc>
          <w:tcPr>
            <w:tcW w:w="326" w:type="dxa"/>
            <w:tcBorders/>
            <w:vAlign w:val="center"/>
          </w:tcPr>
          <w:p>
            <w:pPr>
              <w:pStyle w:val="TableContents"/>
              <w:bidi w:val="0"/>
              <w:spacing w:before="0" w:after="0"/>
              <w:ind w:left="0" w:right="0" w:hanging="0"/>
              <w:jc w:val="left"/>
              <w:rPr/>
            </w:pPr>
            <w:r>
              <w:rPr/>
              <w:t> </w:t>
            </w:r>
          </w:p>
        </w:tc>
        <w:tc>
          <w:tcPr>
            <w:tcW w:w="10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1,519,714</w:t>
            </w:r>
          </w:p>
        </w:tc>
        <w:tc>
          <w:tcPr>
            <w:tcW w:w="374" w:type="dxa"/>
            <w:tcBorders/>
            <w:vAlign w:val="center"/>
          </w:tcPr>
          <w:p>
            <w:pPr>
              <w:pStyle w:val="TableContents"/>
              <w:bidi w:val="0"/>
              <w:spacing w:before="0" w:after="0"/>
              <w:ind w:left="0" w:right="0" w:hanging="0"/>
              <w:jc w:val="left"/>
              <w:rPr/>
            </w:pPr>
            <w:r>
              <w:rPr/>
              <w:t> </w:t>
            </w:r>
          </w:p>
        </w:tc>
        <w:tc>
          <w:tcPr>
            <w:tcW w:w="11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2,149,673</w:t>
            </w:r>
          </w:p>
        </w:tc>
      </w:tr>
      <w:tr>
        <w:trPr/>
        <w:tc>
          <w:tcPr>
            <w:tcW w:w="2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Exchange (losses)/gains, net</w:t>
            </w:r>
          </w:p>
        </w:tc>
        <w:tc>
          <w:tcPr>
            <w:tcW w:w="326" w:type="dxa"/>
            <w:tcBorders/>
            <w:shd w:fill="CCEEFF" w:val="clear"/>
            <w:vAlign w:val="center"/>
          </w:tcPr>
          <w:p>
            <w:pPr>
              <w:pStyle w:val="TableContents"/>
              <w:bidi w:val="0"/>
              <w:spacing w:before="0" w:after="0"/>
              <w:ind w:left="0" w:right="0" w:hanging="0"/>
              <w:jc w:val="left"/>
              <w:rPr/>
            </w:pPr>
            <w:r>
              <w:rPr/>
              <w:t> </w:t>
            </w:r>
          </w:p>
        </w:tc>
        <w:tc>
          <w:tcPr>
            <w:tcW w:w="10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(490,481)</w:t>
            </w:r>
          </w:p>
        </w:tc>
        <w:tc>
          <w:tcPr>
            <w:tcW w:w="374" w:type="dxa"/>
            <w:tcBorders/>
            <w:shd w:fill="CCEEFF" w:val="clear"/>
            <w:vAlign w:val="center"/>
          </w:tcPr>
          <w:p>
            <w:pPr>
              <w:pStyle w:val="TableContents"/>
              <w:bidi w:val="0"/>
              <w:spacing w:before="0" w:after="0"/>
              <w:ind w:left="0" w:right="0" w:hanging="0"/>
              <w:jc w:val="left"/>
              <w:rPr/>
            </w:pPr>
            <w:r>
              <w:rPr/>
              <w:t> </w:t>
            </w:r>
          </w:p>
        </w:tc>
        <w:tc>
          <w:tcPr>
            <w:tcW w:w="11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1,571,207</w:t>
            </w:r>
          </w:p>
        </w:tc>
      </w:tr>
      <w:tr>
        <w:trPr/>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net</w:t>
            </w:r>
          </w:p>
        </w:tc>
        <w:tc>
          <w:tcPr>
            <w:tcW w:w="326" w:type="dxa"/>
            <w:tcBorders/>
            <w:vAlign w:val="center"/>
          </w:tcPr>
          <w:p>
            <w:pPr>
              <w:pStyle w:val="TableContents"/>
              <w:bidi w:val="0"/>
              <w:spacing w:before="0" w:after="0"/>
              <w:ind w:left="0" w:right="0" w:hanging="0"/>
              <w:jc w:val="left"/>
              <w:rPr/>
            </w:pPr>
            <w:r>
              <w:rPr/>
              <w:t> </w:t>
            </w:r>
          </w:p>
        </w:tc>
        <w:tc>
          <w:tcPr>
            <w:tcW w:w="10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710,435</w:t>
            </w:r>
          </w:p>
        </w:tc>
        <w:tc>
          <w:tcPr>
            <w:tcW w:w="374" w:type="dxa"/>
            <w:tcBorders/>
            <w:vAlign w:val="center"/>
          </w:tcPr>
          <w:p>
            <w:pPr>
              <w:pStyle w:val="TableContents"/>
              <w:bidi w:val="0"/>
              <w:spacing w:before="0" w:after="0"/>
              <w:ind w:left="0" w:right="0" w:hanging="0"/>
              <w:jc w:val="left"/>
              <w:rPr/>
            </w:pPr>
            <w:r>
              <w:rPr/>
              <w:t> </w:t>
            </w:r>
          </w:p>
        </w:tc>
        <w:tc>
          <w:tcPr>
            <w:tcW w:w="112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846,815</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Other income/(expenses) mainly consisted of investment income related to short-term investments, interest income, government incentives, net foreign exchange (losses)/gains, impairment provisions related to certain equity investments, net investment gain in equity method investees, disposal gains of equity investments and fair value change related to our equity investments with readily determinable fair value.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Investment income was RMB54.0 million in 2022 compared to investment income of RMB2.9 billion in 2021, consisting primarily of (i) a gain on disposal of certain long-term investments of RMB1.8 billion in 2022 compared to RMB185.6 million in 2021, (ii) a net investment gain in equity method investees of RMB1.3 billion in 2022 compared to RMB1.6 billion in 2021, (iii) investment income related to short-term investments of RMB342.6 million in 2022 compared to RMB639.8 million in 2021, and (iv) a remeasurement gain of previously held equity investee of RMB310.4 million in 2022 upon acquisition compared to nil in 2021 and (v) dividend income from certain long-term investments of RMB41.4 million in 2022 compared to RMB87.3 million in 2021, which was offset in part by a loss from fair value change related to the equity investments with readily determinable fair value of RMB3.4 billion in 2022 compared to a gain of RMB91.1 million in 2021, as well as impairment provisions related to certain investments of RMB282.8 million in 2022 compared to RMB19.2 million in 2021.</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Interest income increased to RMB2.1 billion in 2022 from RMB1.5 billion in 2021, among which, we incurred interest expenses of RMB650.2 million in 2022 related to our short-term and long-term loans.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also incurred net foreign exchange gains of RMB1.6 billion in 2022, compared to net foreign exchange losses of RMB490.5 million in 2021, primarily due to the fluctuation between the U.S. dollar against the RMB over the years.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Other, net increased to RMB846.8 million in 2022 from RMB710.4 million in 2021, mainly related to government incentives received and recognized in 2022 and 2021.</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Income Tax</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Income tax increased to RMB5.0 billion in 2022 from RMB4.1 billion in 2021. Our effective tax rate in 2022 was 20.7% compared with 19.6% in 2021.</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 xml:space="preserve">Liquidity and Capital Resources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 date, we have financed our operations primarily through operating cash flows and existing capital resources. As of December 31, 2023, we had RMB21.4 billion (US$3.0 billion) in cash and cash equivalents, RMB101.9 billion (US$14.4 billion) in time deposits and RMB4.4 billion (US$624.8 million) in short-term investments. Net cash provided by operating activities was RMB35.3 billion (US$5.0 billion) in 2023. We had short-term borrowings of RMB19.2 billion (US$2.7 billion) as of December 31, 2023. On June 2, 2021, we entered into a five-year term loan facility and revolving loan facility agreement with aggregate commitments of US$1.0 billion at an interest rate of 85 basis points over LIBOR. As of December 31, 2023, we had not drawn any amount of these facilities, and in early 2024, we voluntarily canceled such facilities. We also entered into several uncommitted loan credit facility agreements provided by certain financial institutions. As of December 31, 2023, US$3.1 billion of such credit facilities had not been utilized.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that our current levels of cash and cash equivalents, cash flows from operations and short-term investments will be sufficient to meet our anticipated cash needs for at least the next 12 months. However, we may need additional cash resources if we experience changed business conditions or other developments. We may also need additional cash resources if we find and wish to pursue opportunities for investment, acquisition, strategic cooperation or other similar action. If we determine that our cash requirements exceed our amounts of cash and cash equivalents on hand, we may seek to issue debt or equity securities or obtain a credit facility. Any issuance of equity securities could cause dilution for our shareholders. Any incurrence of indebtedness could increase our debt service obligations and cause us to be subject to restrictive operating and finance covenants. It is possible that, when we need additional cash resources, financing will only be available to us in amounts or on terms that would not be acceptable to us or financing will not be available at all.</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CASH FLOWS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sets forth a summary of consolidated cash flow data for the periods indicated as derived from our audited financial statements. Unless otherwise stated, cash flows discussed herein refer to our continuing activities only.</w:t>
      </w:r>
    </w:p>
    <w:p>
      <w:pPr>
        <w:pStyle w:val="TextBody"/>
        <w:bidi w:val="0"/>
        <w:spacing w:before="0" w:after="0"/>
        <w:ind w:left="0" w:right="0" w:hanging="0"/>
        <w:jc w:val="left"/>
        <w:rPr/>
      </w:pPr>
      <w:r>
        <w:rPr/>
        <w:t>​</w:t>
      </w:r>
    </w:p>
    <w:tbl>
      <w:tblPr>
        <w:tblW w:w="9334" w:type="dxa"/>
        <w:jc w:val="left"/>
        <w:tblInd w:w="0" w:type="dxa"/>
        <w:tblLayout w:type="fixed"/>
        <w:tblCellMar>
          <w:top w:w="0" w:type="dxa"/>
          <w:left w:w="0" w:type="dxa"/>
          <w:bottom w:w="0" w:type="dxa"/>
          <w:right w:w="0" w:type="dxa"/>
        </w:tblCellMar>
      </w:tblPr>
      <w:tblGrid>
        <w:gridCol w:w="3466"/>
        <w:gridCol w:w="326"/>
        <w:gridCol w:w="1156"/>
        <w:gridCol w:w="326"/>
        <w:gridCol w:w="1156"/>
        <w:gridCol w:w="326"/>
        <w:gridCol w:w="1156"/>
        <w:gridCol w:w="326"/>
        <w:gridCol w:w="1096"/>
      </w:tblGrid>
      <w:tr>
        <w:trPr/>
        <w:tc>
          <w:tcPr>
            <w:tcW w:w="3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200910" cy="175260"/>
                      <wp:effectExtent l="0" t="0" r="0" b="0"/>
                      <wp:wrapNone/>
                      <wp:docPr id="107" name="Frame106"/>
                      <a:graphic xmlns:a="http://schemas.openxmlformats.org/drawingml/2006/main">
                        <a:graphicData uri="http://schemas.microsoft.com/office/word/2010/wordprocessingShape">
                          <wps:wsp>
                            <wps:cNvSpPr txBox="1"/>
                            <wps:spPr>
                              <a:xfrm>
                                <a:off x="0" y="0"/>
                                <a:ext cx="2200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07010" cy="175260"/>
                      <wp:effectExtent l="0" t="0" r="0" b="0"/>
                      <wp:wrapNone/>
                      <wp:docPr id="108" name="Frame1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734060" cy="175260"/>
                      <wp:effectExtent l="0" t="0" r="0" b="0"/>
                      <wp:wrapNone/>
                      <wp:docPr id="109" name="Frame108"/>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07010" cy="175260"/>
                      <wp:effectExtent l="0" t="0" r="0" b="0"/>
                      <wp:wrapNone/>
                      <wp:docPr id="110" name="Frame1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734060" cy="175260"/>
                      <wp:effectExtent l="0" t="0" r="0" b="0"/>
                      <wp:wrapNone/>
                      <wp:docPr id="111" name="Frame110"/>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07010" cy="175260"/>
                      <wp:effectExtent l="0" t="0" r="0" b="0"/>
                      <wp:wrapNone/>
                      <wp:docPr id="112" name="Frame1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734060" cy="175260"/>
                      <wp:effectExtent l="0" t="0" r="0" b="0"/>
                      <wp:wrapNone/>
                      <wp:docPr id="113" name="Frame112"/>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07010" cy="175260"/>
                      <wp:effectExtent l="0" t="0" r="0" b="0"/>
                      <wp:wrapNone/>
                      <wp:docPr id="114" name="Frame1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95960" cy="175260"/>
                      <wp:effectExtent l="0" t="0" r="0" b="0"/>
                      <wp:wrapNone/>
                      <wp:docPr id="115" name="Frame114"/>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554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3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center"/>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9334" w:type="dxa"/>
            <w:gridSpan w:val="9"/>
            <w:tcBorders/>
            <w:vAlign w:val="center"/>
          </w:tcPr>
          <w:p>
            <w:pPr>
              <w:pStyle w:val="TableContents"/>
              <w:bidi w:val="0"/>
              <w:spacing w:before="0" w:after="283"/>
              <w:ind w:left="0" w:right="0" w:hanging="0"/>
              <w:jc w:val="left"/>
              <w:rPr>
                <w:sz w:val="4"/>
                <w:szCs w:val="4"/>
              </w:rPr>
            </w:pPr>
            <w:r>
              <w:rPr>
                <w:sz w:val="4"/>
                <w:szCs w:val="4"/>
              </w:rPr>
            </w:r>
          </w:p>
        </w:tc>
      </w:tr>
      <w:tr>
        <w:trPr/>
        <w:tc>
          <w:tcPr>
            <w:tcW w:w="3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5542"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24,926,727</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27,709,233</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35,331,275</w:t>
            </w:r>
          </w:p>
        </w:tc>
        <w:tc>
          <w:tcPr>
            <w:tcW w:w="32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4,976,306</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2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(7,078,294)</w:t>
            </w:r>
          </w:p>
        </w:tc>
        <w:tc>
          <w:tcPr>
            <w:tcW w:w="32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(7,369,727)</w:t>
            </w:r>
          </w:p>
        </w:tc>
        <w:tc>
          <w:tcPr>
            <w:tcW w:w="32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(17,043,431)</w:t>
            </w:r>
          </w:p>
        </w:tc>
        <w:tc>
          <w:tcPr>
            <w:tcW w:w="32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(2,400,517)</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financing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(12,585,569)</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(10,237,699)</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(21,467,054)</w:t>
            </w:r>
          </w:p>
        </w:tc>
        <w:tc>
          <w:tcPr>
            <w:tcW w:w="32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(3,023,571)</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Operating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provided by operating activities was RMB35.3 billion (US$5.0 billion) for the year ended December 31, 2023. The difference between our net income of RMB29.4 billion (US$4.1 billion) and the net cash provided by operating activities was primarily due to (i) the adjustment of non-cash items, mainly including adding back share-based compensation cost of RMB3.2 billion (US$456.7 million), depreciation and amortization charges of RMB3.1 billion (US$430.3 million), and impairment losses on investments and other long-term assets of RMB469.2 million (US$66.1 million), partially offset by gains on fair value change of equity security investments of RMB535.3 million (US$75.4 million), share of results on equity method investees and revaluation results from previously held equity interest of RMB473.9 million (US$66.8 million), fair value changes of short-term investments of RMB414.2 million (US$58.3 million), and (ii) an increase in cash resulting from the changes in operating assets and liabilities, mainly including an increase in contract liabilities of RMB1.2 billion (US$163.6 million) and an increase in payables of RMB544.3 million (US$76.7 million), including content costs, bonus and professional and technical charges, partially offset by a decrease in accounts receivable of RMB1.5 billion (US$207.1 million).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provided by operating activities was RMB27.7 billion for the year ended December 31, 2022. The difference between our net income of RMB19.8 billion and the net cash provided by operating activities was primarily due to (i) the deduction of net income from discontinued operations of RMB624.9 million; (ii) the adjustment of non-cash items, mainly including adding back share-based compensation cost of RMB3.2 billion, fair value change of equity security investments of RMB3.1 billion, depreciation and amortization charges of RMB2.9 billion, and deferred income taxes of RMB489.7 million, partially offset by gains on disposal of long-term investments, business and subsidiaries of RMB1.8 billion, unrealized exchange gains of RMB1.6 billion, share of results on equity method investees and revaluation results from previously held equity interest of RMB1.3 billion, and fair value changes of short-term investments of RMB342.6 million, and (iii) the increase in cash resulting from the changes in operating assets and liabilities, mainly including an increase in payables of RMB2.8 billion, including content costs, bonus and professional and technical charges and an increase in contract liabilities of RMB385.4 million, as well as a decrease in accounts receivable, prepayments and other current assets of RMB1.3 billion, partially offset by a decrease of tax payables of RMB917.6 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provided by operating activities was RMB24.9 billion for the year ended December 31, 2021. The difference between our net income of RMB17.0 billion and the net cash provided by operating activities was primarily due to (i) the adjustment of non-cash items, mainly including adding back depreciation and amortization charges of RMB3.3 billion, share-based compensation cost of RMB3.0 billion, unrealized exchange loss of RMB488.6 million and deferred income taxes of RMB407.9 million, partially offset by share of results on equity method investees and revaluation results from previously held equity interest of RMB1.6 billion, fair value changes of short-term investments of RMB639.8 million and fair value change of equity security investments of RMB471.9 million, and (ii) the increase in cash resulting from the changes in operating assets and liabilities, mainly including an increase in payables of RMB2.5 billion, including content costs, bonus and professional and technical charges and an increase in contract liabilities of RMB1.4 billion, partially offset by an increase in accounts receivable, prepayments and other current assets of RMB546.2 million and an increase in inventories of RMB343.6 million.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Investing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used in investing activities was RMB17.0 billion (US$2.4 billion) for the year ended December 31, 2023, which was mainly attributable to (i) placement/rollover of matured time deposits of RMB124.7 billion (US$17.6 billion), (ii) investment in other equity investments and acquisition of subsidiaries of RMB2.4 billion (US$336.2 million), (iii) purchase of property, equipment and software of RMB2.3 billion (US$324.2 million), (iv) purchase of intangible assets, content and licensed copyrights of RMB2.0 billion (US$278.1 million), and (v) net change in short-term investments with terms of three months or less of RMB1.8 billion (US$250.4 million), which were partially offset by (i) proceeds from maturity of time deposits of RMB111.4 billion (US$15.7 billion), and (ii) proceeds from maturity of short-term investments of RMB5.4 billion (US$757.5 million).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used in investing activities was RMB7.4 billion for the year ended December 31, 2022, which was mainly attributable to (i) placement/rollover of matured time deposits of RMB99.0 billion, (ii) purchase of short-term investments of RMB6.0 billion, (iii) investment in other equity investments and acquisition of subsidiaries of RMB4.4 billion, (iv) purchase of property, equipment and software of RMB2.1 billion, (v) investment in equity investees of RMB705.9 million, and (vi) purchase of intangible assets, content and licensed copyrights of RMB543.2 million, which were partially offset by (i) proceeds from maturity of time deposits of RMB92.2 billion, (ii) proceeds from maturity of short-term investments of RMB10.2 billion, (iii) proceeds from disposals of investment in equity investees, business and subsidiaries of RMB2.4 billion, and (iv) net change in short-term investments with terms of three months or less of RMB776.4 million.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used in investing activities was RMB7.1 billion for the year ended December 31, 2021, which was mainly attributable to (i) placement/rollover of matured time deposits of RMB81.3 billion, (ii) purchase of short-term investments of RMB15.3 billion, (iii) investment in other equity investments and acquisition of subsidiaries of RMB5.4 billion, (iv) purchase of property, equipment and software of RMB1.6 billion, (v) purchase of intangible assets, content and licensed copyrights of RMB1.5 billion, and (vi) investment in equity investees of RMB1.1 billion, which were partially offset by (i) proceeds from maturity of time deposits of RMB81.3 billion, (ii) proceeds from maturity of short-term investments of RMB13.2 billion, (iii) net change in short-term investments with terms of three months or less of RMB3.7 billion, and (iv) proceeds from disposals of investment in equity investees, business and subsidiaries of RMB1.1 billion.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Financing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used in financing activities was RMB21.5 billion (US$3.0 billion) for the year ended December 31, 2023, which was mainly attributable to (i) net payment of short-term and long-term loans of RMB8.3 billion (US$1.2 billion), (ii) dividends paid to our shareholders with RMB8.0 billion (US$1.1 billion), and (iii) repurchase of NetEase’s ADSs and purchase of subsidiaries’ ADSs and shares totaling of RMB5.2 billion (US$737.2 million).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used in financing activities was RMB10.2 billion for the year ended December 31, 2022, which was mainly attributable to (i) repurchase of NetEase’s ADSs and purchase of subsidiaries’ ADSs and shares totaling of RMB8.3 billion and (ii) dividends paid to our shareholders which totaled RMB6.7 billion, which were partially offset by net proceeds from short-term and long-term loans of RMB4.8 billion.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used in financing activities was RMB12.6 billion for the year ended December 31, 2021, which was mainly attributable to (i) repurchase of NetEase’s ADSs and purchase of subsidiaries’ ADSs and shares totaling of RMB12.9 billion and (ii) dividends paid to our shareholders and noncontrolling interest shareholders which totaled RMB4.2 billion, which were partially offset by net proceeds received from capital injection from noncontrolling interest shareholders of RMB2.9 billion and net proceeds from short-term and long-term loans of RMB1.7 billion.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MANAGEMENT OF CAPITAL RESOURCES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managing our capital, we seek to maintain a reasonable amount of liquidity to support new business growth and maximize returns on our capital resources, while at the same time focusing on the preservation of capital and complying with applicable legal requirements. Our capital resources include primarily cash on hand, demand deposits, time deposits and short-term investments mainly placed with banks in Hong Kong and China. Although we consolidate the results of our subsidiaries and the VIEs in our consolidated financial statements, we do not have direct access to the cash and cash equivalents or future earnings of our subsidiaries and the VIEs. As of December 31, 2023, these subsidiaries and VIEs had RMB123.1 billion (US$17.3 billion) in cash and cash equivalents, demand deposits and short-term and long-term time deposits. Our cash and cash equivalents, demand deposits and time deposits held outside of China are mainly denominated in U.S. dollars.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 fund any cash requirements we may have, we may need to rely on dividends and other distributions on equity paid by our subsidiaries. Since substantially all of our operations are conducted through our China mainland subsidiaries and the VIEs, our subsidiaries may need to rely on dividends, loans or advances made by another China mainland subsidiary or VIE. Certain of these payments are subject to PRC taxes, including sales taxes, which effectively reduce the received amount. In addition, the PRC government could impose restrictions on such payments or change the tax rates applicable to such payments. In 2021, 2022 and 2023, we accrued RMB1.1 billion, RMB2.1 billion and RMB1.5 billion (US$214.7 million) withholding tax liabilities, respectively, mainly associated with dividends expected to be distributed from our China mainland subsidiaries to companies in our corporate group outside of China for general corporate purposes. We repatriated a portion of these earnings and paid related withholding income tax in 2021, 2022 and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the payment of dividends by entities established in the PRC is subject to limitations. Regulations in the PRC currently permit payment of dividends only out of accumulated profits as determined in accordance with accounting standards and regulations in the PRC. Each of our China mainland subsidiaries that is a domestic company is also required to set aside at least 10.0% of its after-tax profit based on PRC accounting standards each year to its general reserves or statutory capital reserve fund until the accumulative amount of such reserves reach 50.0% of its respective registered capital. These restricted reserves are not distributable as cash dividends. As a result of these and other restrictions under PRC laws and regulations, our China mainland subsidiaries and the VIEs are restricted in their ability to transfer a portion of their net assets to us either in the form of dividends, loans or advances, which restricted portion amounted to approximately RMB13.8 billion, or 11% of our total consolidated net assets, as of December 31, 2023. In addition, if any of our China mainland subsidiaries incurs debt on its own behalf in the future, the instruments governing the debt may restrict its ability to pay dividends or make other distributions to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any transfer of funds from us to any of our China mainland subsidiaries or the VIEs, either as a shareholder loan or as an increase in registered capital, is subject to certain statutory limit requirements and registration or approval of the relevant PRC governmental authorities, including the relevant administration of foreign exchange and/or the relevant examining and approval authority. Therefore, it is difficult to change our capital expenditure plans once the relevant funds have been remitted from our company or our subsidiaries outside of China to our China mainland subsidiaries or the VIEs. These limitations on the free flow of funds between us and our China mainland subsidiaries and the VIEs could restrict our ability to act in response to changing market conditions and reallocate funds internally in a timely manner.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additional information, see Item 3.D. “Key Information—Risk Factors—Risks Related to Our Corporate Structure—Our corporate structure may restrict our ability to receive dividends from, and transfer funds to, our China mainland subsidiaries and VIEs, which could restrict our ability to act in response to changing market conditions and reallocate funds internally in a timely manner.” and “Key Information—Risk Factors—Risks Related to Doing Business in China—Restrictions on currency exchange may limit our ability to utilize our revenues effectively.” and Item 10.D. “Additional Information—Exchange Controls.”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CAPITAL EXPENDITURES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capital requirements relate primarily to financing: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working capital requirements, such as servers and bandwidth service fees, inventory purchase costs, content and copyrights purchase costs, staff costs, selling and marketing expenses and R&amp;D costs;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incurred for the construction of our new office buildings in Guangzhou, Hangzhou and Shanghai in China, and acquisition of new servers and other facilities.</w:t>
            </w:r>
          </w:p>
        </w:tc>
      </w:tr>
    </w:tbl>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MATERIAL CASH REQUIREMENTS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material cash requirements as of December 31, 2023 primarily include our operating lease commitments, server and bandwidth service fee commitments, capital commitments, royalties and expenditure for licensed content commitments and other commitments.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operating lease commitments are the lease commitments under the lease agreements mainly for our corporate offices and warehouses. Our server and bandwidth service fee commitments are related to our network servers located mainly in the facilities of China Telecom’s affiliates, China Unicom’s affiliates and China Mobile’s affiliates. Our capital commitments are primarily the commitments made in connection with the construction of new office buildings in Shanghai and other cities. Our royalties and expenditures for licensed content commitments primarily relate to the costs of acquiring the rights to certain content by our online game business and online music business. Other commitments primarily consist of expenditures related to marketing and administration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intend to fund our existing and future material cash requirements primarily with anticipated cash flows from operations, our existing cash balance and other financing alternatives. We will continue to make cash commitments to support the growth of our business.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sets forth our contractual obligations by specified categories as of December 31, 2023:</w:t>
      </w:r>
    </w:p>
    <w:p>
      <w:pPr>
        <w:pStyle w:val="TextBody"/>
        <w:bidi w:val="0"/>
        <w:spacing w:before="0" w:after="0"/>
        <w:ind w:left="0" w:right="0" w:hanging="0"/>
        <w:jc w:val="left"/>
        <w:rPr/>
      </w:pPr>
      <w:r>
        <w:rPr/>
        <w:t>​</w:t>
      </w:r>
    </w:p>
    <w:tbl>
      <w:tblPr>
        <w:tblW w:w="9778" w:type="dxa"/>
        <w:jc w:val="left"/>
        <w:tblInd w:w="0" w:type="dxa"/>
        <w:tblLayout w:type="fixed"/>
        <w:tblCellMar>
          <w:top w:w="0" w:type="dxa"/>
          <w:left w:w="0" w:type="dxa"/>
          <w:bottom w:w="0" w:type="dxa"/>
          <w:right w:w="0" w:type="dxa"/>
        </w:tblCellMar>
      </w:tblPr>
      <w:tblGrid>
        <w:gridCol w:w="1231"/>
        <w:gridCol w:w="326"/>
        <w:gridCol w:w="1111"/>
        <w:gridCol w:w="326"/>
        <w:gridCol w:w="1111"/>
        <w:gridCol w:w="326"/>
        <w:gridCol w:w="1111"/>
        <w:gridCol w:w="326"/>
        <w:gridCol w:w="1111"/>
        <w:gridCol w:w="326"/>
        <w:gridCol w:w="1111"/>
        <w:gridCol w:w="326"/>
        <w:gridCol w:w="1036"/>
      </w:tblGrid>
      <w:tr>
        <w:trPr/>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781685" cy="175260"/>
                      <wp:effectExtent l="0" t="0" r="0" b="0"/>
                      <wp:wrapNone/>
                      <wp:docPr id="116" name="Frame115"/>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07010" cy="175260"/>
                      <wp:effectExtent l="0" t="0" r="0" b="0"/>
                      <wp:wrapNone/>
                      <wp:docPr id="117" name="Frame1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705485" cy="175260"/>
                      <wp:effectExtent l="0" t="0" r="0" b="0"/>
                      <wp:wrapNone/>
                      <wp:docPr id="118" name="Frame117"/>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07010" cy="175260"/>
                      <wp:effectExtent l="0" t="0" r="0" b="0"/>
                      <wp:wrapNone/>
                      <wp:docPr id="119" name="Frame1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705485" cy="175260"/>
                      <wp:effectExtent l="0" t="0" r="0" b="0"/>
                      <wp:wrapNone/>
                      <wp:docPr id="120" name="Frame119"/>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121" name="Frame1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705485" cy="175260"/>
                      <wp:effectExtent l="0" t="0" r="0" b="0"/>
                      <wp:wrapNone/>
                      <wp:docPr id="122" name="Frame121"/>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07010" cy="175260"/>
                      <wp:effectExtent l="0" t="0" r="0" b="0"/>
                      <wp:wrapNone/>
                      <wp:docPr id="123" name="Frame1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705485" cy="175260"/>
                      <wp:effectExtent l="0" t="0" r="0" b="0"/>
                      <wp:wrapNone/>
                      <wp:docPr id="124" name="Frame123"/>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07010" cy="175260"/>
                      <wp:effectExtent l="0" t="0" r="0" b="0"/>
                      <wp:wrapNone/>
                      <wp:docPr id="125" name="Frame1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705485" cy="175260"/>
                      <wp:effectExtent l="0" t="0" r="0" b="0"/>
                      <wp:wrapNone/>
                      <wp:docPr id="126" name="Frame125"/>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07010" cy="175260"/>
                      <wp:effectExtent l="0" t="0" r="0" b="0"/>
                      <wp:wrapNone/>
                      <wp:docPr id="127" name="Frame1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57860" cy="175260"/>
                      <wp:effectExtent l="0" t="0" r="0" b="0"/>
                      <wp:wrapNone/>
                      <wp:docPr id="128" name="Frame12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Royalties and</w:t>
            </w:r>
          </w:p>
        </w:tc>
        <w:tc>
          <w:tcPr>
            <w:tcW w:w="32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12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Server and</w:t>
            </w:r>
          </w:p>
        </w:tc>
        <w:tc>
          <w:tcPr>
            <w:tcW w:w="32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Expenditures</w:t>
            </w:r>
          </w:p>
        </w:tc>
        <w:tc>
          <w:tcPr>
            <w:tcW w:w="32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12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Operating</w:t>
            </w:r>
          </w:p>
        </w:tc>
        <w:tc>
          <w:tcPr>
            <w:tcW w:w="32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Bandwidth</w:t>
            </w:r>
          </w:p>
        </w:tc>
        <w:tc>
          <w:tcPr>
            <w:tcW w:w="32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Licensed</w:t>
            </w:r>
          </w:p>
        </w:tc>
        <w:tc>
          <w:tcPr>
            <w:tcW w:w="32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12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w:t>
            </w:r>
          </w:p>
        </w:tc>
        <w:tc>
          <w:tcPr>
            <w:tcW w:w="32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Service Fee</w:t>
            </w:r>
          </w:p>
        </w:tc>
        <w:tc>
          <w:tcPr>
            <w:tcW w:w="32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Content</w:t>
            </w:r>
          </w:p>
        </w:tc>
        <w:tc>
          <w:tcPr>
            <w:tcW w:w="32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12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Commitments</w:t>
            </w:r>
          </w:p>
        </w:tc>
        <w:tc>
          <w:tcPr>
            <w:tcW w:w="326" w:type="dxa"/>
            <w:tcBorders/>
            <w:vAlign w:val="center"/>
          </w:tcPr>
          <w:p>
            <w:pPr>
              <w:pStyle w:val="TableContents"/>
              <w:bidi w:val="0"/>
              <w:spacing w:before="0" w:after="0"/>
              <w:ind w:left="0" w:right="0" w:hanging="0"/>
              <w:jc w:val="center"/>
              <w:rPr/>
            </w:pPr>
            <w:r>
              <w:rPr/>
              <w:t>​</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Commitments</w:t>
            </w:r>
          </w:p>
        </w:tc>
        <w:tc>
          <w:tcPr>
            <w:tcW w:w="326" w:type="dxa"/>
            <w:tcBorders/>
            <w:vAlign w:val="center"/>
          </w:tcPr>
          <w:p>
            <w:pPr>
              <w:pStyle w:val="TableContents"/>
              <w:bidi w:val="0"/>
              <w:spacing w:before="0" w:after="0"/>
              <w:ind w:left="0" w:right="0" w:hanging="0"/>
              <w:jc w:val="center"/>
              <w:rPr/>
            </w:pPr>
            <w:r>
              <w:rPr/>
              <w:t>​</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Commitments</w:t>
            </w:r>
          </w:p>
        </w:tc>
        <w:tc>
          <w:tcPr>
            <w:tcW w:w="326" w:type="dxa"/>
            <w:tcBorders/>
            <w:vAlign w:val="center"/>
          </w:tcPr>
          <w:p>
            <w:pPr>
              <w:pStyle w:val="TableContents"/>
              <w:bidi w:val="0"/>
              <w:spacing w:before="0" w:after="0"/>
              <w:ind w:left="0" w:right="0" w:hanging="0"/>
              <w:jc w:val="center"/>
              <w:rPr/>
            </w:pPr>
            <w:r>
              <w:rPr/>
              <w:t>​</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Commitments</w:t>
            </w:r>
          </w:p>
        </w:tc>
        <w:tc>
          <w:tcPr>
            <w:tcW w:w="326" w:type="dxa"/>
            <w:tcBorders/>
            <w:vAlign w:val="center"/>
          </w:tcPr>
          <w:p>
            <w:pPr>
              <w:pStyle w:val="TableContents"/>
              <w:bidi w:val="0"/>
              <w:spacing w:before="0" w:after="0"/>
              <w:ind w:left="0" w:right="0" w:hanging="0"/>
              <w:jc w:val="center"/>
              <w:rPr/>
            </w:pPr>
            <w:r>
              <w:rPr/>
              <w:t>​</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Commitments</w:t>
            </w:r>
          </w:p>
        </w:tc>
        <w:tc>
          <w:tcPr>
            <w:tcW w:w="326" w:type="dxa"/>
            <w:tcBorders/>
            <w:vAlign w:val="center"/>
          </w:tcPr>
          <w:p>
            <w:pPr>
              <w:pStyle w:val="TableContents"/>
              <w:bidi w:val="0"/>
              <w:spacing w:before="0" w:after="0"/>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2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9778"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2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221"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1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284,976</w:t>
            </w:r>
          </w:p>
        </w:tc>
        <w:tc>
          <w:tcPr>
            <w:tcW w:w="32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439,118</w:t>
            </w:r>
          </w:p>
        </w:tc>
        <w:tc>
          <w:tcPr>
            <w:tcW w:w="32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1,473,870</w:t>
            </w:r>
          </w:p>
        </w:tc>
        <w:tc>
          <w:tcPr>
            <w:tcW w:w="32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688,387</w:t>
            </w:r>
          </w:p>
        </w:tc>
        <w:tc>
          <w:tcPr>
            <w:tcW w:w="32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297,149</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3,183,500</w:t>
            </w:r>
          </w:p>
        </w:tc>
      </w:tr>
      <w:tr>
        <w:trPr/>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193,875</w:t>
            </w:r>
          </w:p>
        </w:tc>
        <w:tc>
          <w:tcPr>
            <w:tcW w:w="326"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366,162</w:t>
            </w:r>
          </w:p>
        </w:tc>
        <w:tc>
          <w:tcPr>
            <w:tcW w:w="326"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341,700</w:t>
            </w:r>
          </w:p>
        </w:tc>
        <w:tc>
          <w:tcPr>
            <w:tcW w:w="326"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271,125</w:t>
            </w:r>
          </w:p>
        </w:tc>
        <w:tc>
          <w:tcPr>
            <w:tcW w:w="326"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4,756</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1,177,618</w:t>
            </w:r>
          </w:p>
        </w:tc>
      </w:tr>
      <w:tr>
        <w:trPr/>
        <w:tc>
          <w:tcPr>
            <w:tcW w:w="1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132,049</w:t>
            </w:r>
          </w:p>
        </w:tc>
        <w:tc>
          <w:tcPr>
            <w:tcW w:w="32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212,431</w:t>
            </w:r>
          </w:p>
        </w:tc>
        <w:tc>
          <w:tcPr>
            <w:tcW w:w="32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55,446</w:t>
            </w:r>
          </w:p>
        </w:tc>
        <w:tc>
          <w:tcPr>
            <w:tcW w:w="32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215,376</w:t>
            </w:r>
          </w:p>
        </w:tc>
        <w:tc>
          <w:tcPr>
            <w:tcW w:w="32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615,776</w:t>
            </w:r>
          </w:p>
        </w:tc>
      </w:tr>
      <w:tr>
        <w:trPr/>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85,279</w:t>
            </w:r>
          </w:p>
        </w:tc>
        <w:tc>
          <w:tcPr>
            <w:tcW w:w="326"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102,479</w:t>
            </w:r>
          </w:p>
        </w:tc>
        <w:tc>
          <w:tcPr>
            <w:tcW w:w="326"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33,439</w:t>
            </w:r>
          </w:p>
        </w:tc>
        <w:tc>
          <w:tcPr>
            <w:tcW w:w="326"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99,876</w:t>
            </w:r>
          </w:p>
        </w:tc>
        <w:tc>
          <w:tcPr>
            <w:tcW w:w="326"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321,073</w:t>
            </w:r>
          </w:p>
        </w:tc>
      </w:tr>
      <w:tr>
        <w:trPr/>
        <w:tc>
          <w:tcPr>
            <w:tcW w:w="1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Beyond 2027</w:t>
            </w:r>
          </w:p>
        </w:tc>
        <w:tc>
          <w:tcPr>
            <w:tcW w:w="326" w:type="dxa"/>
            <w:tcBorders/>
            <w:shd w:fill="CCEEFF" w:val="clear"/>
            <w:vAlign w:val="center"/>
          </w:tcPr>
          <w:p>
            <w:pPr>
              <w:pStyle w:val="TableContents"/>
              <w:bidi w:val="0"/>
              <w:spacing w:before="0" w:after="0"/>
              <w:ind w:left="0" w:right="0" w:hanging="0"/>
              <w:jc w:val="left"/>
              <w:rPr/>
            </w:pPr>
            <w:r>
              <w:rPr/>
              <w:t> </w:t>
            </w:r>
          </w:p>
        </w:tc>
        <w:tc>
          <w:tcPr>
            <w:tcW w:w="11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190,945</w:t>
            </w:r>
          </w:p>
        </w:tc>
        <w:tc>
          <w:tcPr>
            <w:tcW w:w="326" w:type="dxa"/>
            <w:tcBorders/>
            <w:shd w:fill="CCEEFF" w:val="clear"/>
            <w:vAlign w:val="center"/>
          </w:tcPr>
          <w:p>
            <w:pPr>
              <w:pStyle w:val="TableContents"/>
              <w:bidi w:val="0"/>
              <w:spacing w:before="0" w:after="0"/>
              <w:ind w:left="0" w:right="0" w:hanging="0"/>
              <w:jc w:val="left"/>
              <w:rPr/>
            </w:pPr>
            <w:r>
              <w:rPr/>
              <w:t> </w:t>
            </w:r>
          </w:p>
        </w:tc>
        <w:tc>
          <w:tcPr>
            <w:tcW w:w="11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188,776</w:t>
            </w:r>
          </w:p>
        </w:tc>
        <w:tc>
          <w:tcPr>
            <w:tcW w:w="326" w:type="dxa"/>
            <w:tcBorders/>
            <w:shd w:fill="CCEEFF" w:val="clear"/>
            <w:vAlign w:val="center"/>
          </w:tcPr>
          <w:p>
            <w:pPr>
              <w:pStyle w:val="TableContents"/>
              <w:bidi w:val="0"/>
              <w:spacing w:before="0" w:after="0"/>
              <w:ind w:left="0" w:right="0" w:hanging="0"/>
              <w:jc w:val="left"/>
              <w:rPr/>
            </w:pPr>
            <w:r>
              <w:rPr/>
              <w:t> </w:t>
            </w:r>
          </w:p>
        </w:tc>
        <w:tc>
          <w:tcPr>
            <w:tcW w:w="11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38,744</w:t>
            </w:r>
          </w:p>
        </w:tc>
        <w:tc>
          <w:tcPr>
            <w:tcW w:w="326" w:type="dxa"/>
            <w:tcBorders/>
            <w:shd w:fill="CCEEFF" w:val="clear"/>
            <w:vAlign w:val="center"/>
          </w:tcPr>
          <w:p>
            <w:pPr>
              <w:pStyle w:val="TableContents"/>
              <w:bidi w:val="0"/>
              <w:spacing w:before="0" w:after="0"/>
              <w:ind w:left="0" w:right="0" w:hanging="0"/>
              <w:jc w:val="left"/>
              <w:rPr/>
            </w:pPr>
            <w:r>
              <w:rPr/>
              <w:t> </w:t>
            </w:r>
          </w:p>
        </w:tc>
        <w:tc>
          <w:tcPr>
            <w:tcW w:w="11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418,465</w:t>
            </w:r>
          </w:p>
        </w:tc>
      </w:tr>
      <w:tr>
        <w:trPr/>
        <w:tc>
          <w:tcPr>
            <w:tcW w:w="12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887,124</w:t>
            </w:r>
          </w:p>
        </w:tc>
        <w:tc>
          <w:tcPr>
            <w:tcW w:w="326" w:type="dxa"/>
            <w:tcBorders/>
            <w:vAlign w:val="center"/>
          </w:tcPr>
          <w:p>
            <w:pPr>
              <w:pStyle w:val="TableContents"/>
              <w:bidi w:val="0"/>
              <w:spacing w:before="0" w:after="0"/>
              <w:ind w:left="0" w:right="0" w:hanging="0"/>
              <w:jc w:val="left"/>
              <w:rPr/>
            </w:pPr>
            <w:r>
              <w:rPr/>
              <w:t> </w:t>
            </w:r>
          </w:p>
        </w:tc>
        <w:tc>
          <w:tcPr>
            <w:tcW w:w="11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1,308,966</w:t>
            </w:r>
          </w:p>
        </w:tc>
        <w:tc>
          <w:tcPr>
            <w:tcW w:w="326" w:type="dxa"/>
            <w:tcBorders/>
            <w:vAlign w:val="center"/>
          </w:tcPr>
          <w:p>
            <w:pPr>
              <w:pStyle w:val="TableContents"/>
              <w:bidi w:val="0"/>
              <w:spacing w:before="0" w:after="0"/>
              <w:ind w:left="0" w:right="0" w:hanging="0"/>
              <w:jc w:val="left"/>
              <w:rPr/>
            </w:pPr>
            <w:r>
              <w:rPr/>
              <w:t> </w:t>
            </w:r>
          </w:p>
        </w:tc>
        <w:tc>
          <w:tcPr>
            <w:tcW w:w="11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1,943,199</w:t>
            </w:r>
          </w:p>
        </w:tc>
        <w:tc>
          <w:tcPr>
            <w:tcW w:w="326" w:type="dxa"/>
            <w:tcBorders/>
            <w:vAlign w:val="center"/>
          </w:tcPr>
          <w:p>
            <w:pPr>
              <w:pStyle w:val="TableContents"/>
              <w:bidi w:val="0"/>
              <w:spacing w:before="0" w:after="0"/>
              <w:ind w:left="0" w:right="0" w:hanging="0"/>
              <w:jc w:val="left"/>
              <w:rPr/>
            </w:pPr>
            <w:r>
              <w:rPr/>
              <w:t> </w:t>
            </w:r>
          </w:p>
        </w:tc>
        <w:tc>
          <w:tcPr>
            <w:tcW w:w="11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1,274,764</w:t>
            </w:r>
          </w:p>
        </w:tc>
        <w:tc>
          <w:tcPr>
            <w:tcW w:w="326" w:type="dxa"/>
            <w:tcBorders/>
            <w:vAlign w:val="center"/>
          </w:tcPr>
          <w:p>
            <w:pPr>
              <w:pStyle w:val="TableContents"/>
              <w:bidi w:val="0"/>
              <w:spacing w:before="0" w:after="0"/>
              <w:ind w:left="0" w:right="0" w:hanging="0"/>
              <w:jc w:val="left"/>
              <w:rPr/>
            </w:pPr>
            <w:r>
              <w:rPr/>
              <w:t> </w:t>
            </w:r>
          </w:p>
        </w:tc>
        <w:tc>
          <w:tcPr>
            <w:tcW w:w="11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302,379</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5,716,432</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Other than as discussed above, we did not have any significant capital and other commitments, long-term obligations or guarantees as of December 31, 2023.</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TRANSFER OF FUNDS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Transfer of Funds and Other Assets within the NetEase Group</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NetEase, Inc. transfers cash to its wholly-owned overseas subsidiaries by making capital contributions or providing loans, and the overseas subsidiaries transfer cash to our subsidiaries in China by making capital contributions or providing loans to them. Although NetEase, Inc. and its subsidiaries are the primary beneficiaries of the VIEs through contractual arrangements, they are not able to make direct capital contributions to the VIEs and their subsidiaries. However, they may transfer cash to the VIEs by loans or by making payment to the VIEs for inter-group transactions.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December 31, 2023, NetEase, Inc. had made cumulative capital contributions of US$2.4 billion to our China mainland subsidiaries through intermediate holding companies, which were accounted for as “Investments in subsidiaries” of NetEase, Inc. These funds have been used by our China mainland subsidiaries for their operations. As of December 31, 2023, the aggregate loan balance owed by our subsidiaries under our agreements with the VIEs was US$53.6 million. In 2021, 2022 and 2023, the VIEs transferred RMB59.4 billion, RMB67.0 billion and RMB73.3 billion (US$10.3 billion), respectively, to our China mainland subsidiaries as payment or prepayment of service fees. Our China mainland subsidiaries maintain certain personnel for content production, sales and marketing, R&amp;D and general and administrative functions to support the operations of the VIEs.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is a summary of cash transfers that have occurred between our subsidiaries and the VIEs: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737"/>
        <w:gridCol w:w="326"/>
        <w:gridCol w:w="1148"/>
        <w:gridCol w:w="326"/>
        <w:gridCol w:w="1148"/>
        <w:gridCol w:w="326"/>
        <w:gridCol w:w="1194"/>
      </w:tblGrid>
      <w:tr>
        <w:trPr/>
        <w:tc>
          <w:tcPr>
            <w:tcW w:w="57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3642995" cy="175260"/>
                      <wp:effectExtent l="0" t="0" r="0" b="0"/>
                      <wp:wrapNone/>
                      <wp:docPr id="129" name="Frame128"/>
                      <a:graphic xmlns:a="http://schemas.openxmlformats.org/drawingml/2006/main">
                        <a:graphicData uri="http://schemas.microsoft.com/office/word/2010/wordprocessingShape">
                          <wps:wsp>
                            <wps:cNvSpPr txBox="1"/>
                            <wps:spPr>
                              <a:xfrm>
                                <a:off x="0" y="0"/>
                                <a:ext cx="3642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7010" cy="175260"/>
                      <wp:effectExtent l="0" t="0" r="0" b="0"/>
                      <wp:wrapNone/>
                      <wp:docPr id="130" name="Frame1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728980" cy="175260"/>
                      <wp:effectExtent l="0" t="0" r="0" b="0"/>
                      <wp:wrapNone/>
                      <wp:docPr id="131" name="Frame130"/>
                      <a:graphic xmlns:a="http://schemas.openxmlformats.org/drawingml/2006/main">
                        <a:graphicData uri="http://schemas.microsoft.com/office/word/2010/wordprocessingShape">
                          <wps:wsp>
                            <wps:cNvSpPr txBox="1"/>
                            <wps:spPr>
                              <a:xfrm>
                                <a:off x="0" y="0"/>
                                <a:ext cx="728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07010" cy="175260"/>
                      <wp:effectExtent l="0" t="0" r="0" b="0"/>
                      <wp:wrapNone/>
                      <wp:docPr id="132" name="Frame1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728980" cy="175260"/>
                      <wp:effectExtent l="0" t="0" r="0" b="0"/>
                      <wp:wrapNone/>
                      <wp:docPr id="133" name="Frame132"/>
                      <a:graphic xmlns:a="http://schemas.openxmlformats.org/drawingml/2006/main">
                        <a:graphicData uri="http://schemas.microsoft.com/office/word/2010/wordprocessingShape">
                          <wps:wsp>
                            <wps:cNvSpPr txBox="1"/>
                            <wps:spPr>
                              <a:xfrm>
                                <a:off x="0" y="0"/>
                                <a:ext cx="728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07010" cy="175260"/>
                      <wp:effectExtent l="0" t="0" r="0" b="0"/>
                      <wp:wrapNone/>
                      <wp:docPr id="134" name="Frame1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758190" cy="175260"/>
                      <wp:effectExtent l="0" t="0" r="0" b="0"/>
                      <wp:wrapNone/>
                      <wp:docPr id="135" name="Frame134"/>
                      <a:graphic xmlns:a="http://schemas.openxmlformats.org/drawingml/2006/main">
                        <a:graphicData uri="http://schemas.microsoft.com/office/word/2010/wordprocessingShape">
                          <wps:wsp>
                            <wps:cNvSpPr txBox="1"/>
                            <wps:spPr>
                              <a:xfrm>
                                <a:off x="0" y="0"/>
                                <a:ext cx="758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3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414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573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center"/>
              <w:rPr/>
            </w:pPr>
            <w:r>
              <w:rPr/>
              <w:t>​</w:t>
            </w:r>
          </w:p>
        </w:tc>
        <w:tc>
          <w:tcPr>
            <w:tcW w:w="114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w:t>
            </w:r>
          </w:p>
        </w:tc>
        <w:tc>
          <w:tcPr>
            <w:tcW w:w="119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73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114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    </w:t>
            </w:r>
          </w:p>
        </w:tc>
        <w:tc>
          <w:tcPr>
            <w:tcW w:w="119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1020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573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142"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573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94" w:type="dxa"/>
            <w:tcBorders/>
            <w:vAlign w:val="center"/>
          </w:tcPr>
          <w:p>
            <w:pPr>
              <w:pStyle w:val="TableContents"/>
              <w:bidi w:val="0"/>
              <w:spacing w:before="0" w:after="0"/>
              <w:ind w:left="0" w:right="0" w:hanging="0"/>
              <w:jc w:val="left"/>
              <w:rPr/>
            </w:pPr>
            <w:r>
              <w:rPr/>
              <w:t>​</w:t>
            </w:r>
          </w:p>
        </w:tc>
      </w:tr>
      <w:tr>
        <w:trPr/>
        <w:tc>
          <w:tcPr>
            <w:tcW w:w="57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paid by the VIEs to our subsidiaries under service agreements</w:t>
            </w:r>
          </w:p>
        </w:tc>
        <w:tc>
          <w:tcPr>
            <w:tcW w:w="326" w:type="dxa"/>
            <w:tcBorders/>
            <w:shd w:fill="CCEEFF" w:val="clear"/>
            <w:vAlign w:val="center"/>
          </w:tcPr>
          <w:p>
            <w:pPr>
              <w:pStyle w:val="TableContents"/>
              <w:bidi w:val="0"/>
              <w:spacing w:before="0" w:after="0"/>
              <w:ind w:left="0" w:right="0" w:hanging="0"/>
              <w:jc w:val="left"/>
              <w:rPr/>
            </w:pPr>
            <w:r>
              <w:rPr/>
              <w:t> </w:t>
            </w:r>
          </w:p>
        </w:tc>
        <w:tc>
          <w:tcPr>
            <w:tcW w:w="11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(59,439,552)</w:t>
            </w:r>
          </w:p>
        </w:tc>
        <w:tc>
          <w:tcPr>
            <w:tcW w:w="326" w:type="dxa"/>
            <w:tcBorders/>
            <w:shd w:fill="CCEEFF" w:val="clear"/>
            <w:vAlign w:val="center"/>
          </w:tcPr>
          <w:p>
            <w:pPr>
              <w:pStyle w:val="TableContents"/>
              <w:bidi w:val="0"/>
              <w:spacing w:before="0" w:after="0"/>
              <w:ind w:left="0" w:right="0" w:hanging="0"/>
              <w:jc w:val="left"/>
              <w:rPr/>
            </w:pPr>
            <w:r>
              <w:rPr/>
              <w:t> </w:t>
            </w:r>
          </w:p>
        </w:tc>
        <w:tc>
          <w:tcPr>
            <w:tcW w:w="11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(66,970,818)</w:t>
            </w:r>
          </w:p>
        </w:tc>
        <w:tc>
          <w:tcPr>
            <w:tcW w:w="326" w:type="dxa"/>
            <w:tcBorders/>
            <w:shd w:fill="CCEEFF" w:val="clear"/>
            <w:vAlign w:val="center"/>
          </w:tcPr>
          <w:p>
            <w:pPr>
              <w:pStyle w:val="TableContents"/>
              <w:bidi w:val="0"/>
              <w:spacing w:before="0" w:after="0"/>
              <w:ind w:left="0" w:right="0" w:hanging="0"/>
              <w:jc w:val="left"/>
              <w:rPr/>
            </w:pPr>
            <w:r>
              <w:rPr/>
              <w:t> </w:t>
            </w:r>
          </w:p>
        </w:tc>
        <w:tc>
          <w:tcPr>
            <w:tcW w:w="11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(73,298,667)</w:t>
            </w:r>
          </w:p>
        </w:tc>
      </w:tr>
      <w:tr>
        <w:trPr/>
        <w:tc>
          <w:tcPr>
            <w:tcW w:w="57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provided by other transactions with intra-Group companies</w:t>
            </w:r>
          </w:p>
        </w:tc>
        <w:tc>
          <w:tcPr>
            <w:tcW w:w="326" w:type="dxa"/>
            <w:tcBorders/>
            <w:vAlign w:val="center"/>
          </w:tcPr>
          <w:p>
            <w:pPr>
              <w:pStyle w:val="TableContents"/>
              <w:bidi w:val="0"/>
              <w:spacing w:before="0" w:after="0"/>
              <w:ind w:left="0" w:right="0" w:hanging="0"/>
              <w:jc w:val="left"/>
              <w:rPr/>
            </w:pPr>
            <w:r>
              <w:rPr/>
              <w:t> </w:t>
            </w:r>
          </w:p>
        </w:tc>
        <w:tc>
          <w:tcPr>
            <w:tcW w:w="11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(283,621)</w:t>
            </w:r>
          </w:p>
        </w:tc>
        <w:tc>
          <w:tcPr>
            <w:tcW w:w="326" w:type="dxa"/>
            <w:tcBorders/>
            <w:vAlign w:val="center"/>
          </w:tcPr>
          <w:p>
            <w:pPr>
              <w:pStyle w:val="TableContents"/>
              <w:bidi w:val="0"/>
              <w:spacing w:before="0" w:after="0"/>
              <w:ind w:left="0" w:right="0" w:hanging="0"/>
              <w:jc w:val="left"/>
              <w:rPr/>
            </w:pPr>
            <w:r>
              <w:rPr/>
              <w:t> </w:t>
            </w:r>
          </w:p>
        </w:tc>
        <w:tc>
          <w:tcPr>
            <w:tcW w:w="11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299,452</w:t>
            </w:r>
          </w:p>
        </w:tc>
        <w:tc>
          <w:tcPr>
            <w:tcW w:w="326" w:type="dxa"/>
            <w:tcBorders/>
            <w:vAlign w:val="center"/>
          </w:tcPr>
          <w:p>
            <w:pPr>
              <w:pStyle w:val="TableContents"/>
              <w:bidi w:val="0"/>
              <w:spacing w:before="0" w:after="0"/>
              <w:ind w:left="0" w:right="0" w:hanging="0"/>
              <w:jc w:val="left"/>
              <w:rPr/>
            </w:pPr>
            <w:r>
              <w:rPr/>
              <w:t> </w:t>
            </w:r>
          </w:p>
        </w:tc>
        <w:tc>
          <w:tcPr>
            <w:tcW w:w="11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639,545</w:t>
            </w:r>
          </w:p>
        </w:tc>
      </w:tr>
      <w:tr>
        <w:trPr/>
        <w:tc>
          <w:tcPr>
            <w:tcW w:w="57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dividend paid to intra-Group company</w:t>
            </w:r>
          </w:p>
        </w:tc>
        <w:tc>
          <w:tcPr>
            <w:tcW w:w="326" w:type="dxa"/>
            <w:tcBorders/>
            <w:shd w:fill="CCEEFF" w:val="clear"/>
            <w:vAlign w:val="center"/>
          </w:tcPr>
          <w:p>
            <w:pPr>
              <w:pStyle w:val="TableContents"/>
              <w:bidi w:val="0"/>
              <w:spacing w:before="0" w:after="0"/>
              <w:ind w:left="0" w:right="0" w:hanging="0"/>
              <w:jc w:val="left"/>
              <w:rPr/>
            </w:pPr>
            <w:r>
              <w:rPr/>
              <w:t> </w:t>
            </w:r>
          </w:p>
        </w:tc>
        <w:tc>
          <w:tcPr>
            <w:tcW w:w="11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(731,250)</w:t>
            </w:r>
          </w:p>
        </w:tc>
        <w:tc>
          <w:tcPr>
            <w:tcW w:w="326" w:type="dxa"/>
            <w:tcBorders/>
            <w:shd w:fill="CCEEFF" w:val="clear"/>
            <w:vAlign w:val="center"/>
          </w:tcPr>
          <w:p>
            <w:pPr>
              <w:pStyle w:val="TableContents"/>
              <w:bidi w:val="0"/>
              <w:spacing w:before="0" w:after="0"/>
              <w:ind w:left="0" w:right="0" w:hanging="0"/>
              <w:jc w:val="left"/>
              <w:rPr/>
            </w:pPr>
            <w:r>
              <w:rPr/>
              <w:t> </w:t>
            </w:r>
          </w:p>
        </w:tc>
        <w:tc>
          <w:tcPr>
            <w:tcW w:w="11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94" w:type="dxa"/>
            <w:tcBorders/>
            <w:shd w:fill="CCEEFF" w:val="clear"/>
            <w:vAlign w:val="center"/>
          </w:tcPr>
          <w:p>
            <w:pPr>
              <w:pStyle w:val="TableContents"/>
              <w:bidi w:val="0"/>
              <w:spacing w:before="0" w:after="0"/>
              <w:ind w:left="0" w:right="0" w:hanging="0"/>
              <w:jc w:val="right"/>
              <w:rPr/>
            </w:pPr>
            <w:r>
              <w:rPr/>
              <w:t>—</w:t>
            </w:r>
          </w:p>
        </w:tc>
      </w:tr>
      <w:tr>
        <w:trPr/>
        <w:tc>
          <w:tcPr>
            <w:tcW w:w="57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received from intra-Group companies</w:t>
            </w:r>
          </w:p>
        </w:tc>
        <w:tc>
          <w:tcPr>
            <w:tcW w:w="326" w:type="dxa"/>
            <w:tcBorders/>
            <w:vAlign w:val="center"/>
          </w:tcPr>
          <w:p>
            <w:pPr>
              <w:pStyle w:val="TableContents"/>
              <w:bidi w:val="0"/>
              <w:spacing w:before="0" w:after="0"/>
              <w:ind w:left="0" w:right="0" w:hanging="0"/>
              <w:jc w:val="left"/>
              <w:rPr/>
            </w:pPr>
            <w:r>
              <w:rPr/>
              <w:t> </w:t>
            </w:r>
          </w:p>
        </w:tc>
        <w:tc>
          <w:tcPr>
            <w:tcW w:w="11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195,741</w:t>
            </w:r>
          </w:p>
        </w:tc>
        <w:tc>
          <w:tcPr>
            <w:tcW w:w="326" w:type="dxa"/>
            <w:tcBorders/>
            <w:vAlign w:val="center"/>
          </w:tcPr>
          <w:p>
            <w:pPr>
              <w:pStyle w:val="TableContents"/>
              <w:bidi w:val="0"/>
              <w:spacing w:before="0" w:after="0"/>
              <w:ind w:left="0" w:right="0" w:hanging="0"/>
              <w:jc w:val="left"/>
              <w:rPr/>
            </w:pPr>
            <w:r>
              <w:rPr/>
              <w:t> </w:t>
            </w:r>
          </w:p>
        </w:tc>
        <w:tc>
          <w:tcPr>
            <w:tcW w:w="11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201,349</w:t>
            </w:r>
          </w:p>
        </w:tc>
        <w:tc>
          <w:tcPr>
            <w:tcW w:w="326" w:type="dxa"/>
            <w:tcBorders/>
            <w:vAlign w:val="center"/>
          </w:tcPr>
          <w:p>
            <w:pPr>
              <w:pStyle w:val="TableContents"/>
              <w:bidi w:val="0"/>
              <w:spacing w:before="0" w:after="0"/>
              <w:ind w:left="0" w:right="0" w:hanging="0"/>
              <w:jc w:val="left"/>
              <w:rPr/>
            </w:pPr>
            <w:r>
              <w:rPr/>
              <w:t> </w:t>
            </w:r>
          </w:p>
        </w:tc>
        <w:tc>
          <w:tcPr>
            <w:tcW w:w="11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209,735</w:t>
            </w:r>
          </w:p>
        </w:tc>
      </w:tr>
      <w:tr>
        <w:trPr/>
        <w:tc>
          <w:tcPr>
            <w:tcW w:w="57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repaid to intra-Group companies</w:t>
            </w:r>
          </w:p>
        </w:tc>
        <w:tc>
          <w:tcPr>
            <w:tcW w:w="326" w:type="dxa"/>
            <w:tcBorders/>
            <w:shd w:fill="CCEEFF" w:val="clear"/>
            <w:vAlign w:val="center"/>
          </w:tcPr>
          <w:p>
            <w:pPr>
              <w:pStyle w:val="TableContents"/>
              <w:bidi w:val="0"/>
              <w:spacing w:before="0" w:after="0"/>
              <w:ind w:left="0" w:right="0" w:hanging="0"/>
              <w:jc w:val="left"/>
              <w:rPr/>
            </w:pPr>
            <w:r>
              <w:rPr/>
              <w:t> </w:t>
            </w:r>
          </w:p>
        </w:tc>
        <w:tc>
          <w:tcPr>
            <w:tcW w:w="11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(87,300)</w:t>
            </w:r>
          </w:p>
        </w:tc>
        <w:tc>
          <w:tcPr>
            <w:tcW w:w="326" w:type="dxa"/>
            <w:tcBorders/>
            <w:shd w:fill="CCEEFF" w:val="clear"/>
            <w:vAlign w:val="center"/>
          </w:tcPr>
          <w:p>
            <w:pPr>
              <w:pStyle w:val="TableContents"/>
              <w:bidi w:val="0"/>
              <w:spacing w:before="0" w:after="0"/>
              <w:ind w:left="0" w:right="0" w:hanging="0"/>
              <w:jc w:val="left"/>
              <w:rPr/>
            </w:pPr>
            <w:r>
              <w:rPr/>
              <w:t> </w:t>
            </w:r>
          </w:p>
        </w:tc>
        <w:tc>
          <w:tcPr>
            <w:tcW w:w="11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(306,797)</w:t>
            </w:r>
          </w:p>
        </w:tc>
        <w:tc>
          <w:tcPr>
            <w:tcW w:w="326" w:type="dxa"/>
            <w:tcBorders/>
            <w:shd w:fill="CCEEFF" w:val="clear"/>
            <w:vAlign w:val="center"/>
          </w:tcPr>
          <w:p>
            <w:pPr>
              <w:pStyle w:val="TableContents"/>
              <w:bidi w:val="0"/>
              <w:spacing w:before="0" w:after="0"/>
              <w:ind w:left="0" w:right="0" w:hanging="0"/>
              <w:jc w:val="left"/>
              <w:rPr/>
            </w:pPr>
            <w:r>
              <w:rPr/>
              <w:t> </w:t>
            </w:r>
          </w:p>
        </w:tc>
        <w:tc>
          <w:tcPr>
            <w:tcW w:w="11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(262,574)</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For any amounts owed by the VIEs to our China mainland subsidiaries under the VIE agreements, unless otherwise required by the PRC tax authorities, we are able to settle such amounts without limitations under the currently effective PRC laws and regulations, provided that the VIEs have sufficient funds to do so. Our China mainland subsidiaries are permitted to pay dividends to their shareholders, and eventually to NetEase, Inc. only out of their retained earnings, if any, as determined in accordance with PRC accounting standards and regulations. Such payment of dividends by entities registered in China is subject to limitations, which could result in limitations on the availability of cash to fund dividends or make distributions to shareholders of our securities. For example, our China mainland subsidiaries and the VIEs are required to make appropriations to certain statutory reserve funds or may make appropriations to certain discretionary funds, which are not distributable as cash dividends except in the event of a solvent liquidation of the companies. We currently do not have cash management policies in place that dictate how funds are transferred between NetEase, Inc., our subsidiaries, the VIEs and the investors. Rather, the funds can be transferred in accordance with the applicable PRC laws and regulations. For the purpose of illustration, the below table reflects the hypothetical taxes that might be required to be paid within China, assuming that: (i) we have taxable earnings, and (ii) we determine to pay a dividend in the future:</w:t>
      </w:r>
    </w:p>
    <w:p>
      <w:pPr>
        <w:pStyle w:val="TextBody"/>
        <w:bidi w:val="0"/>
        <w:spacing w:before="0" w:after="0"/>
        <w:ind w:left="0" w:right="0" w:hanging="0"/>
        <w:jc w:val="left"/>
        <w:rPr/>
      </w:pPr>
      <w:r>
        <w:rPr/>
        <w:t>​</w:t>
      </w:r>
    </w:p>
    <w:tbl>
      <w:tblPr>
        <w:tblW w:w="8762" w:type="dxa"/>
        <w:jc w:val="left"/>
        <w:tblInd w:w="0" w:type="dxa"/>
        <w:tblLayout w:type="fixed"/>
        <w:tblCellMar>
          <w:top w:w="0" w:type="dxa"/>
          <w:left w:w="0" w:type="dxa"/>
          <w:bottom w:w="0" w:type="dxa"/>
          <w:right w:w="0" w:type="dxa"/>
        </w:tblCellMar>
      </w:tblPr>
      <w:tblGrid>
        <w:gridCol w:w="3541"/>
        <w:gridCol w:w="5221"/>
      </w:tblGrid>
      <w:tr>
        <w:trPr/>
        <w:tc>
          <w:tcPr>
            <w:tcW w:w="3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248535" cy="175260"/>
                      <wp:effectExtent l="0" t="0" r="0" b="0"/>
                      <wp:wrapNone/>
                      <wp:docPr id="136" name="Frame135"/>
                      <a:graphic xmlns:a="http://schemas.openxmlformats.org/drawingml/2006/main">
                        <a:graphicData uri="http://schemas.microsoft.com/office/word/2010/wordprocessingShape">
                          <wps:wsp>
                            <wps:cNvSpPr txBox="1"/>
                            <wps:spPr>
                              <a:xfrm>
                                <a:off x="0" y="0"/>
                                <a:ext cx="2248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3315335" cy="29210"/>
                      <wp:effectExtent l="0" t="0" r="0" b="0"/>
                      <wp:wrapNone/>
                      <wp:docPr id="137" name="Frame136"/>
                      <a:graphic xmlns:a="http://schemas.openxmlformats.org/drawingml/2006/main">
                        <a:graphicData uri="http://schemas.microsoft.com/office/word/2010/wordprocessingShape">
                          <wps:wsp>
                            <wps:cNvSpPr txBox="1"/>
                            <wps:spPr>
                              <a:xfrm>
                                <a:off x="0" y="0"/>
                                <a:ext cx="33153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541" w:type="dxa"/>
            <w:tcBorders/>
            <w:vAlign w:val="center"/>
          </w:tcPr>
          <w:p>
            <w:pPr>
              <w:pStyle w:val="TableContents"/>
              <w:bidi w:val="0"/>
              <w:spacing w:before="0" w:after="0"/>
              <w:ind w:left="0" w:right="0" w:hanging="0"/>
              <w:jc w:val="left"/>
              <w:rPr/>
            </w:pPr>
            <w:r>
              <w:rPr/>
              <w:t>​</w:t>
            </w:r>
          </w:p>
        </w:tc>
        <w:tc>
          <w:tcPr>
            <w:tcW w:w="522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 Bold" w:hAnsi="Times New Roman Bold"/>
                <w:b/>
                <w:sz w:val="16"/>
              </w:rPr>
              <w:t>Taxation Scenario</w:t>
            </w:r>
            <w:r>
              <w:rPr>
                <w:rFonts w:ascii="Times New Roman Bold" w:hAnsi="Times New Roman Bold"/>
                <w:b/>
                <w:sz w:val="12"/>
              </w:rPr>
              <w:t>(1)</w:t>
            </w:r>
            <w:r>
              <w:rPr>
                <w:rFonts w:ascii="Times New Roman;Times;serif" w:hAnsi="Times New Roman;Times;serif"/>
                <w:sz w:val="16"/>
              </w:rPr>
              <w:t xml:space="preserve"> </w:t>
            </w:r>
            <w:r>
              <w:rPr>
                <w:rFonts w:ascii="Times New Roman Bold" w:hAnsi="Times New Roman Bold"/>
                <w:b/>
                <w:sz w:val="16"/>
              </w:rPr>
              <w:t>Statutory Tax and Standard Rates</w:t>
            </w:r>
          </w:p>
        </w:tc>
      </w:tr>
      <w:tr>
        <w:trPr/>
        <w:tc>
          <w:tcPr>
            <w:tcW w:w="3541"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Hypothetical pre-tax earnings</w:t>
            </w:r>
            <w:r>
              <w:rPr>
                <w:rFonts w:ascii="Times New Roman;Times;serif" w:hAnsi="Times New Roman;Times;serif"/>
                <w:sz w:val="15"/>
              </w:rPr>
              <w:t>(2)</w:t>
            </w:r>
          </w:p>
        </w:tc>
        <w:tc>
          <w:tcPr>
            <w:tcW w:w="5221"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r>
      <w:tr>
        <w:trPr/>
        <w:tc>
          <w:tcPr>
            <w:tcW w:w="3541"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Tax on earnings at statutory rate of 25%</w:t>
            </w:r>
            <w:r>
              <w:rPr>
                <w:rFonts w:ascii="Times New Roman;Times;serif" w:hAnsi="Times New Roman;Times;serif"/>
                <w:sz w:val="15"/>
              </w:rPr>
              <w:t>(3)</w:t>
            </w:r>
          </w:p>
        </w:tc>
        <w:tc>
          <w:tcPr>
            <w:tcW w:w="52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w:t>
            </w:r>
          </w:p>
        </w:tc>
      </w:tr>
      <w:tr>
        <w:trPr/>
        <w:tc>
          <w:tcPr>
            <w:tcW w:w="35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earnings available for distribution</w:t>
            </w:r>
          </w:p>
        </w:tc>
        <w:tc>
          <w:tcPr>
            <w:tcW w:w="522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75%</w:t>
            </w:r>
          </w:p>
        </w:tc>
      </w:tr>
      <w:tr>
        <w:trPr/>
        <w:tc>
          <w:tcPr>
            <w:tcW w:w="3541"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Withholding tax at standard rate of 10%</w:t>
            </w:r>
            <w:r>
              <w:rPr>
                <w:rFonts w:ascii="Times New Roman;Times;serif" w:hAnsi="Times New Roman;Times;serif"/>
                <w:sz w:val="15"/>
              </w:rPr>
              <w:t>(4)</w:t>
            </w:r>
          </w:p>
        </w:tc>
        <w:tc>
          <w:tcPr>
            <w:tcW w:w="52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(7.5%)</w:t>
            </w:r>
          </w:p>
        </w:tc>
      </w:tr>
      <w:tr>
        <w:trPr/>
        <w:tc>
          <w:tcPr>
            <w:tcW w:w="35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distribution to Parent/Shareholders</w:t>
            </w:r>
          </w:p>
        </w:tc>
        <w:tc>
          <w:tcPr>
            <w:tcW w:w="522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67.5%</w:t>
            </w:r>
          </w:p>
        </w:tc>
      </w:tr>
    </w:tbl>
    <w:p>
      <w:pPr>
        <w:pStyle w:val="TextBody"/>
        <w:pBdr/>
        <w:bidi w:val="0"/>
        <w:spacing w:before="0" w:after="240"/>
        <w:ind w:left="0" w:right="0" w:hanging="360"/>
        <w:jc w:val="left"/>
        <w:rPr>
          <w:rFonts w:ascii="Times New Roman;Times;serif" w:hAnsi="Times New Roman;Times;serif"/>
          <w:sz w:val="20"/>
        </w:rPr>
      </w:pPr>
      <w:r>
        <w:rPr>
          <w:rFonts w:ascii="Times New Roman;Times;serif" w:hAnsi="Times New Roman;Times;serif"/>
          <w:sz w:val="20"/>
        </w:rPr>
        <w:t>Notes:</w:t>
      </w:r>
    </w:p>
    <w:tbl>
      <w:tblPr>
        <w:tblW w:w="10205" w:type="dxa"/>
        <w:jc w:val="left"/>
        <w:tblInd w:w="0" w:type="dxa"/>
        <w:tblLayout w:type="fixed"/>
        <w:tblCellMar>
          <w:top w:w="28" w:type="dxa"/>
          <w:left w:w="28" w:type="dxa"/>
          <w:bottom w:w="28" w:type="dxa"/>
          <w:right w:w="28" w:type="dxa"/>
        </w:tblCellMar>
      </w:tblPr>
      <w:tblGrid>
        <w:gridCol w:w="124"/>
        <w:gridCol w:w="302"/>
        <w:gridCol w:w="9779"/>
      </w:tblGrid>
      <w:tr>
        <w:trPr/>
        <w:tc>
          <w:tcPr>
            <w:tcW w:w="124" w:type="dxa"/>
            <w:tcBorders/>
            <w:vAlign w:val="center"/>
          </w:tcPr>
          <w:p>
            <w:pPr>
              <w:pStyle w:val="TableContents"/>
              <w:bidi w:val="0"/>
              <w:spacing w:before="0" w:after="283"/>
              <w:jc w:val="left"/>
              <w:rPr>
                <w:sz w:val="4"/>
                <w:szCs w:val="4"/>
              </w:rPr>
            </w:pPr>
            <w:r>
              <w:rPr>
                <w:sz w:val="4"/>
                <w:szCs w:val="4"/>
              </w:rPr>
            </w:r>
          </w:p>
        </w:tc>
        <w:tc>
          <w:tcPr>
            <w:tcW w:w="30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7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calculation has been simplified for the purpose of this example. The hypothetical book pre-tax earnings amount, which does not consider timing differences, is assumed to equal the taxable income in the PRC.</w:t>
            </w:r>
          </w:p>
        </w:tc>
      </w:tr>
    </w:tbl>
    <w:tbl>
      <w:tblPr>
        <w:tblW w:w="10205" w:type="dxa"/>
        <w:jc w:val="left"/>
        <w:tblInd w:w="0" w:type="dxa"/>
        <w:tblLayout w:type="fixed"/>
        <w:tblCellMar>
          <w:top w:w="28" w:type="dxa"/>
          <w:left w:w="28" w:type="dxa"/>
          <w:bottom w:w="28" w:type="dxa"/>
          <w:right w:w="28" w:type="dxa"/>
        </w:tblCellMar>
      </w:tblPr>
      <w:tblGrid>
        <w:gridCol w:w="124"/>
        <w:gridCol w:w="282"/>
        <w:gridCol w:w="9799"/>
      </w:tblGrid>
      <w:tr>
        <w:trPr/>
        <w:tc>
          <w:tcPr>
            <w:tcW w:w="124" w:type="dxa"/>
            <w:tcBorders/>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79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VIE agreements, service fees are charged by our China mainland subsidiaries to the VIEs. For all the periods presented, these fees are recognized as expenses of the VIEs, with a corresponding amount as service income by our China mainland subsidiaries and eliminated in consolidation. For income tax purposes, our China mainland subsidiaries and the VIEs file income taxes on a separate company basis. The fees paid are recognized as a tax deduction by the VIEs and as income by our China mainland subsidiaries and are tax neutral.</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Upon the VIEs reaching a cumulative level of profitability, because our China mainland subsidiaries own certain trademarks and copyrights, the agreements will be updated to reflect charges for such trademarks and copyrights usage on the basis that they will qualify for tax neutral treatment.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88"/>
        <w:gridCol w:w="9793"/>
      </w:tblGrid>
      <w:tr>
        <w:trPr/>
        <w:tc>
          <w:tcPr>
            <w:tcW w:w="124" w:type="dxa"/>
            <w:tcBorders/>
            <w:vAlign w:val="center"/>
          </w:tcPr>
          <w:p>
            <w:pPr>
              <w:pStyle w:val="TableContents"/>
              <w:bidi w:val="0"/>
              <w:spacing w:before="0" w:after="283"/>
              <w:jc w:val="left"/>
              <w:rPr>
                <w:sz w:val="4"/>
                <w:szCs w:val="4"/>
              </w:rPr>
            </w:pPr>
            <w:r>
              <w:rPr>
                <w:sz w:val="4"/>
                <w:szCs w:val="4"/>
              </w:rPr>
            </w:r>
          </w:p>
        </w:tc>
        <w:tc>
          <w:tcPr>
            <w:tcW w:w="28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79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subsidiaries and the VIEs qualify for a 15% preferential income tax rate in China. However, such rate is subject to qualification, is temporary in nature, and may not be available in a future period when distributions are paid. For purposes of this hypothetical example, the table above reflects a maximum tax scenario under which the full statutory rate would be effective.</w:t>
            </w:r>
          </w:p>
        </w:tc>
      </w:tr>
    </w:tbl>
    <w:tbl>
      <w:tblPr>
        <w:tblW w:w="10205" w:type="dxa"/>
        <w:jc w:val="left"/>
        <w:tblInd w:w="0" w:type="dxa"/>
        <w:tblLayout w:type="fixed"/>
        <w:tblCellMar>
          <w:top w:w="28" w:type="dxa"/>
          <w:left w:w="28" w:type="dxa"/>
          <w:bottom w:w="28" w:type="dxa"/>
          <w:right w:w="28" w:type="dxa"/>
        </w:tblCellMar>
      </w:tblPr>
      <w:tblGrid>
        <w:gridCol w:w="124"/>
        <w:gridCol w:w="281"/>
        <w:gridCol w:w="9800"/>
      </w:tblGrid>
      <w:tr>
        <w:trPr/>
        <w:tc>
          <w:tcPr>
            <w:tcW w:w="124" w:type="dxa"/>
            <w:tcBorders/>
            <w:vAlign w:val="center"/>
          </w:tcPr>
          <w:p>
            <w:pPr>
              <w:pStyle w:val="TableContents"/>
              <w:bidi w:val="0"/>
              <w:spacing w:before="0" w:after="283"/>
              <w:jc w:val="left"/>
              <w:rPr>
                <w:sz w:val="4"/>
                <w:szCs w:val="4"/>
              </w:rPr>
            </w:pPr>
            <w:r>
              <w:rPr>
                <w:sz w:val="4"/>
                <w:szCs w:val="4"/>
              </w:rPr>
            </w:r>
          </w:p>
        </w:tc>
        <w:tc>
          <w:tcPr>
            <w:tcW w:w="2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80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China’s Enterprise Income Tax Law imposes a withholding income tax of 10% on dividends distributed by a foreign invested enterprise to its immediate holding company outside of China. A lower withholding income tax rate of 5% is applied if the foreign invested enterprises’ immediate holding company is registered in Hong Kong or other jurisdictions that have a tax treaty arrangement with China, subject to a qualification review at the time of the distribution. For the purpose of this hypothetical example, this table has been prepared based on a taxation scenario under which the full withholding tax would be applied.</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table above has been prepared under the assumption that all profits of the VIEs will be distributed as fees to our China mainland subsidiaries under tax neutral contractual arrangements. If in the future, the accumulated earnings of the VIEs exceed the fees paid to our China mainland subsidiaries, or if the current and contemplated fee structure between the intercompany entities is determined to be non-substantive and disallowed by Chinese tax authorities, the VIEs could make a non-deductible transfer to our China mainland subsidiaries for the amounts of the stranded cash in the VIEs. This would result in such transfer being non-deductible expenses for the VIEs but still taxable income for the China mainland subsidiaries. Such a transfer and the related tax burdens would reduce our after-tax income to approximately 50.6% of the pre-tax income. Our management believes that there is only a remote possibility that this scenario would happen.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Condensed Consolidating Schedule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tables present the condensed consolidating schedule of financial information for NetEase, Inc., its wholly owned subsidiaries that are the primary beneficiaries of the VIEs under U.S. GAAP (the “Primary Beneficiaries of VIEs”), our other subsidiaries that are not the Primary Beneficiaries of VIEs (the “Other Subsidiaries”), and the VIEs and their subsidiaries that we consolidate for the periods presented.</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904"/>
        <w:gridCol w:w="326"/>
        <w:gridCol w:w="1006"/>
        <w:gridCol w:w="326"/>
        <w:gridCol w:w="1006"/>
        <w:gridCol w:w="326"/>
        <w:gridCol w:w="1216"/>
        <w:gridCol w:w="326"/>
        <w:gridCol w:w="931"/>
        <w:gridCol w:w="326"/>
        <w:gridCol w:w="1074"/>
        <w:gridCol w:w="326"/>
        <w:gridCol w:w="1112"/>
      </w:tblGrid>
      <w:tr>
        <w:trPr/>
        <w:tc>
          <w:tcPr>
            <w:tcW w:w="1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209040" cy="175260"/>
                      <wp:effectExtent l="0" t="0" r="0" b="0"/>
                      <wp:wrapNone/>
                      <wp:docPr id="138" name="Frame137"/>
                      <a:graphic xmlns:a="http://schemas.openxmlformats.org/drawingml/2006/main">
                        <a:graphicData uri="http://schemas.microsoft.com/office/word/2010/wordprocessingShape">
                          <wps:wsp>
                            <wps:cNvSpPr txBox="1"/>
                            <wps:spPr>
                              <a:xfrm>
                                <a:off x="0" y="0"/>
                                <a:ext cx="1209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07010" cy="175260"/>
                      <wp:effectExtent l="0" t="0" r="0" b="0"/>
                      <wp:wrapNone/>
                      <wp:docPr id="139" name="Frame1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38810" cy="175260"/>
                      <wp:effectExtent l="0" t="0" r="0" b="0"/>
                      <wp:wrapNone/>
                      <wp:docPr id="140" name="Frame139"/>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07010" cy="175260"/>
                      <wp:effectExtent l="0" t="0" r="0" b="0"/>
                      <wp:wrapNone/>
                      <wp:docPr id="141" name="Frame1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38810" cy="175260"/>
                      <wp:effectExtent l="0" t="0" r="0" b="0"/>
                      <wp:wrapNone/>
                      <wp:docPr id="142" name="Frame141"/>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07010" cy="175260"/>
                      <wp:effectExtent l="0" t="0" r="0" b="0"/>
                      <wp:wrapNone/>
                      <wp:docPr id="143" name="Frame1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772160" cy="175260"/>
                      <wp:effectExtent l="0" t="0" r="0" b="0"/>
                      <wp:wrapNone/>
                      <wp:docPr id="144" name="Frame143"/>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07010" cy="175260"/>
                      <wp:effectExtent l="0" t="0" r="0" b="0"/>
                      <wp:wrapNone/>
                      <wp:docPr id="145" name="Frame1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591185" cy="175260"/>
                      <wp:effectExtent l="0" t="0" r="0" b="0"/>
                      <wp:wrapNone/>
                      <wp:docPr id="146" name="Frame14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07010" cy="175260"/>
                      <wp:effectExtent l="0" t="0" r="0" b="0"/>
                      <wp:wrapNone/>
                      <wp:docPr id="147" name="Frame1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81990" cy="175260"/>
                      <wp:effectExtent l="0" t="0" r="0" b="0"/>
                      <wp:wrapNone/>
                      <wp:docPr id="148" name="Frame147"/>
                      <a:graphic xmlns:a="http://schemas.openxmlformats.org/drawingml/2006/main">
                        <a:graphicData uri="http://schemas.microsoft.com/office/word/2010/wordprocessingShape">
                          <wps:wsp>
                            <wps:cNvSpPr txBox="1"/>
                            <wps:spPr>
                              <a:xfrm>
                                <a:off x="0" y="0"/>
                                <a:ext cx="681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07010" cy="175260"/>
                      <wp:effectExtent l="0" t="0" r="0" b="0"/>
                      <wp:wrapNone/>
                      <wp:docPr id="149" name="Frame1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706120" cy="175260"/>
                      <wp:effectExtent l="0" t="0" r="0" b="0"/>
                      <wp:wrapNone/>
                      <wp:docPr id="150" name="Frame149"/>
                      <a:graphic xmlns:a="http://schemas.openxmlformats.org/drawingml/2006/main">
                        <a:graphicData uri="http://schemas.microsoft.com/office/word/2010/wordprocessingShape">
                          <wps:wsp>
                            <wps:cNvSpPr txBox="1"/>
                            <wps:spPr>
                              <a:xfrm>
                                <a:off x="0" y="0"/>
                                <a:ext cx="706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04" w:type="dxa"/>
            <w:tcBorders/>
            <w:vAlign w:val="center"/>
          </w:tcPr>
          <w:p>
            <w:pPr>
              <w:pStyle w:val="TableContents"/>
              <w:bidi w:val="0"/>
              <w:spacing w:before="0" w:after="0"/>
              <w:ind w:left="0" w:right="0" w:hanging="0"/>
              <w:jc w:val="left"/>
              <w:rPr/>
            </w:pPr>
            <w:r>
              <w:rPr/>
              <w:t>​</w:t>
            </w:r>
          </w:p>
        </w:tc>
        <w:tc>
          <w:tcPr>
            <w:tcW w:w="8301" w:type="dxa"/>
            <w:gridSpan w:val="1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2022</w:t>
            </w:r>
          </w:p>
        </w:tc>
      </w:tr>
      <w:tr>
        <w:trPr/>
        <w:tc>
          <w:tcPr>
            <w:tcW w:w="190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0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2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Primary</w:t>
            </w:r>
          </w:p>
        </w:tc>
        <w:tc>
          <w:tcPr>
            <w:tcW w:w="326" w:type="dxa"/>
            <w:tcBorders/>
            <w:vAlign w:val="center"/>
          </w:tcPr>
          <w:p>
            <w:pPr>
              <w:pStyle w:val="TableContents"/>
              <w:bidi w:val="0"/>
              <w:spacing w:before="0" w:after="0"/>
              <w:ind w:left="0" w:right="0" w:hanging="0"/>
              <w:jc w:val="center"/>
              <w:rPr/>
            </w:pPr>
            <w:r>
              <w:rPr/>
              <w:t>    </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VIEs and</w:t>
            </w:r>
          </w:p>
        </w:tc>
        <w:tc>
          <w:tcPr>
            <w:tcW w:w="326" w:type="dxa"/>
            <w:tcBorders/>
            <w:vAlign w:val="center"/>
          </w:tcPr>
          <w:p>
            <w:pPr>
              <w:pStyle w:val="TableContents"/>
              <w:bidi w:val="0"/>
              <w:spacing w:before="0" w:after="0"/>
              <w:ind w:left="0" w:right="0" w:hanging="0"/>
              <w:jc w:val="center"/>
              <w:rPr/>
            </w:pPr>
            <w:r>
              <w:rPr/>
              <w:t>    </w:t>
            </w:r>
          </w:p>
        </w:tc>
        <w:tc>
          <w:tcPr>
            <w:tcW w:w="107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112" w:type="dxa"/>
            <w:tcBorders/>
            <w:vAlign w:val="center"/>
          </w:tcPr>
          <w:p>
            <w:pPr>
              <w:pStyle w:val="TableContents"/>
              <w:bidi w:val="0"/>
              <w:spacing w:before="0" w:after="0"/>
              <w:ind w:left="0" w:right="0" w:hanging="0"/>
              <w:jc w:val="center"/>
              <w:rPr/>
            </w:pPr>
            <w:r>
              <w:rPr/>
              <w:t>​</w:t>
            </w:r>
          </w:p>
        </w:tc>
      </w:tr>
      <w:tr>
        <w:trPr/>
        <w:tc>
          <w:tcPr>
            <w:tcW w:w="190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NetEase,</w:t>
            </w:r>
          </w:p>
        </w:tc>
        <w:tc>
          <w:tcPr>
            <w:tcW w:w="3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center"/>
              <w:rPr/>
            </w:pPr>
            <w:r>
              <w:rPr/>
              <w:t>​</w:t>
            </w:r>
          </w:p>
        </w:tc>
        <w:tc>
          <w:tcPr>
            <w:tcW w:w="12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Beneficiaries of</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their</w:t>
            </w:r>
          </w:p>
        </w:tc>
        <w:tc>
          <w:tcPr>
            <w:tcW w:w="326" w:type="dxa"/>
            <w:tcBorders/>
            <w:vAlign w:val="center"/>
          </w:tcPr>
          <w:p>
            <w:pPr>
              <w:pStyle w:val="TableContents"/>
              <w:bidi w:val="0"/>
              <w:spacing w:before="0" w:after="0"/>
              <w:ind w:left="0" w:right="0" w:hanging="0"/>
              <w:jc w:val="center"/>
              <w:rPr/>
            </w:pPr>
            <w:r>
              <w:rPr/>
              <w:t>​</w:t>
            </w:r>
          </w:p>
        </w:tc>
        <w:tc>
          <w:tcPr>
            <w:tcW w:w="107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Eliminating</w:t>
            </w:r>
          </w:p>
        </w:tc>
        <w:tc>
          <w:tcPr>
            <w:tcW w:w="326" w:type="dxa"/>
            <w:tcBorders/>
            <w:vAlign w:val="center"/>
          </w:tcPr>
          <w:p>
            <w:pPr>
              <w:pStyle w:val="TableContents"/>
              <w:bidi w:val="0"/>
              <w:spacing w:before="0" w:after="0"/>
              <w:ind w:left="0" w:right="0" w:hanging="0"/>
              <w:jc w:val="center"/>
              <w:rPr/>
            </w:pPr>
            <w:r>
              <w:rPr/>
              <w:t>​</w:t>
            </w:r>
          </w:p>
        </w:tc>
        <w:tc>
          <w:tcPr>
            <w:tcW w:w="111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190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w:t>
            </w:r>
          </w:p>
        </w:tc>
        <w:tc>
          <w:tcPr>
            <w:tcW w:w="326" w:type="dxa"/>
            <w:tcBorders/>
            <w:vAlign w:val="center"/>
          </w:tcPr>
          <w:p>
            <w:pPr>
              <w:pStyle w:val="TableContents"/>
              <w:bidi w:val="0"/>
              <w:spacing w:before="0" w:after="0"/>
              <w:ind w:left="0" w:right="0" w:hanging="0"/>
              <w:jc w:val="center"/>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vAlign w:val="center"/>
          </w:tcPr>
          <w:p>
            <w:pPr>
              <w:pStyle w:val="TableContents"/>
              <w:bidi w:val="0"/>
              <w:spacing w:before="0" w:after="0"/>
              <w:ind w:left="0" w:right="0" w:hanging="0"/>
              <w:jc w:val="center"/>
              <w:rPr/>
            </w:pPr>
            <w:r>
              <w:rPr/>
              <w:t>​</w:t>
            </w:r>
          </w:p>
        </w:tc>
        <w:tc>
          <w:tcPr>
            <w:tcW w:w="12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VIEs</w:t>
            </w:r>
          </w:p>
        </w:tc>
        <w:tc>
          <w:tcPr>
            <w:tcW w:w="32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vAlign w:val="center"/>
          </w:tcPr>
          <w:p>
            <w:pPr>
              <w:pStyle w:val="TableContents"/>
              <w:bidi w:val="0"/>
              <w:spacing w:before="0" w:after="0"/>
              <w:ind w:left="0" w:right="0" w:hanging="0"/>
              <w:jc w:val="center"/>
              <w:rPr/>
            </w:pPr>
            <w:r>
              <w:rPr/>
              <w:t>​</w:t>
            </w:r>
          </w:p>
        </w:tc>
        <w:tc>
          <w:tcPr>
            <w:tcW w:w="107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26" w:type="dxa"/>
            <w:tcBorders/>
            <w:vAlign w:val="center"/>
          </w:tcPr>
          <w:p>
            <w:pPr>
              <w:pStyle w:val="TableContents"/>
              <w:bidi w:val="0"/>
              <w:spacing w:before="0" w:after="0"/>
              <w:ind w:left="0" w:right="0" w:hanging="0"/>
              <w:jc w:val="center"/>
              <w:rPr/>
            </w:pPr>
            <w:r>
              <w:rPr/>
              <w:t>​</w:t>
            </w:r>
          </w:p>
        </w:tc>
        <w:tc>
          <w:tcPr>
            <w:tcW w:w="111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totals</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90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975" w:type="dxa"/>
            <w:gridSpan w:val="11"/>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(RMB in thousands)</w:t>
            </w:r>
          </w:p>
        </w:tc>
      </w:tr>
      <w:tr>
        <w:trPr/>
        <w:tc>
          <w:tcPr>
            <w:tcW w:w="1904"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Assets</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07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pPr>
            <w:r>
              <w:rPr/>
              <w:t>  </w:t>
            </w:r>
          </w:p>
        </w:tc>
      </w:tr>
      <w:tr>
        <w:trPr/>
        <w:tc>
          <w:tcPr>
            <w:tcW w:w="1904"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98,865</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4,771,179</w:t>
            </w:r>
          </w:p>
        </w:tc>
        <w:tc>
          <w:tcPr>
            <w:tcW w:w="32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17,715,676</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2,303,280</w:t>
            </w:r>
          </w:p>
        </w:tc>
        <w:tc>
          <w:tcPr>
            <w:tcW w:w="326" w:type="dxa"/>
            <w:tcBorders/>
            <w:vAlign w:val="center"/>
          </w:tcPr>
          <w:p>
            <w:pPr>
              <w:pStyle w:val="TableContents"/>
              <w:bidi w:val="0"/>
              <w:spacing w:before="0" w:after="0"/>
              <w:ind w:left="0" w:right="0" w:hanging="0"/>
              <w:jc w:val="left"/>
              <w:rPr/>
            </w:pPr>
            <w:r>
              <w:rPr/>
              <w:t> </w:t>
            </w:r>
          </w:p>
        </w:tc>
        <w:tc>
          <w:tcPr>
            <w:tcW w:w="10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1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24,889,000</w:t>
            </w:r>
          </w:p>
        </w:tc>
      </w:tr>
      <w:tr>
        <w:trPr/>
        <w:tc>
          <w:tcPr>
            <w:tcW w:w="190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Time deposits</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60,115,896</w:t>
            </w:r>
          </w:p>
        </w:tc>
        <w:tc>
          <w:tcPr>
            <w:tcW w:w="326"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27,405,623</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400,000</w:t>
            </w:r>
          </w:p>
        </w:tc>
        <w:tc>
          <w:tcPr>
            <w:tcW w:w="326" w:type="dxa"/>
            <w:tcBorders/>
            <w:shd w:fill="CCEEFF" w:val="clear"/>
            <w:vAlign w:val="center"/>
          </w:tcPr>
          <w:p>
            <w:pPr>
              <w:pStyle w:val="TableContents"/>
              <w:bidi w:val="0"/>
              <w:spacing w:before="0" w:after="0"/>
              <w:ind w:left="0" w:right="0" w:hanging="0"/>
              <w:jc w:val="left"/>
              <w:rPr/>
            </w:pPr>
            <w:r>
              <w:rPr/>
              <w:t> </w:t>
            </w:r>
          </w:p>
        </w:tc>
        <w:tc>
          <w:tcPr>
            <w:tcW w:w="107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87,921,519</w:t>
            </w:r>
          </w:p>
        </w:tc>
      </w:tr>
      <w:tr>
        <w:trPr/>
        <w:tc>
          <w:tcPr>
            <w:tcW w:w="1904"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Restricted cash</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15,584</w:t>
            </w:r>
          </w:p>
        </w:tc>
        <w:tc>
          <w:tcPr>
            <w:tcW w:w="32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28,570</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2,655,171</w:t>
            </w:r>
          </w:p>
        </w:tc>
        <w:tc>
          <w:tcPr>
            <w:tcW w:w="326" w:type="dxa"/>
            <w:tcBorders/>
            <w:vAlign w:val="center"/>
          </w:tcPr>
          <w:p>
            <w:pPr>
              <w:pStyle w:val="TableContents"/>
              <w:bidi w:val="0"/>
              <w:spacing w:before="0" w:after="0"/>
              <w:ind w:left="0" w:right="0" w:hanging="0"/>
              <w:jc w:val="left"/>
              <w:rPr/>
            </w:pPr>
            <w:r>
              <w:rPr/>
              <w:t> </w:t>
            </w:r>
          </w:p>
        </w:tc>
        <w:tc>
          <w:tcPr>
            <w:tcW w:w="10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1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2,699,325</w:t>
            </w:r>
          </w:p>
        </w:tc>
      </w:tr>
      <w:tr>
        <w:trPr/>
        <w:tc>
          <w:tcPr>
            <w:tcW w:w="190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receivable, net</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1,165,043</w:t>
            </w:r>
          </w:p>
        </w:tc>
        <w:tc>
          <w:tcPr>
            <w:tcW w:w="326"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295,557</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3,542,272</w:t>
            </w:r>
          </w:p>
        </w:tc>
        <w:tc>
          <w:tcPr>
            <w:tcW w:w="326" w:type="dxa"/>
            <w:tcBorders/>
            <w:shd w:fill="CCEEFF" w:val="clear"/>
            <w:vAlign w:val="center"/>
          </w:tcPr>
          <w:p>
            <w:pPr>
              <w:pStyle w:val="TableContents"/>
              <w:bidi w:val="0"/>
              <w:spacing w:before="0" w:after="0"/>
              <w:ind w:left="0" w:right="0" w:hanging="0"/>
              <w:jc w:val="left"/>
              <w:rPr/>
            </w:pPr>
            <w:r>
              <w:rPr/>
              <w:t> </w:t>
            </w:r>
          </w:p>
        </w:tc>
        <w:tc>
          <w:tcPr>
            <w:tcW w:w="107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5,002,872</w:t>
            </w:r>
          </w:p>
        </w:tc>
      </w:tr>
      <w:tr>
        <w:trPr/>
        <w:tc>
          <w:tcPr>
            <w:tcW w:w="1904"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Inventories</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768,099</w:t>
            </w:r>
          </w:p>
        </w:tc>
        <w:tc>
          <w:tcPr>
            <w:tcW w:w="32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157,965</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67,572</w:t>
            </w:r>
          </w:p>
        </w:tc>
        <w:tc>
          <w:tcPr>
            <w:tcW w:w="326" w:type="dxa"/>
            <w:tcBorders/>
            <w:vAlign w:val="center"/>
          </w:tcPr>
          <w:p>
            <w:pPr>
              <w:pStyle w:val="TableContents"/>
              <w:bidi w:val="0"/>
              <w:spacing w:before="0" w:after="0"/>
              <w:ind w:left="0" w:right="0" w:hanging="0"/>
              <w:jc w:val="left"/>
              <w:rPr/>
            </w:pPr>
            <w:r>
              <w:rPr/>
              <w:t> </w:t>
            </w:r>
          </w:p>
        </w:tc>
        <w:tc>
          <w:tcPr>
            <w:tcW w:w="10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1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993,636</w:t>
            </w:r>
          </w:p>
        </w:tc>
      </w:tr>
      <w:tr>
        <w:trPr/>
        <w:tc>
          <w:tcPr>
            <w:tcW w:w="190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Prepayments and other current assets, net</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328,766</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2,109,849</w:t>
            </w:r>
          </w:p>
        </w:tc>
        <w:tc>
          <w:tcPr>
            <w:tcW w:w="326"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1,142,559</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1,867,110</w:t>
            </w:r>
          </w:p>
        </w:tc>
        <w:tc>
          <w:tcPr>
            <w:tcW w:w="326" w:type="dxa"/>
            <w:tcBorders/>
            <w:shd w:fill="CCEEFF" w:val="clear"/>
            <w:vAlign w:val="center"/>
          </w:tcPr>
          <w:p>
            <w:pPr>
              <w:pStyle w:val="TableContents"/>
              <w:bidi w:val="0"/>
              <w:spacing w:before="0" w:after="0"/>
              <w:ind w:left="0" w:right="0" w:hanging="0"/>
              <w:jc w:val="left"/>
              <w:rPr/>
            </w:pPr>
            <w:r>
              <w:rPr/>
              <w:t> </w:t>
            </w:r>
          </w:p>
        </w:tc>
        <w:tc>
          <w:tcPr>
            <w:tcW w:w="107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5,448,284</w:t>
            </w:r>
          </w:p>
        </w:tc>
      </w:tr>
      <w:tr>
        <w:trPr/>
        <w:tc>
          <w:tcPr>
            <w:tcW w:w="1904"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Short-term investments</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138,218</w:t>
            </w:r>
          </w:p>
        </w:tc>
        <w:tc>
          <w:tcPr>
            <w:tcW w:w="32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7,410,471</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73,984</w:t>
            </w:r>
          </w:p>
        </w:tc>
        <w:tc>
          <w:tcPr>
            <w:tcW w:w="326" w:type="dxa"/>
            <w:tcBorders/>
            <w:vAlign w:val="center"/>
          </w:tcPr>
          <w:p>
            <w:pPr>
              <w:pStyle w:val="TableContents"/>
              <w:bidi w:val="0"/>
              <w:spacing w:before="0" w:after="0"/>
              <w:ind w:left="0" w:right="0" w:hanging="0"/>
              <w:jc w:val="left"/>
              <w:rPr/>
            </w:pPr>
            <w:r>
              <w:rPr/>
              <w:t> </w:t>
            </w:r>
          </w:p>
        </w:tc>
        <w:tc>
          <w:tcPr>
            <w:tcW w:w="10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1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7,622,673</w:t>
            </w:r>
          </w:p>
        </w:tc>
      </w:tr>
      <w:tr>
        <w:trPr/>
        <w:tc>
          <w:tcPr>
            <w:tcW w:w="1904"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Amounts due from group companies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25,813,779</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6,707,302</w:t>
            </w:r>
          </w:p>
        </w:tc>
        <w:tc>
          <w:tcPr>
            <w:tcW w:w="326"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7,723,645</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9,917,091</w:t>
            </w:r>
          </w:p>
        </w:tc>
        <w:tc>
          <w:tcPr>
            <w:tcW w:w="326" w:type="dxa"/>
            <w:tcBorders/>
            <w:shd w:fill="CCEEFF" w:val="clear"/>
            <w:vAlign w:val="center"/>
          </w:tcPr>
          <w:p>
            <w:pPr>
              <w:pStyle w:val="TableContents"/>
              <w:bidi w:val="0"/>
              <w:spacing w:before="0" w:after="0"/>
              <w:ind w:left="0" w:right="0" w:hanging="0"/>
              <w:jc w:val="left"/>
              <w:rPr/>
            </w:pPr>
            <w:r>
              <w:rPr/>
              <w:t> </w:t>
            </w:r>
          </w:p>
        </w:tc>
        <w:tc>
          <w:tcPr>
            <w:tcW w:w="10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(50,161,817)</w:t>
            </w:r>
          </w:p>
        </w:tc>
        <w:tc>
          <w:tcPr>
            <w:tcW w:w="32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pPr>
            <w:r>
              <w:rPr/>
              <w:t>—</w:t>
            </w:r>
          </w:p>
        </w:tc>
      </w:tr>
      <w:tr>
        <w:trPr/>
        <w:tc>
          <w:tcPr>
            <w:tcW w:w="1904"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Property, equipment and software, net</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578,404</w:t>
            </w:r>
          </w:p>
        </w:tc>
        <w:tc>
          <w:tcPr>
            <w:tcW w:w="32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5,685,236</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78,666</w:t>
            </w:r>
          </w:p>
        </w:tc>
        <w:tc>
          <w:tcPr>
            <w:tcW w:w="326" w:type="dxa"/>
            <w:tcBorders/>
            <w:vAlign w:val="center"/>
          </w:tcPr>
          <w:p>
            <w:pPr>
              <w:pStyle w:val="TableContents"/>
              <w:bidi w:val="0"/>
              <w:spacing w:before="0" w:after="0"/>
              <w:ind w:left="0" w:right="0" w:hanging="0"/>
              <w:jc w:val="left"/>
              <w:rPr/>
            </w:pPr>
            <w:r>
              <w:rPr/>
              <w:t> </w:t>
            </w:r>
          </w:p>
        </w:tc>
        <w:tc>
          <w:tcPr>
            <w:tcW w:w="10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1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6,342,330</w:t>
            </w:r>
          </w:p>
        </w:tc>
      </w:tr>
      <w:tr>
        <w:trPr/>
        <w:tc>
          <w:tcPr>
            <w:tcW w:w="190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Land use right, net</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54,120</w:t>
            </w:r>
          </w:p>
        </w:tc>
        <w:tc>
          <w:tcPr>
            <w:tcW w:w="326"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4,067,647</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7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4,121,767</w:t>
            </w:r>
          </w:p>
        </w:tc>
      </w:tr>
      <w:tr>
        <w:trPr/>
        <w:tc>
          <w:tcPr>
            <w:tcW w:w="1904"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right-of-use assets, net</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170</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268,483</w:t>
            </w:r>
          </w:p>
        </w:tc>
        <w:tc>
          <w:tcPr>
            <w:tcW w:w="32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564,671</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54,653</w:t>
            </w:r>
          </w:p>
        </w:tc>
        <w:tc>
          <w:tcPr>
            <w:tcW w:w="326" w:type="dxa"/>
            <w:tcBorders/>
            <w:vAlign w:val="center"/>
          </w:tcPr>
          <w:p>
            <w:pPr>
              <w:pStyle w:val="TableContents"/>
              <w:bidi w:val="0"/>
              <w:spacing w:before="0" w:after="0"/>
              <w:ind w:left="0" w:right="0" w:hanging="0"/>
              <w:jc w:val="left"/>
              <w:rPr/>
            </w:pPr>
            <w:r>
              <w:rPr/>
              <w:t> </w:t>
            </w:r>
          </w:p>
        </w:tc>
        <w:tc>
          <w:tcPr>
            <w:tcW w:w="10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1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887,977</w:t>
            </w:r>
          </w:p>
        </w:tc>
      </w:tr>
      <w:tr>
        <w:trPr/>
        <w:tc>
          <w:tcPr>
            <w:tcW w:w="190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tax assets</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660</w:t>
            </w:r>
          </w:p>
        </w:tc>
        <w:tc>
          <w:tcPr>
            <w:tcW w:w="326"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1,324,534</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155,595</w:t>
            </w:r>
          </w:p>
        </w:tc>
        <w:tc>
          <w:tcPr>
            <w:tcW w:w="326" w:type="dxa"/>
            <w:tcBorders/>
            <w:shd w:fill="CCEEFF" w:val="clear"/>
            <w:vAlign w:val="center"/>
          </w:tcPr>
          <w:p>
            <w:pPr>
              <w:pStyle w:val="TableContents"/>
              <w:bidi w:val="0"/>
              <w:spacing w:before="0" w:after="0"/>
              <w:ind w:left="0" w:right="0" w:hanging="0"/>
              <w:jc w:val="left"/>
              <w:rPr/>
            </w:pPr>
            <w:r>
              <w:rPr/>
              <w:t> </w:t>
            </w:r>
          </w:p>
        </w:tc>
        <w:tc>
          <w:tcPr>
            <w:tcW w:w="107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1,480,789</w:t>
            </w:r>
          </w:p>
        </w:tc>
      </w:tr>
      <w:tr>
        <w:trPr/>
        <w:tc>
          <w:tcPr>
            <w:tcW w:w="1904" w:type="dxa"/>
            <w:tcBorders/>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Investments in subsidiaries </w:t>
            </w:r>
            <w:r>
              <w:rPr>
                <w:rFonts w:ascii="Times New Roman;Times;serif" w:hAnsi="Times New Roman;Times;serif"/>
                <w:sz w:val="12"/>
              </w:rPr>
              <w:t>(2)</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88,979,671</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26,887,522</w:t>
            </w:r>
          </w:p>
        </w:tc>
        <w:tc>
          <w:tcPr>
            <w:tcW w:w="32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25,513</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(115,892,706)</w:t>
            </w:r>
          </w:p>
        </w:tc>
        <w:tc>
          <w:tcPr>
            <w:tcW w:w="326" w:type="dxa"/>
            <w:tcBorders/>
            <w:vAlign w:val="center"/>
          </w:tcPr>
          <w:p>
            <w:pPr>
              <w:pStyle w:val="TableContents"/>
              <w:bidi w:val="0"/>
              <w:spacing w:before="0" w:after="0"/>
              <w:ind w:left="0" w:right="0" w:hanging="0"/>
              <w:jc w:val="left"/>
              <w:rPr/>
            </w:pPr>
            <w:r>
              <w:rPr/>
              <w:t> </w:t>
            </w:r>
          </w:p>
        </w:tc>
        <w:tc>
          <w:tcPr>
            <w:tcW w:w="1112" w:type="dxa"/>
            <w:tcBorders/>
            <w:vAlign w:val="center"/>
          </w:tcPr>
          <w:p>
            <w:pPr>
              <w:pStyle w:val="TableContents"/>
              <w:bidi w:val="0"/>
              <w:spacing w:before="0" w:after="0"/>
              <w:ind w:left="0" w:right="0" w:hanging="0"/>
              <w:jc w:val="right"/>
              <w:rPr/>
            </w:pPr>
            <w:r>
              <w:rPr/>
              <w:t>—</w:t>
            </w:r>
          </w:p>
        </w:tc>
      </w:tr>
      <w:tr>
        <w:trPr/>
        <w:tc>
          <w:tcPr>
            <w:tcW w:w="1904"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Contractual interests in the VIEs and VIEs’ subsidiaries </w:t>
            </w:r>
            <w:r>
              <w:rPr>
                <w:rFonts w:ascii="Times New Roman;Times;serif" w:hAnsi="Times New Roman;Times;serif"/>
                <w:sz w:val="12"/>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762,591</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(762,591)</w:t>
            </w:r>
          </w:p>
        </w:tc>
        <w:tc>
          <w:tcPr>
            <w:tcW w:w="326" w:type="dxa"/>
            <w:tcBorders/>
            <w:shd w:fill="CCEEFF" w:val="clear"/>
            <w:vAlign w:val="center"/>
          </w:tcPr>
          <w:p>
            <w:pPr>
              <w:pStyle w:val="TableContents"/>
              <w:bidi w:val="0"/>
              <w:spacing w:before="0" w:after="0"/>
              <w:ind w:left="0" w:right="0" w:hanging="0"/>
              <w:jc w:val="left"/>
              <w:rPr/>
            </w:pPr>
            <w:r>
              <w:rPr/>
              <w:t>​</w:t>
            </w:r>
          </w:p>
        </w:tc>
        <w:tc>
          <w:tcPr>
            <w:tcW w:w="1112" w:type="dxa"/>
            <w:tcBorders/>
            <w:shd w:fill="CCEEFF" w:val="clear"/>
            <w:vAlign w:val="center"/>
          </w:tcPr>
          <w:p>
            <w:pPr>
              <w:pStyle w:val="TableContents"/>
              <w:bidi w:val="0"/>
              <w:spacing w:before="0" w:after="0"/>
              <w:ind w:left="0" w:right="0" w:hanging="0"/>
              <w:jc w:val="right"/>
              <w:rPr/>
            </w:pPr>
            <w:r>
              <w:rPr/>
              <w:t>—</w:t>
            </w:r>
          </w:p>
        </w:tc>
      </w:tr>
      <w:tr>
        <w:trPr/>
        <w:tc>
          <w:tcPr>
            <w:tcW w:w="1904"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Long-term investments</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393,580</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17,074,981</w:t>
            </w:r>
          </w:p>
        </w:tc>
        <w:tc>
          <w:tcPr>
            <w:tcW w:w="32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190,425</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885,372</w:t>
            </w:r>
          </w:p>
        </w:tc>
        <w:tc>
          <w:tcPr>
            <w:tcW w:w="326" w:type="dxa"/>
            <w:tcBorders/>
            <w:vAlign w:val="center"/>
          </w:tcPr>
          <w:p>
            <w:pPr>
              <w:pStyle w:val="TableContents"/>
              <w:bidi w:val="0"/>
              <w:spacing w:before="0" w:after="0"/>
              <w:ind w:left="0" w:right="0" w:hanging="0"/>
              <w:jc w:val="left"/>
              <w:rPr/>
            </w:pPr>
            <w:r>
              <w:rPr/>
              <w:t> </w:t>
            </w:r>
          </w:p>
        </w:tc>
        <w:tc>
          <w:tcPr>
            <w:tcW w:w="10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1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18,544,358</w:t>
            </w:r>
          </w:p>
        </w:tc>
      </w:tr>
      <w:tr>
        <w:trPr/>
        <w:tc>
          <w:tcPr>
            <w:tcW w:w="190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long-term assets</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64,411</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4,727,973</w:t>
            </w:r>
          </w:p>
        </w:tc>
        <w:tc>
          <w:tcPr>
            <w:tcW w:w="326"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1,849,103</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164,968</w:t>
            </w:r>
          </w:p>
        </w:tc>
        <w:tc>
          <w:tcPr>
            <w:tcW w:w="326" w:type="dxa"/>
            <w:tcBorders/>
            <w:shd w:fill="CCEEFF" w:val="clear"/>
            <w:vAlign w:val="center"/>
          </w:tcPr>
          <w:p>
            <w:pPr>
              <w:pStyle w:val="TableContents"/>
              <w:bidi w:val="0"/>
              <w:spacing w:before="0" w:after="0"/>
              <w:ind w:left="0" w:right="0" w:hanging="0"/>
              <w:jc w:val="left"/>
              <w:rPr/>
            </w:pPr>
            <w:r>
              <w:rPr/>
              <w:t> </w:t>
            </w:r>
          </w:p>
        </w:tc>
        <w:tc>
          <w:tcPr>
            <w:tcW w:w="107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6,806,455</w:t>
            </w:r>
          </w:p>
        </w:tc>
      </w:tr>
      <w:tr>
        <w:trPr/>
        <w:tc>
          <w:tcPr>
            <w:tcW w:w="1904"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assets</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115,679,266</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125,383,313</w:t>
            </w:r>
          </w:p>
        </w:tc>
        <w:tc>
          <w:tcPr>
            <w:tcW w:w="326" w:type="dxa"/>
            <w:tcBorders/>
            <w:vAlign w:val="center"/>
          </w:tcPr>
          <w:p>
            <w:pPr>
              <w:pStyle w:val="TableContents"/>
              <w:bidi w:val="0"/>
              <w:spacing w:before="0" w:after="0"/>
              <w:ind w:left="0" w:right="0" w:hanging="0"/>
              <w:jc w:val="left"/>
              <w:rPr/>
            </w:pPr>
            <w:r>
              <w:rPr/>
              <w:t> </w:t>
            </w:r>
          </w:p>
        </w:tc>
        <w:tc>
          <w:tcPr>
            <w:tcW w:w="12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76,349,786</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22,165,734</w:t>
            </w:r>
          </w:p>
        </w:tc>
        <w:tc>
          <w:tcPr>
            <w:tcW w:w="326" w:type="dxa"/>
            <w:tcBorders/>
            <w:vAlign w:val="center"/>
          </w:tcPr>
          <w:p>
            <w:pPr>
              <w:pStyle w:val="TableContents"/>
              <w:bidi w:val="0"/>
              <w:spacing w:before="0" w:after="0"/>
              <w:ind w:left="0" w:right="0" w:hanging="0"/>
              <w:jc w:val="left"/>
              <w:rPr/>
            </w:pPr>
            <w:r>
              <w:rPr/>
              <w:t> </w:t>
            </w:r>
          </w:p>
        </w:tc>
        <w:tc>
          <w:tcPr>
            <w:tcW w:w="10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(166,817,114)</w:t>
            </w:r>
          </w:p>
        </w:tc>
        <w:tc>
          <w:tcPr>
            <w:tcW w:w="326" w:type="dxa"/>
            <w:tcBorders/>
            <w:vAlign w:val="center"/>
          </w:tcPr>
          <w:p>
            <w:pPr>
              <w:pStyle w:val="TableContents"/>
              <w:bidi w:val="0"/>
              <w:spacing w:before="0" w:after="0"/>
              <w:ind w:left="0" w:right="0" w:hanging="0"/>
              <w:jc w:val="left"/>
              <w:rPr/>
            </w:pPr>
            <w:r>
              <w:rPr/>
              <w:t> </w:t>
            </w:r>
          </w:p>
        </w:tc>
        <w:tc>
          <w:tcPr>
            <w:tcW w:w="11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172,760,985</w:t>
            </w:r>
          </w:p>
        </w:tc>
      </w:tr>
      <w:tr>
        <w:trPr/>
        <w:tc>
          <w:tcPr>
            <w:tcW w:w="190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12" w:type="dxa"/>
            <w:tcBorders/>
            <w:shd w:fill="CCEEFF" w:val="clear"/>
            <w:vAlign w:val="center"/>
          </w:tcPr>
          <w:p>
            <w:pPr>
              <w:pStyle w:val="TableContents"/>
              <w:bidi w:val="0"/>
              <w:spacing w:before="0" w:after="0"/>
              <w:ind w:left="0" w:right="0" w:hanging="0"/>
              <w:jc w:val="left"/>
              <w:rPr/>
            </w:pPr>
            <w:r>
              <w:rPr/>
              <w:t>​</w:t>
            </w:r>
          </w:p>
        </w:tc>
      </w:tr>
      <w:tr>
        <w:trPr/>
        <w:tc>
          <w:tcPr>
            <w:tcW w:w="1904"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Liabilities, redeemable noncontrolling interests and shareholders’ equity</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12" w:type="dxa"/>
            <w:tcBorders/>
            <w:vAlign w:val="center"/>
          </w:tcPr>
          <w:p>
            <w:pPr>
              <w:pStyle w:val="TableContents"/>
              <w:bidi w:val="0"/>
              <w:spacing w:before="0" w:after="0"/>
              <w:ind w:left="0" w:right="0" w:hanging="0"/>
              <w:jc w:val="left"/>
              <w:rPr/>
            </w:pPr>
            <w:r>
              <w:rPr/>
              <w:t>​</w:t>
            </w:r>
          </w:p>
        </w:tc>
      </w:tr>
      <w:tr>
        <w:trPr/>
        <w:tc>
          <w:tcPr>
            <w:tcW w:w="190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570,520</w:t>
            </w:r>
          </w:p>
        </w:tc>
        <w:tc>
          <w:tcPr>
            <w:tcW w:w="326"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133,887</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802,717</w:t>
            </w:r>
          </w:p>
        </w:tc>
        <w:tc>
          <w:tcPr>
            <w:tcW w:w="326" w:type="dxa"/>
            <w:tcBorders/>
            <w:shd w:fill="CCEEFF" w:val="clear"/>
            <w:vAlign w:val="center"/>
          </w:tcPr>
          <w:p>
            <w:pPr>
              <w:pStyle w:val="TableContents"/>
              <w:bidi w:val="0"/>
              <w:spacing w:before="0" w:after="0"/>
              <w:ind w:left="0" w:right="0" w:hanging="0"/>
              <w:jc w:val="left"/>
              <w:rPr/>
            </w:pPr>
            <w:r>
              <w:rPr/>
              <w:t> </w:t>
            </w:r>
          </w:p>
        </w:tc>
        <w:tc>
          <w:tcPr>
            <w:tcW w:w="107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1,507,141</w:t>
            </w:r>
          </w:p>
        </w:tc>
      </w:tr>
      <w:tr>
        <w:trPr/>
        <w:tc>
          <w:tcPr>
            <w:tcW w:w="1904"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Salary and welfare payables</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1,303</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384,980</w:t>
            </w:r>
          </w:p>
        </w:tc>
        <w:tc>
          <w:tcPr>
            <w:tcW w:w="32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4,191,180</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155,478</w:t>
            </w:r>
          </w:p>
        </w:tc>
        <w:tc>
          <w:tcPr>
            <w:tcW w:w="326" w:type="dxa"/>
            <w:tcBorders/>
            <w:vAlign w:val="center"/>
          </w:tcPr>
          <w:p>
            <w:pPr>
              <w:pStyle w:val="TableContents"/>
              <w:bidi w:val="0"/>
              <w:spacing w:before="0" w:after="0"/>
              <w:ind w:left="0" w:right="0" w:hanging="0"/>
              <w:jc w:val="left"/>
              <w:rPr/>
            </w:pPr>
            <w:r>
              <w:rPr/>
              <w:t> </w:t>
            </w:r>
          </w:p>
        </w:tc>
        <w:tc>
          <w:tcPr>
            <w:tcW w:w="10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1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4,732,941</w:t>
            </w:r>
          </w:p>
        </w:tc>
      </w:tr>
      <w:tr>
        <w:trPr/>
        <w:tc>
          <w:tcPr>
            <w:tcW w:w="190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Taxes payable</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10,107</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124,198</w:t>
            </w:r>
          </w:p>
        </w:tc>
        <w:tc>
          <w:tcPr>
            <w:tcW w:w="326"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2,637,439</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41,352</w:t>
            </w:r>
          </w:p>
        </w:tc>
        <w:tc>
          <w:tcPr>
            <w:tcW w:w="326" w:type="dxa"/>
            <w:tcBorders/>
            <w:shd w:fill="CCEEFF" w:val="clear"/>
            <w:vAlign w:val="center"/>
          </w:tcPr>
          <w:p>
            <w:pPr>
              <w:pStyle w:val="TableContents"/>
              <w:bidi w:val="0"/>
              <w:spacing w:before="0" w:after="0"/>
              <w:ind w:left="0" w:right="0" w:hanging="0"/>
              <w:jc w:val="left"/>
              <w:rPr/>
            </w:pPr>
            <w:r>
              <w:rPr/>
              <w:t> </w:t>
            </w:r>
          </w:p>
        </w:tc>
        <w:tc>
          <w:tcPr>
            <w:tcW w:w="107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2,813,096</w:t>
            </w:r>
          </w:p>
        </w:tc>
      </w:tr>
      <w:tr>
        <w:trPr/>
        <w:tc>
          <w:tcPr>
            <w:tcW w:w="1904"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Short-term loans</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4,472,768</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14,369,014</w:t>
            </w:r>
          </w:p>
        </w:tc>
        <w:tc>
          <w:tcPr>
            <w:tcW w:w="32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5,033,500</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422</w:t>
            </w:r>
          </w:p>
        </w:tc>
        <w:tc>
          <w:tcPr>
            <w:tcW w:w="326" w:type="dxa"/>
            <w:tcBorders/>
            <w:vAlign w:val="center"/>
          </w:tcPr>
          <w:p>
            <w:pPr>
              <w:pStyle w:val="TableContents"/>
              <w:bidi w:val="0"/>
              <w:spacing w:before="0" w:after="0"/>
              <w:ind w:left="0" w:right="0" w:hanging="0"/>
              <w:jc w:val="left"/>
              <w:rPr/>
            </w:pPr>
            <w:r>
              <w:rPr/>
              <w:t> </w:t>
            </w:r>
          </w:p>
        </w:tc>
        <w:tc>
          <w:tcPr>
            <w:tcW w:w="10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1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23,875,704</w:t>
            </w:r>
          </w:p>
        </w:tc>
      </w:tr>
      <w:tr>
        <w:trPr/>
        <w:tc>
          <w:tcPr>
            <w:tcW w:w="190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Contract liabilities-current</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844,487</w:t>
            </w:r>
          </w:p>
        </w:tc>
        <w:tc>
          <w:tcPr>
            <w:tcW w:w="326"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209,302</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11,465,101</w:t>
            </w:r>
          </w:p>
        </w:tc>
        <w:tc>
          <w:tcPr>
            <w:tcW w:w="326" w:type="dxa"/>
            <w:tcBorders/>
            <w:shd w:fill="CCEEFF" w:val="clear"/>
            <w:vAlign w:val="center"/>
          </w:tcPr>
          <w:p>
            <w:pPr>
              <w:pStyle w:val="TableContents"/>
              <w:bidi w:val="0"/>
              <w:spacing w:before="0" w:after="0"/>
              <w:ind w:left="0" w:right="0" w:hanging="0"/>
              <w:jc w:val="left"/>
              <w:rPr/>
            </w:pPr>
            <w:r>
              <w:rPr/>
              <w:t> </w:t>
            </w:r>
          </w:p>
        </w:tc>
        <w:tc>
          <w:tcPr>
            <w:tcW w:w="107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12,518,890</w:t>
            </w:r>
          </w:p>
        </w:tc>
      </w:tr>
      <w:tr>
        <w:trPr/>
        <w:tc>
          <w:tcPr>
            <w:tcW w:w="1904"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liabilities and other payables</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25,017</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1,884,156</w:t>
            </w:r>
          </w:p>
        </w:tc>
        <w:tc>
          <w:tcPr>
            <w:tcW w:w="32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5,403,800</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3,809,049</w:t>
            </w:r>
          </w:p>
        </w:tc>
        <w:tc>
          <w:tcPr>
            <w:tcW w:w="326" w:type="dxa"/>
            <w:tcBorders/>
            <w:vAlign w:val="center"/>
          </w:tcPr>
          <w:p>
            <w:pPr>
              <w:pStyle w:val="TableContents"/>
              <w:bidi w:val="0"/>
              <w:spacing w:before="0" w:after="0"/>
              <w:ind w:left="0" w:right="0" w:hanging="0"/>
              <w:jc w:val="left"/>
              <w:rPr/>
            </w:pPr>
            <w:r>
              <w:rPr/>
              <w:t> </w:t>
            </w:r>
          </w:p>
        </w:tc>
        <w:tc>
          <w:tcPr>
            <w:tcW w:w="10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1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11,122,022</w:t>
            </w:r>
          </w:p>
        </w:tc>
      </w:tr>
      <w:tr>
        <w:trPr/>
        <w:tc>
          <w:tcPr>
            <w:tcW w:w="190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173</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281,378</w:t>
            </w:r>
          </w:p>
        </w:tc>
        <w:tc>
          <w:tcPr>
            <w:tcW w:w="326"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595,161</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54,981</w:t>
            </w:r>
          </w:p>
        </w:tc>
        <w:tc>
          <w:tcPr>
            <w:tcW w:w="326" w:type="dxa"/>
            <w:tcBorders/>
            <w:shd w:fill="CCEEFF" w:val="clear"/>
            <w:vAlign w:val="center"/>
          </w:tcPr>
          <w:p>
            <w:pPr>
              <w:pStyle w:val="TableContents"/>
              <w:bidi w:val="0"/>
              <w:spacing w:before="0" w:after="0"/>
              <w:ind w:left="0" w:right="0" w:hanging="0"/>
              <w:jc w:val="left"/>
              <w:rPr/>
            </w:pPr>
            <w:r>
              <w:rPr/>
              <w:t> </w:t>
            </w:r>
          </w:p>
        </w:tc>
        <w:tc>
          <w:tcPr>
            <w:tcW w:w="107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931,693</w:t>
            </w:r>
          </w:p>
        </w:tc>
      </w:tr>
      <w:tr>
        <w:trPr/>
        <w:tc>
          <w:tcPr>
            <w:tcW w:w="1904" w:type="dxa"/>
            <w:tcBorders/>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Amounts due to group companies </w:t>
            </w:r>
            <w:r>
              <w:rPr>
                <w:rFonts w:ascii="Times New Roman;Times;serif" w:hAnsi="Times New Roman;Times;serif"/>
                <w:sz w:val="12"/>
              </w:rPr>
              <w:t>(1)</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2,956,264</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12,595,746</w:t>
            </w:r>
          </w:p>
        </w:tc>
        <w:tc>
          <w:tcPr>
            <w:tcW w:w="32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30,672,023</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3,937,784</w:t>
            </w:r>
          </w:p>
        </w:tc>
        <w:tc>
          <w:tcPr>
            <w:tcW w:w="326" w:type="dxa"/>
            <w:tcBorders/>
            <w:vAlign w:val="center"/>
          </w:tcPr>
          <w:p>
            <w:pPr>
              <w:pStyle w:val="TableContents"/>
              <w:bidi w:val="0"/>
              <w:spacing w:before="0" w:after="0"/>
              <w:ind w:left="0" w:right="0" w:hanging="0"/>
              <w:jc w:val="left"/>
              <w:rPr/>
            </w:pPr>
            <w:r>
              <w:rPr/>
              <w:t> </w:t>
            </w:r>
          </w:p>
        </w:tc>
        <w:tc>
          <w:tcPr>
            <w:tcW w:w="10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(50,161,817)</w:t>
            </w:r>
          </w:p>
        </w:tc>
        <w:tc>
          <w:tcPr>
            <w:tcW w:w="326" w:type="dxa"/>
            <w:tcBorders/>
            <w:vAlign w:val="center"/>
          </w:tcPr>
          <w:p>
            <w:pPr>
              <w:pStyle w:val="TableContents"/>
              <w:bidi w:val="0"/>
              <w:spacing w:before="0" w:after="0"/>
              <w:ind w:left="0" w:right="0" w:hanging="0"/>
              <w:jc w:val="left"/>
              <w:rPr/>
            </w:pPr>
            <w:r>
              <w:rPr/>
              <w:t> </w:t>
            </w:r>
          </w:p>
        </w:tc>
        <w:tc>
          <w:tcPr>
            <w:tcW w:w="1112" w:type="dxa"/>
            <w:tcBorders/>
            <w:vAlign w:val="center"/>
          </w:tcPr>
          <w:p>
            <w:pPr>
              <w:pStyle w:val="TableContents"/>
              <w:bidi w:val="0"/>
              <w:spacing w:before="0" w:after="0"/>
              <w:ind w:left="0" w:right="0" w:hanging="0"/>
              <w:jc w:val="right"/>
              <w:rPr/>
            </w:pPr>
            <w:r>
              <w:rPr/>
              <w:t>—</w:t>
            </w:r>
          </w:p>
        </w:tc>
      </w:tr>
      <w:tr>
        <w:trPr/>
        <w:tc>
          <w:tcPr>
            <w:tcW w:w="190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tax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1,811,525</w:t>
            </w:r>
          </w:p>
        </w:tc>
        <w:tc>
          <w:tcPr>
            <w:tcW w:w="326"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314,595</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7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2,126,120</w:t>
            </w:r>
          </w:p>
        </w:tc>
      </w:tr>
      <w:tr>
        <w:trPr/>
        <w:tc>
          <w:tcPr>
            <w:tcW w:w="1904"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Long-term loans</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3,482,300</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172,664</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1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3,654,964</w:t>
            </w:r>
          </w:p>
        </w:tc>
      </w:tr>
      <w:tr>
        <w:trPr/>
        <w:tc>
          <w:tcPr>
            <w:tcW w:w="190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long-term payable</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268,361</w:t>
            </w:r>
          </w:p>
        </w:tc>
        <w:tc>
          <w:tcPr>
            <w:tcW w:w="326" w:type="dxa"/>
            <w:tcBorders/>
            <w:shd w:fill="CCEEFF" w:val="clear"/>
            <w:vAlign w:val="center"/>
          </w:tcPr>
          <w:p>
            <w:pPr>
              <w:pStyle w:val="TableContents"/>
              <w:bidi w:val="0"/>
              <w:spacing w:before="0" w:after="0"/>
              <w:ind w:left="0" w:right="0" w:hanging="0"/>
              <w:jc w:val="left"/>
              <w:rPr/>
            </w:pPr>
            <w:r>
              <w:rPr/>
              <w:t> </w:t>
            </w:r>
          </w:p>
        </w:tc>
        <w:tc>
          <w:tcPr>
            <w:tcW w:w="12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73,200</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263,373</w:t>
            </w:r>
          </w:p>
        </w:tc>
        <w:tc>
          <w:tcPr>
            <w:tcW w:w="326" w:type="dxa"/>
            <w:tcBorders/>
            <w:shd w:fill="CCEEFF" w:val="clear"/>
            <w:vAlign w:val="center"/>
          </w:tcPr>
          <w:p>
            <w:pPr>
              <w:pStyle w:val="TableContents"/>
              <w:bidi w:val="0"/>
              <w:spacing w:before="0" w:after="0"/>
              <w:ind w:left="0" w:right="0" w:hanging="0"/>
              <w:jc w:val="left"/>
              <w:rPr/>
            </w:pPr>
            <w:r>
              <w:rPr/>
              <w:t> </w:t>
            </w:r>
          </w:p>
        </w:tc>
        <w:tc>
          <w:tcPr>
            <w:tcW w:w="10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604,934</w:t>
            </w:r>
          </w:p>
        </w:tc>
      </w:tr>
      <w:tr>
        <w:trPr/>
        <w:tc>
          <w:tcPr>
            <w:tcW w:w="1904"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liabilities</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10,947,949</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33,134,365</w:t>
            </w:r>
          </w:p>
        </w:tc>
        <w:tc>
          <w:tcPr>
            <w:tcW w:w="326" w:type="dxa"/>
            <w:tcBorders/>
            <w:vAlign w:val="center"/>
          </w:tcPr>
          <w:p>
            <w:pPr>
              <w:pStyle w:val="TableContents"/>
              <w:bidi w:val="0"/>
              <w:spacing w:before="0" w:after="0"/>
              <w:ind w:left="0" w:right="0" w:hanging="0"/>
              <w:jc w:val="left"/>
              <w:rPr/>
            </w:pPr>
            <w:r>
              <w:rPr/>
              <w:t> </w:t>
            </w:r>
          </w:p>
        </w:tc>
        <w:tc>
          <w:tcPr>
            <w:tcW w:w="12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49,436,751</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20,530,257</w:t>
            </w:r>
          </w:p>
        </w:tc>
        <w:tc>
          <w:tcPr>
            <w:tcW w:w="326" w:type="dxa"/>
            <w:tcBorders/>
            <w:vAlign w:val="center"/>
          </w:tcPr>
          <w:p>
            <w:pPr>
              <w:pStyle w:val="TableContents"/>
              <w:bidi w:val="0"/>
              <w:spacing w:before="0" w:after="0"/>
              <w:ind w:left="0" w:right="0" w:hanging="0"/>
              <w:jc w:val="left"/>
              <w:rPr/>
            </w:pPr>
            <w:r>
              <w:rPr/>
              <w:t> </w:t>
            </w:r>
          </w:p>
        </w:tc>
        <w:tc>
          <w:tcPr>
            <w:tcW w:w="10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(50,161,817)</w:t>
            </w:r>
          </w:p>
        </w:tc>
        <w:tc>
          <w:tcPr>
            <w:tcW w:w="326" w:type="dxa"/>
            <w:tcBorders/>
            <w:vAlign w:val="center"/>
          </w:tcPr>
          <w:p>
            <w:pPr>
              <w:pStyle w:val="TableContents"/>
              <w:bidi w:val="0"/>
              <w:spacing w:before="0" w:after="0"/>
              <w:ind w:left="0" w:right="0" w:hanging="0"/>
              <w:jc w:val="left"/>
              <w:rPr/>
            </w:pPr>
            <w:r>
              <w:rPr/>
              <w:t> </w:t>
            </w:r>
          </w:p>
        </w:tc>
        <w:tc>
          <w:tcPr>
            <w:tcW w:w="11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63,887,505</w:t>
            </w:r>
          </w:p>
        </w:tc>
      </w:tr>
      <w:tr>
        <w:trPr/>
        <w:tc>
          <w:tcPr>
            <w:tcW w:w="190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Redeemable noncontrolling interests</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71,869</w:t>
            </w:r>
          </w:p>
        </w:tc>
        <w:tc>
          <w:tcPr>
            <w:tcW w:w="326"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64,571</w:t>
            </w:r>
          </w:p>
        </w:tc>
        <w:tc>
          <w:tcPr>
            <w:tcW w:w="326" w:type="dxa"/>
            <w:tcBorders/>
            <w:shd w:fill="CCEEFF" w:val="clear"/>
            <w:vAlign w:val="center"/>
          </w:tcPr>
          <w:p>
            <w:pPr>
              <w:pStyle w:val="TableContents"/>
              <w:bidi w:val="0"/>
              <w:spacing w:before="0" w:after="0"/>
              <w:ind w:left="0" w:right="0" w:hanging="0"/>
              <w:jc w:val="left"/>
              <w:rPr/>
            </w:pPr>
            <w:r>
              <w:rPr/>
              <w:t> </w:t>
            </w:r>
          </w:p>
        </w:tc>
        <w:tc>
          <w:tcPr>
            <w:tcW w:w="107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136,440</w:t>
            </w:r>
          </w:p>
        </w:tc>
      </w:tr>
      <w:tr>
        <w:trPr/>
        <w:tc>
          <w:tcPr>
            <w:tcW w:w="190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12" w:type="dxa"/>
            <w:tcBorders/>
            <w:vAlign w:val="center"/>
          </w:tcPr>
          <w:p>
            <w:pPr>
              <w:pStyle w:val="TableContents"/>
              <w:bidi w:val="0"/>
              <w:spacing w:before="0" w:after="0"/>
              <w:ind w:left="0" w:right="0" w:hanging="0"/>
              <w:jc w:val="right"/>
              <w:rPr/>
            </w:pPr>
            <w:r>
              <w:rPr/>
              <w:t>’</w:t>
            </w:r>
          </w:p>
        </w:tc>
      </w:tr>
      <w:tr>
        <w:trPr/>
        <w:tc>
          <w:tcPr>
            <w:tcW w:w="1904"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Shareholders’ equity </w:t>
            </w:r>
            <w:r>
              <w:rPr>
                <w:rFonts w:ascii="Times New Roman;Times;serif" w:hAnsi="Times New Roman;Times;serif"/>
                <w:sz w:val="12"/>
              </w:rPr>
              <w:t>(2)</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104,731,317</w:t>
            </w:r>
          </w:p>
        </w:tc>
        <w:tc>
          <w:tcPr>
            <w:tcW w:w="326" w:type="dxa"/>
            <w:tcBorders/>
            <w:shd w:fill="CCEEFF" w:val="clear"/>
            <w:vAlign w:val="center"/>
          </w:tcPr>
          <w:p>
            <w:pPr>
              <w:pStyle w:val="TableContents"/>
              <w:bidi w:val="0"/>
              <w:spacing w:before="0" w:after="0"/>
              <w:ind w:left="0" w:right="0" w:hanging="0"/>
              <w:jc w:val="righ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92,177,079</w:t>
            </w:r>
          </w:p>
        </w:tc>
        <w:tc>
          <w:tcPr>
            <w:tcW w:w="326" w:type="dxa"/>
            <w:tcBorders/>
            <w:shd w:fill="CCEEFF" w:val="clear"/>
            <w:vAlign w:val="center"/>
          </w:tcPr>
          <w:p>
            <w:pPr>
              <w:pStyle w:val="TableContents"/>
              <w:bidi w:val="0"/>
              <w:spacing w:before="0" w:after="0"/>
              <w:ind w:left="0" w:right="0" w:hanging="0"/>
              <w:jc w:val="right"/>
              <w:rPr/>
            </w:pPr>
            <w:r>
              <w:rPr/>
              <w:t>​</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26,913,035</w:t>
            </w:r>
          </w:p>
        </w:tc>
        <w:tc>
          <w:tcPr>
            <w:tcW w:w="326"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1,570,906</w:t>
            </w:r>
          </w:p>
        </w:tc>
        <w:tc>
          <w:tcPr>
            <w:tcW w:w="326" w:type="dxa"/>
            <w:tcBorders/>
            <w:shd w:fill="CCEEFF" w:val="clear"/>
            <w:vAlign w:val="center"/>
          </w:tcPr>
          <w:p>
            <w:pPr>
              <w:pStyle w:val="TableContents"/>
              <w:bidi w:val="0"/>
              <w:spacing w:before="0" w:after="0"/>
              <w:ind w:left="0" w:right="0" w:hanging="0"/>
              <w:jc w:val="right"/>
              <w:rPr/>
            </w:pPr>
            <w:r>
              <w:rPr/>
              <w:t>​</w:t>
            </w:r>
          </w:p>
        </w:tc>
        <w:tc>
          <w:tcPr>
            <w:tcW w:w="10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(120,661,020)</w:t>
            </w:r>
          </w:p>
        </w:tc>
        <w:tc>
          <w:tcPr>
            <w:tcW w:w="326" w:type="dxa"/>
            <w:tcBorders/>
            <w:shd w:fill="CCEEFF" w:val="clear"/>
            <w:vAlign w:val="center"/>
          </w:tcPr>
          <w:p>
            <w:pPr>
              <w:pStyle w:val="TableContents"/>
              <w:bidi w:val="0"/>
              <w:spacing w:before="0" w:after="0"/>
              <w:ind w:left="0" w:right="0" w:hanging="0"/>
              <w:jc w:val="right"/>
              <w:rPr/>
            </w:pPr>
            <w:r>
              <w:rPr/>
              <w:t>​</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104,731,317</w:t>
            </w:r>
          </w:p>
        </w:tc>
      </w:tr>
      <w:tr>
        <w:trPr/>
        <w:tc>
          <w:tcPr>
            <w:tcW w:w="1904"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Noncontrolling interests</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 </w:t>
            </w:r>
          </w:p>
        </w:tc>
        <w:tc>
          <w:tcPr>
            <w:tcW w:w="12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 </w:t>
            </w:r>
          </w:p>
        </w:tc>
        <w:tc>
          <w:tcPr>
            <w:tcW w:w="10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4,005,723</w:t>
            </w:r>
          </w:p>
        </w:tc>
        <w:tc>
          <w:tcPr>
            <w:tcW w:w="326" w:type="dxa"/>
            <w:tcBorders/>
            <w:vAlign w:val="center"/>
          </w:tcPr>
          <w:p>
            <w:pPr>
              <w:pStyle w:val="TableContents"/>
              <w:bidi w:val="0"/>
              <w:spacing w:before="0" w:after="0"/>
              <w:ind w:left="0" w:right="0" w:hanging="0"/>
              <w:jc w:val="right"/>
              <w:rPr/>
            </w:pPr>
            <w:r>
              <w:rPr/>
              <w:t> </w:t>
            </w:r>
          </w:p>
        </w:tc>
        <w:tc>
          <w:tcPr>
            <w:tcW w:w="11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4,005,723</w:t>
            </w:r>
          </w:p>
        </w:tc>
      </w:tr>
      <w:tr>
        <w:trPr/>
        <w:tc>
          <w:tcPr>
            <w:tcW w:w="190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equity</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104,731,317</w:t>
            </w:r>
          </w:p>
        </w:tc>
        <w:tc>
          <w:tcPr>
            <w:tcW w:w="326" w:type="dxa"/>
            <w:tcBorders/>
            <w:shd w:fill="CCEEFF" w:val="clear"/>
            <w:vAlign w:val="center"/>
          </w:tcPr>
          <w:p>
            <w:pPr>
              <w:pStyle w:val="TableContents"/>
              <w:bidi w:val="0"/>
              <w:spacing w:before="0" w:after="0"/>
              <w:ind w:left="0" w:right="0" w:hanging="0"/>
              <w:jc w:val="righ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92,177,079</w:t>
            </w:r>
          </w:p>
        </w:tc>
        <w:tc>
          <w:tcPr>
            <w:tcW w:w="326" w:type="dxa"/>
            <w:tcBorders/>
            <w:shd w:fill="CCEEFF" w:val="clear"/>
            <w:vAlign w:val="center"/>
          </w:tcPr>
          <w:p>
            <w:pPr>
              <w:pStyle w:val="TableContents"/>
              <w:bidi w:val="0"/>
              <w:spacing w:before="0" w:after="0"/>
              <w:ind w:left="0" w:right="0" w:hanging="0"/>
              <w:jc w:val="right"/>
              <w:rPr/>
            </w:pPr>
            <w:r>
              <w:rPr/>
              <w:t> </w:t>
            </w:r>
          </w:p>
        </w:tc>
        <w:tc>
          <w:tcPr>
            <w:tcW w:w="12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26,913,035</w:t>
            </w:r>
          </w:p>
        </w:tc>
        <w:tc>
          <w:tcPr>
            <w:tcW w:w="326" w:type="dxa"/>
            <w:tcBorders/>
            <w:shd w:fill="CCEEFF" w:val="clear"/>
            <w:vAlign w:val="center"/>
          </w:tcPr>
          <w:p>
            <w:pPr>
              <w:pStyle w:val="TableContents"/>
              <w:bidi w:val="0"/>
              <w:spacing w:before="0" w:after="0"/>
              <w:ind w:left="0" w:right="0" w:hanging="0"/>
              <w:jc w:val="righ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1,570,906</w:t>
            </w:r>
          </w:p>
        </w:tc>
        <w:tc>
          <w:tcPr>
            <w:tcW w:w="326" w:type="dxa"/>
            <w:tcBorders/>
            <w:shd w:fill="CCEEFF" w:val="clear"/>
            <w:vAlign w:val="center"/>
          </w:tcPr>
          <w:p>
            <w:pPr>
              <w:pStyle w:val="TableContents"/>
              <w:bidi w:val="0"/>
              <w:spacing w:before="0" w:after="0"/>
              <w:ind w:left="0" w:right="0" w:hanging="0"/>
              <w:jc w:val="right"/>
              <w:rPr/>
            </w:pPr>
            <w:r>
              <w:rPr/>
              <w:t> </w:t>
            </w:r>
          </w:p>
        </w:tc>
        <w:tc>
          <w:tcPr>
            <w:tcW w:w="10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(116,655,297)</w:t>
            </w:r>
          </w:p>
        </w:tc>
        <w:tc>
          <w:tcPr>
            <w:tcW w:w="326" w:type="dxa"/>
            <w:tcBorders/>
            <w:shd w:fill="CCEEFF" w:val="clear"/>
            <w:vAlign w:val="center"/>
          </w:tcPr>
          <w:p>
            <w:pPr>
              <w:pStyle w:val="TableContents"/>
              <w:bidi w:val="0"/>
              <w:spacing w:before="0" w:after="0"/>
              <w:ind w:left="0" w:right="0" w:hanging="0"/>
              <w:jc w:val="right"/>
              <w:rPr/>
            </w:pPr>
            <w:r>
              <w:rPr/>
              <w:t> </w:t>
            </w:r>
          </w:p>
        </w:tc>
        <w:tc>
          <w:tcPr>
            <w:tcW w:w="11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108,737,040</w:t>
            </w:r>
          </w:p>
        </w:tc>
      </w:tr>
      <w:tr>
        <w:trPr/>
        <w:tc>
          <w:tcPr>
            <w:tcW w:w="1904"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liabilities, redeemable noncontrolling interests and shareholders’ equity</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115,679,266</w:t>
            </w:r>
          </w:p>
        </w:tc>
        <w:tc>
          <w:tcPr>
            <w:tcW w:w="326" w:type="dxa"/>
            <w:tcBorders/>
            <w:vAlign w:val="center"/>
          </w:tcPr>
          <w:p>
            <w:pPr>
              <w:pStyle w:val="TableContents"/>
              <w:bidi w:val="0"/>
              <w:spacing w:before="0" w:after="0"/>
              <w:ind w:left="0" w:right="0" w:hanging="0"/>
              <w:jc w:val="right"/>
              <w:rPr/>
            </w:pPr>
            <w:r>
              <w:rPr/>
              <w:t> </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125,383,313</w:t>
            </w:r>
          </w:p>
        </w:tc>
        <w:tc>
          <w:tcPr>
            <w:tcW w:w="326" w:type="dxa"/>
            <w:tcBorders/>
            <w:vAlign w:val="center"/>
          </w:tcPr>
          <w:p>
            <w:pPr>
              <w:pStyle w:val="TableContents"/>
              <w:bidi w:val="0"/>
              <w:spacing w:before="0" w:after="0"/>
              <w:ind w:left="0" w:right="0" w:hanging="0"/>
              <w:jc w:val="right"/>
              <w:rPr/>
            </w:pPr>
            <w:r>
              <w:rPr/>
              <w:t> </w:t>
            </w:r>
          </w:p>
        </w:tc>
        <w:tc>
          <w:tcPr>
            <w:tcW w:w="12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76,349,786</w:t>
            </w:r>
          </w:p>
        </w:tc>
        <w:tc>
          <w:tcPr>
            <w:tcW w:w="326" w:type="dxa"/>
            <w:tcBorders/>
            <w:vAlign w:val="center"/>
          </w:tcPr>
          <w:p>
            <w:pPr>
              <w:pStyle w:val="TableContents"/>
              <w:bidi w:val="0"/>
              <w:spacing w:before="0" w:after="0"/>
              <w:ind w:left="0" w:right="0" w:hanging="0"/>
              <w:jc w:val="righ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22,165,734</w:t>
            </w:r>
          </w:p>
        </w:tc>
        <w:tc>
          <w:tcPr>
            <w:tcW w:w="326" w:type="dxa"/>
            <w:tcBorders/>
            <w:vAlign w:val="center"/>
          </w:tcPr>
          <w:p>
            <w:pPr>
              <w:pStyle w:val="TableContents"/>
              <w:bidi w:val="0"/>
              <w:spacing w:before="0" w:after="0"/>
              <w:ind w:left="0" w:right="0" w:hanging="0"/>
              <w:jc w:val="right"/>
              <w:rPr/>
            </w:pPr>
            <w:r>
              <w:rPr/>
              <w:t> </w:t>
            </w:r>
          </w:p>
        </w:tc>
        <w:tc>
          <w:tcPr>
            <w:tcW w:w="10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(166,817,114)</w:t>
            </w:r>
          </w:p>
        </w:tc>
        <w:tc>
          <w:tcPr>
            <w:tcW w:w="326" w:type="dxa"/>
            <w:tcBorders/>
            <w:vAlign w:val="center"/>
          </w:tcPr>
          <w:p>
            <w:pPr>
              <w:pStyle w:val="TableContents"/>
              <w:bidi w:val="0"/>
              <w:spacing w:before="0" w:after="0"/>
              <w:ind w:left="0" w:right="0" w:hanging="0"/>
              <w:jc w:val="right"/>
              <w:rPr/>
            </w:pPr>
            <w:r>
              <w:rPr/>
              <w:t> </w:t>
            </w:r>
          </w:p>
        </w:tc>
        <w:tc>
          <w:tcPr>
            <w:tcW w:w="1112"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172,760,985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096"/>
        <w:gridCol w:w="326"/>
        <w:gridCol w:w="1006"/>
        <w:gridCol w:w="326"/>
        <w:gridCol w:w="1006"/>
        <w:gridCol w:w="326"/>
        <w:gridCol w:w="1021"/>
        <w:gridCol w:w="326"/>
        <w:gridCol w:w="931"/>
        <w:gridCol w:w="326"/>
        <w:gridCol w:w="1077"/>
        <w:gridCol w:w="326"/>
        <w:gridCol w:w="1112"/>
      </w:tblGrid>
      <w:tr>
        <w:trPr/>
        <w:tc>
          <w:tcPr>
            <w:tcW w:w="2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330960" cy="175260"/>
                      <wp:effectExtent l="0" t="0" r="0" b="0"/>
                      <wp:wrapNone/>
                      <wp:docPr id="151" name="Frame150"/>
                      <a:graphic xmlns:a="http://schemas.openxmlformats.org/drawingml/2006/main">
                        <a:graphicData uri="http://schemas.microsoft.com/office/word/2010/wordprocessingShape">
                          <wps:wsp>
                            <wps:cNvSpPr txBox="1"/>
                            <wps:spPr>
                              <a:xfrm>
                                <a:off x="0" y="0"/>
                                <a:ext cx="1330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07010" cy="175260"/>
                      <wp:effectExtent l="0" t="0" r="0" b="0"/>
                      <wp:wrapNone/>
                      <wp:docPr id="152" name="Frame1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38810" cy="175260"/>
                      <wp:effectExtent l="0" t="0" r="0" b="0"/>
                      <wp:wrapNone/>
                      <wp:docPr id="153" name="Frame152"/>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07010" cy="175260"/>
                      <wp:effectExtent l="0" t="0" r="0" b="0"/>
                      <wp:wrapNone/>
                      <wp:docPr id="154" name="Frame1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38810" cy="175260"/>
                      <wp:effectExtent l="0" t="0" r="0" b="0"/>
                      <wp:wrapNone/>
                      <wp:docPr id="155" name="Frame154"/>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07010" cy="175260"/>
                      <wp:effectExtent l="0" t="0" r="0" b="0"/>
                      <wp:wrapNone/>
                      <wp:docPr id="156" name="Frame1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335" cy="175260"/>
                      <wp:effectExtent l="0" t="0" r="0" b="0"/>
                      <wp:wrapNone/>
                      <wp:docPr id="157" name="Frame156"/>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07010" cy="175260"/>
                      <wp:effectExtent l="0" t="0" r="0" b="0"/>
                      <wp:wrapNone/>
                      <wp:docPr id="158" name="Frame1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591185" cy="175260"/>
                      <wp:effectExtent l="0" t="0" r="0" b="0"/>
                      <wp:wrapNone/>
                      <wp:docPr id="159" name="Frame15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07010" cy="175260"/>
                      <wp:effectExtent l="0" t="0" r="0" b="0"/>
                      <wp:wrapNone/>
                      <wp:docPr id="160" name="Frame1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83895" cy="175260"/>
                      <wp:effectExtent l="0" t="0" r="0" b="0"/>
                      <wp:wrapNone/>
                      <wp:docPr id="161" name="Frame160"/>
                      <a:graphic xmlns:a="http://schemas.openxmlformats.org/drawingml/2006/main">
                        <a:graphicData uri="http://schemas.microsoft.com/office/word/2010/wordprocessingShape">
                          <wps:wsp>
                            <wps:cNvSpPr txBox="1"/>
                            <wps:spPr>
                              <a:xfrm>
                                <a:off x="0" y="0"/>
                                <a:ext cx="683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07010" cy="175260"/>
                      <wp:effectExtent l="0" t="0" r="0" b="0"/>
                      <wp:wrapNone/>
                      <wp:docPr id="162" name="Frame1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706120" cy="175260"/>
                      <wp:effectExtent l="0" t="0" r="0" b="0"/>
                      <wp:wrapNone/>
                      <wp:docPr id="163" name="Frame162"/>
                      <a:graphic xmlns:a="http://schemas.openxmlformats.org/drawingml/2006/main">
                        <a:graphicData uri="http://schemas.microsoft.com/office/word/2010/wordprocessingShape">
                          <wps:wsp>
                            <wps:cNvSpPr txBox="1"/>
                            <wps:spPr>
                              <a:xfrm>
                                <a:off x="0" y="0"/>
                                <a:ext cx="706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783"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2023</w:t>
            </w:r>
          </w:p>
        </w:tc>
      </w:tr>
      <w:tr>
        <w:trPr/>
        <w:tc>
          <w:tcPr>
            <w:tcW w:w="20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Primary</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VIEs and</w:t>
            </w:r>
          </w:p>
        </w:tc>
        <w:tc>
          <w:tcPr>
            <w:tcW w:w="326" w:type="dxa"/>
            <w:tcBorders/>
            <w:vAlign w:val="center"/>
          </w:tcPr>
          <w:p>
            <w:pPr>
              <w:pStyle w:val="TableContents"/>
              <w:bidi w:val="0"/>
              <w:spacing w:before="0" w:after="0"/>
              <w:ind w:left="0" w:right="0" w:hanging="0"/>
              <w:jc w:val="center"/>
              <w:rPr/>
            </w:pPr>
            <w:r>
              <w:rPr/>
              <w:t>​</w:t>
            </w:r>
          </w:p>
        </w:tc>
        <w:tc>
          <w:tcPr>
            <w:tcW w:w="107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12" w:type="dxa"/>
            <w:tcBorders/>
            <w:vAlign w:val="center"/>
          </w:tcPr>
          <w:p>
            <w:pPr>
              <w:pStyle w:val="TableContents"/>
              <w:bidi w:val="0"/>
              <w:spacing w:before="0" w:after="0"/>
              <w:ind w:left="0" w:right="0" w:hanging="0"/>
              <w:jc w:val="center"/>
              <w:rPr/>
            </w:pPr>
            <w:r>
              <w:rPr/>
              <w:t>​</w:t>
            </w:r>
          </w:p>
        </w:tc>
      </w:tr>
      <w:tr>
        <w:trPr/>
        <w:tc>
          <w:tcPr>
            <w:tcW w:w="20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NetEase,</w:t>
            </w:r>
          </w:p>
        </w:tc>
        <w:tc>
          <w:tcPr>
            <w:tcW w:w="326" w:type="dxa"/>
            <w:tcBorders/>
            <w:vAlign w:val="center"/>
          </w:tcPr>
          <w:p>
            <w:pPr>
              <w:pStyle w:val="TableContents"/>
              <w:bidi w:val="0"/>
              <w:spacing w:before="0" w:after="0"/>
              <w:ind w:left="0" w:right="0" w:hanging="0"/>
              <w:jc w:val="center"/>
              <w:rPr/>
            </w:pPr>
            <w:r>
              <w:rPr/>
              <w:t>    </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center"/>
              <w:rPr/>
            </w:pPr>
            <w:r>
              <w:rPr/>
              <w:t>    </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Beneficiaries</w:t>
            </w:r>
          </w:p>
        </w:tc>
        <w:tc>
          <w:tcPr>
            <w:tcW w:w="326" w:type="dxa"/>
            <w:tcBorders/>
            <w:vAlign w:val="center"/>
          </w:tcPr>
          <w:p>
            <w:pPr>
              <w:pStyle w:val="TableContents"/>
              <w:bidi w:val="0"/>
              <w:spacing w:before="0" w:after="0"/>
              <w:ind w:left="0" w:right="0" w:hanging="0"/>
              <w:jc w:val="center"/>
              <w:rPr/>
            </w:pPr>
            <w:r>
              <w:rPr/>
              <w:t>    </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their</w:t>
            </w:r>
          </w:p>
        </w:tc>
        <w:tc>
          <w:tcPr>
            <w:tcW w:w="326" w:type="dxa"/>
            <w:tcBorders/>
            <w:vAlign w:val="center"/>
          </w:tcPr>
          <w:p>
            <w:pPr>
              <w:pStyle w:val="TableContents"/>
              <w:bidi w:val="0"/>
              <w:spacing w:before="0" w:after="0"/>
              <w:ind w:left="0" w:right="0" w:hanging="0"/>
              <w:jc w:val="center"/>
              <w:rPr/>
            </w:pPr>
            <w:r>
              <w:rPr/>
              <w:t>    </w:t>
            </w:r>
          </w:p>
        </w:tc>
        <w:tc>
          <w:tcPr>
            <w:tcW w:w="107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Eliminating</w:t>
            </w:r>
          </w:p>
        </w:tc>
        <w:tc>
          <w:tcPr>
            <w:tcW w:w="326" w:type="dxa"/>
            <w:tcBorders/>
            <w:vAlign w:val="center"/>
          </w:tcPr>
          <w:p>
            <w:pPr>
              <w:pStyle w:val="TableContents"/>
              <w:bidi w:val="0"/>
              <w:spacing w:before="0" w:after="0"/>
              <w:ind w:left="0" w:right="0" w:hanging="0"/>
              <w:jc w:val="center"/>
              <w:rPr/>
            </w:pPr>
            <w:r>
              <w:rPr/>
              <w:t>    </w:t>
            </w:r>
          </w:p>
        </w:tc>
        <w:tc>
          <w:tcPr>
            <w:tcW w:w="111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0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w:t>
            </w:r>
          </w:p>
        </w:tc>
        <w:tc>
          <w:tcPr>
            <w:tcW w:w="326" w:type="dxa"/>
            <w:tcBorders/>
            <w:vAlign w:val="center"/>
          </w:tcPr>
          <w:p>
            <w:pPr>
              <w:pStyle w:val="TableContents"/>
              <w:bidi w:val="0"/>
              <w:spacing w:before="0" w:after="0"/>
              <w:ind w:left="0" w:right="0" w:hanging="0"/>
              <w:jc w:val="center"/>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vAlign w:val="center"/>
          </w:tcPr>
          <w:p>
            <w:pPr>
              <w:pStyle w:val="TableContents"/>
              <w:bidi w:val="0"/>
              <w:spacing w:before="0" w:after="0"/>
              <w:ind w:left="0" w:right="0" w:hanging="0"/>
              <w:jc w:val="center"/>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VIEs</w:t>
            </w:r>
          </w:p>
        </w:tc>
        <w:tc>
          <w:tcPr>
            <w:tcW w:w="32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vAlign w:val="center"/>
          </w:tcPr>
          <w:p>
            <w:pPr>
              <w:pStyle w:val="TableContents"/>
              <w:bidi w:val="0"/>
              <w:spacing w:before="0" w:after="0"/>
              <w:ind w:left="0" w:right="0" w:hanging="0"/>
              <w:jc w:val="center"/>
              <w:rPr/>
            </w:pPr>
            <w:r>
              <w:rPr/>
              <w:t>​</w:t>
            </w:r>
          </w:p>
        </w:tc>
        <w:tc>
          <w:tcPr>
            <w:tcW w:w="107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26" w:type="dxa"/>
            <w:tcBorders/>
            <w:vAlign w:val="center"/>
          </w:tcPr>
          <w:p>
            <w:pPr>
              <w:pStyle w:val="TableContents"/>
              <w:bidi w:val="0"/>
              <w:spacing w:before="0" w:after="0"/>
              <w:ind w:left="0" w:right="0" w:hanging="0"/>
              <w:jc w:val="center"/>
              <w:rPr/>
            </w:pPr>
            <w:r>
              <w:rPr/>
              <w:t>​</w:t>
            </w:r>
          </w:p>
        </w:tc>
        <w:tc>
          <w:tcPr>
            <w:tcW w:w="111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totals</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0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783" w:type="dxa"/>
            <w:gridSpan w:val="11"/>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(RMB in thousands)</w:t>
            </w:r>
          </w:p>
        </w:tc>
      </w:tr>
      <w:tr>
        <w:trPr/>
        <w:tc>
          <w:tcPr>
            <w:tcW w:w="209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Assets</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077"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pPr>
            <w:r>
              <w:rPr/>
              <w:t>  </w:t>
            </w:r>
          </w:p>
        </w:tc>
      </w:tr>
      <w:tr>
        <w:trPr/>
        <w:tc>
          <w:tcPr>
            <w:tcW w:w="209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224,824</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13,269,440</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6,132,382</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1,802,256</w:t>
            </w:r>
          </w:p>
        </w:tc>
        <w:tc>
          <w:tcPr>
            <w:tcW w:w="326" w:type="dxa"/>
            <w:tcBorders/>
            <w:vAlign w:val="center"/>
          </w:tcPr>
          <w:p>
            <w:pPr>
              <w:pStyle w:val="TableContents"/>
              <w:bidi w:val="0"/>
              <w:spacing w:before="0" w:after="0"/>
              <w:ind w:left="0" w:right="0" w:hanging="0"/>
              <w:jc w:val="left"/>
              <w:rPr/>
            </w:pPr>
            <w:r>
              <w:rPr/>
              <w:t> </w:t>
            </w:r>
          </w:p>
        </w:tc>
        <w:tc>
          <w:tcPr>
            <w:tcW w:w="10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1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21,428,902</w:t>
            </w:r>
          </w:p>
        </w:tc>
      </w:tr>
      <w:tr>
        <w:trPr/>
        <w:tc>
          <w:tcPr>
            <w:tcW w:w="20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Time deposits</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63,445,277</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38,040,757</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420,000</w:t>
            </w:r>
          </w:p>
        </w:tc>
        <w:tc>
          <w:tcPr>
            <w:tcW w:w="326" w:type="dxa"/>
            <w:tcBorders/>
            <w:shd w:fill="CCEEFF" w:val="clear"/>
            <w:vAlign w:val="center"/>
          </w:tcPr>
          <w:p>
            <w:pPr>
              <w:pStyle w:val="TableContents"/>
              <w:bidi w:val="0"/>
              <w:spacing w:before="0" w:after="0"/>
              <w:ind w:left="0" w:right="0" w:hanging="0"/>
              <w:jc w:val="left"/>
              <w:rPr/>
            </w:pPr>
            <w:r>
              <w:rPr/>
              <w:t> </w:t>
            </w:r>
          </w:p>
        </w:tc>
        <w:tc>
          <w:tcPr>
            <w:tcW w:w="10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101,906,034</w:t>
            </w:r>
          </w:p>
        </w:tc>
      </w:tr>
      <w:tr>
        <w:trPr/>
        <w:tc>
          <w:tcPr>
            <w:tcW w:w="209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Restricted cash</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20,075</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56,098</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2,701,583</w:t>
            </w:r>
          </w:p>
        </w:tc>
        <w:tc>
          <w:tcPr>
            <w:tcW w:w="326" w:type="dxa"/>
            <w:tcBorders/>
            <w:vAlign w:val="center"/>
          </w:tcPr>
          <w:p>
            <w:pPr>
              <w:pStyle w:val="TableContents"/>
              <w:bidi w:val="0"/>
              <w:spacing w:before="0" w:after="0"/>
              <w:ind w:left="0" w:right="0" w:hanging="0"/>
              <w:jc w:val="left"/>
              <w:rPr/>
            </w:pPr>
            <w:r>
              <w:rPr/>
              <w:t> </w:t>
            </w:r>
          </w:p>
        </w:tc>
        <w:tc>
          <w:tcPr>
            <w:tcW w:w="10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1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2,777,756</w:t>
            </w:r>
          </w:p>
        </w:tc>
      </w:tr>
      <w:tr>
        <w:trPr/>
        <w:tc>
          <w:tcPr>
            <w:tcW w:w="20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receivable, net</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1,421,964</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337,122</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4,663,331</w:t>
            </w:r>
          </w:p>
        </w:tc>
        <w:tc>
          <w:tcPr>
            <w:tcW w:w="326" w:type="dxa"/>
            <w:tcBorders/>
            <w:shd w:fill="CCEEFF" w:val="clear"/>
            <w:vAlign w:val="center"/>
          </w:tcPr>
          <w:p>
            <w:pPr>
              <w:pStyle w:val="TableContents"/>
              <w:bidi w:val="0"/>
              <w:spacing w:before="0" w:after="0"/>
              <w:ind w:left="0" w:right="0" w:hanging="0"/>
              <w:jc w:val="left"/>
              <w:rPr/>
            </w:pPr>
            <w:r>
              <w:rPr/>
              <w:t> </w:t>
            </w:r>
          </w:p>
        </w:tc>
        <w:tc>
          <w:tcPr>
            <w:tcW w:w="10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6,422,417</w:t>
            </w:r>
          </w:p>
        </w:tc>
      </w:tr>
      <w:tr>
        <w:trPr/>
        <w:tc>
          <w:tcPr>
            <w:tcW w:w="209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Inventories</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586,212</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72,254</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36,908</w:t>
            </w:r>
          </w:p>
        </w:tc>
        <w:tc>
          <w:tcPr>
            <w:tcW w:w="326" w:type="dxa"/>
            <w:tcBorders/>
            <w:vAlign w:val="center"/>
          </w:tcPr>
          <w:p>
            <w:pPr>
              <w:pStyle w:val="TableContents"/>
              <w:bidi w:val="0"/>
              <w:spacing w:before="0" w:after="0"/>
              <w:ind w:left="0" w:right="0" w:hanging="0"/>
              <w:jc w:val="left"/>
              <w:rPr/>
            </w:pPr>
            <w:r>
              <w:rPr/>
              <w:t> </w:t>
            </w:r>
          </w:p>
        </w:tc>
        <w:tc>
          <w:tcPr>
            <w:tcW w:w="10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1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695,374</w:t>
            </w:r>
          </w:p>
        </w:tc>
      </w:tr>
      <w:tr>
        <w:trPr/>
        <w:tc>
          <w:tcPr>
            <w:tcW w:w="20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Prepayments and other current assets, net</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262,937</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2,933,583</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1,114,866</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1,765,209</w:t>
            </w:r>
          </w:p>
        </w:tc>
        <w:tc>
          <w:tcPr>
            <w:tcW w:w="326" w:type="dxa"/>
            <w:tcBorders/>
            <w:shd w:fill="CCEEFF" w:val="clear"/>
            <w:vAlign w:val="center"/>
          </w:tcPr>
          <w:p>
            <w:pPr>
              <w:pStyle w:val="TableContents"/>
              <w:bidi w:val="0"/>
              <w:spacing w:before="0" w:after="0"/>
              <w:ind w:left="0" w:right="0" w:hanging="0"/>
              <w:jc w:val="left"/>
              <w:rPr/>
            </w:pPr>
            <w:r>
              <w:rPr/>
              <w:t> </w:t>
            </w:r>
          </w:p>
        </w:tc>
        <w:tc>
          <w:tcPr>
            <w:tcW w:w="10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6,076,595</w:t>
            </w:r>
          </w:p>
        </w:tc>
      </w:tr>
      <w:tr>
        <w:trPr/>
        <w:tc>
          <w:tcPr>
            <w:tcW w:w="209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Short-term investments</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39,620</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4,322,533</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73,904</w:t>
            </w:r>
          </w:p>
        </w:tc>
        <w:tc>
          <w:tcPr>
            <w:tcW w:w="326" w:type="dxa"/>
            <w:tcBorders/>
            <w:vAlign w:val="center"/>
          </w:tcPr>
          <w:p>
            <w:pPr>
              <w:pStyle w:val="TableContents"/>
              <w:bidi w:val="0"/>
              <w:spacing w:before="0" w:after="0"/>
              <w:ind w:left="0" w:right="0" w:hanging="0"/>
              <w:jc w:val="left"/>
              <w:rPr/>
            </w:pPr>
            <w:r>
              <w:rPr/>
              <w:t> </w:t>
            </w:r>
          </w:p>
        </w:tc>
        <w:tc>
          <w:tcPr>
            <w:tcW w:w="10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1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4,436,057</w:t>
            </w:r>
          </w:p>
        </w:tc>
      </w:tr>
      <w:tr>
        <w:trPr/>
        <w:tc>
          <w:tcPr>
            <w:tcW w:w="2096"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Amounts due from group companies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48,884,976</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32,562,994</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18,972,738</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9,192,463</w:t>
            </w:r>
          </w:p>
        </w:tc>
        <w:tc>
          <w:tcPr>
            <w:tcW w:w="326" w:type="dxa"/>
            <w:tcBorders/>
            <w:shd w:fill="CCEEFF" w:val="clear"/>
            <w:vAlign w:val="center"/>
          </w:tcPr>
          <w:p>
            <w:pPr>
              <w:pStyle w:val="TableContents"/>
              <w:bidi w:val="0"/>
              <w:spacing w:before="0" w:after="0"/>
              <w:ind w:left="0" w:right="0" w:hanging="0"/>
              <w:jc w:val="left"/>
              <w:rPr/>
            </w:pPr>
            <w:r>
              <w:rPr/>
              <w:t> </w:t>
            </w:r>
          </w:p>
        </w:tc>
        <w:tc>
          <w:tcPr>
            <w:tcW w:w="107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(109,613,171)</w:t>
            </w:r>
          </w:p>
        </w:tc>
        <w:tc>
          <w:tcPr>
            <w:tcW w:w="32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pPr>
            <w:r>
              <w:rPr/>
              <w:t>—</w:t>
            </w:r>
          </w:p>
        </w:tc>
      </w:tr>
      <w:tr>
        <w:trPr/>
        <w:tc>
          <w:tcPr>
            <w:tcW w:w="209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Property, equipment and software, net</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829</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709,387</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7,312,616</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52,212</w:t>
            </w:r>
          </w:p>
        </w:tc>
        <w:tc>
          <w:tcPr>
            <w:tcW w:w="326" w:type="dxa"/>
            <w:tcBorders/>
            <w:vAlign w:val="center"/>
          </w:tcPr>
          <w:p>
            <w:pPr>
              <w:pStyle w:val="TableContents"/>
              <w:bidi w:val="0"/>
              <w:spacing w:before="0" w:after="0"/>
              <w:ind w:left="0" w:right="0" w:hanging="0"/>
              <w:jc w:val="left"/>
              <w:rPr/>
            </w:pPr>
            <w:r>
              <w:rPr/>
              <w:t> </w:t>
            </w:r>
          </w:p>
        </w:tc>
        <w:tc>
          <w:tcPr>
            <w:tcW w:w="10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1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8,075,044</w:t>
            </w:r>
          </w:p>
        </w:tc>
      </w:tr>
      <w:tr>
        <w:trPr/>
        <w:tc>
          <w:tcPr>
            <w:tcW w:w="20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Land use right, net</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64,264</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4,010,879</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4,075,143</w:t>
            </w:r>
          </w:p>
        </w:tc>
      </w:tr>
      <w:tr>
        <w:trPr/>
        <w:tc>
          <w:tcPr>
            <w:tcW w:w="209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right-of-use assets, net</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3,996</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280,906</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410,687</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53,686</w:t>
            </w:r>
          </w:p>
        </w:tc>
        <w:tc>
          <w:tcPr>
            <w:tcW w:w="326" w:type="dxa"/>
            <w:tcBorders/>
            <w:vAlign w:val="center"/>
          </w:tcPr>
          <w:p>
            <w:pPr>
              <w:pStyle w:val="TableContents"/>
              <w:bidi w:val="0"/>
              <w:spacing w:before="0" w:after="0"/>
              <w:ind w:left="0" w:right="0" w:hanging="0"/>
              <w:jc w:val="left"/>
              <w:rPr/>
            </w:pPr>
            <w:r>
              <w:rPr/>
              <w:t> </w:t>
            </w:r>
          </w:p>
        </w:tc>
        <w:tc>
          <w:tcPr>
            <w:tcW w:w="10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1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749,275</w:t>
            </w:r>
          </w:p>
        </w:tc>
      </w:tr>
      <w:tr>
        <w:trPr/>
        <w:tc>
          <w:tcPr>
            <w:tcW w:w="20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tax assets</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15,158</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1,396,083</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148,847</w:t>
            </w:r>
          </w:p>
        </w:tc>
        <w:tc>
          <w:tcPr>
            <w:tcW w:w="326" w:type="dxa"/>
            <w:tcBorders/>
            <w:shd w:fill="CCEEFF" w:val="clear"/>
            <w:vAlign w:val="center"/>
          </w:tcPr>
          <w:p>
            <w:pPr>
              <w:pStyle w:val="TableContents"/>
              <w:bidi w:val="0"/>
              <w:spacing w:before="0" w:after="0"/>
              <w:ind w:left="0" w:right="0" w:hanging="0"/>
              <w:jc w:val="left"/>
              <w:rPr/>
            </w:pPr>
            <w:r>
              <w:rPr/>
              <w:t> </w:t>
            </w:r>
          </w:p>
        </w:tc>
        <w:tc>
          <w:tcPr>
            <w:tcW w:w="10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1,560,088</w:t>
            </w:r>
          </w:p>
        </w:tc>
      </w:tr>
      <w:tr>
        <w:trPr/>
        <w:tc>
          <w:tcPr>
            <w:tcW w:w="2096" w:type="dxa"/>
            <w:tcBorders/>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Investments in subsidiaries </w:t>
            </w:r>
            <w:r>
              <w:rPr>
                <w:rFonts w:ascii="Times New Roman;Times;serif" w:hAnsi="Times New Roman;Times;serif"/>
                <w:sz w:val="12"/>
              </w:rPr>
              <w:t>(2)</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103,785,841</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28,944,158</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(410,515)</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7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(132,319,484)</w:t>
            </w:r>
          </w:p>
        </w:tc>
        <w:tc>
          <w:tcPr>
            <w:tcW w:w="326" w:type="dxa"/>
            <w:tcBorders/>
            <w:vAlign w:val="center"/>
          </w:tcPr>
          <w:p>
            <w:pPr>
              <w:pStyle w:val="TableContents"/>
              <w:bidi w:val="0"/>
              <w:spacing w:before="0" w:after="0"/>
              <w:ind w:left="0" w:right="0" w:hanging="0"/>
              <w:jc w:val="left"/>
              <w:rPr/>
            </w:pPr>
            <w:r>
              <w:rPr/>
              <w:t> </w:t>
            </w:r>
          </w:p>
        </w:tc>
        <w:tc>
          <w:tcPr>
            <w:tcW w:w="1112" w:type="dxa"/>
            <w:tcBorders/>
            <w:vAlign w:val="center"/>
          </w:tcPr>
          <w:p>
            <w:pPr>
              <w:pStyle w:val="TableContents"/>
              <w:bidi w:val="0"/>
              <w:spacing w:before="0" w:after="0"/>
              <w:ind w:left="0" w:right="0" w:hanging="0"/>
              <w:jc w:val="right"/>
              <w:rPr/>
            </w:pPr>
            <w:r>
              <w:rPr/>
              <w:t>—</w:t>
            </w:r>
          </w:p>
        </w:tc>
      </w:tr>
      <w:tr>
        <w:trPr/>
        <w:tc>
          <w:tcPr>
            <w:tcW w:w="2096"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Contractual interests in the VIEs and VIEs’ subsidiaries </w:t>
            </w:r>
            <w:r>
              <w:rPr>
                <w:rFonts w:ascii="Times New Roman;Times;serif" w:hAnsi="Times New Roman;Times;serif"/>
                <w:sz w:val="12"/>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1,619,075</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7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(1,619,075)</w:t>
            </w:r>
          </w:p>
        </w:tc>
        <w:tc>
          <w:tcPr>
            <w:tcW w:w="326" w:type="dxa"/>
            <w:tcBorders/>
            <w:shd w:fill="CCEEFF" w:val="clear"/>
            <w:vAlign w:val="center"/>
          </w:tcPr>
          <w:p>
            <w:pPr>
              <w:pStyle w:val="TableContents"/>
              <w:bidi w:val="0"/>
              <w:spacing w:before="0" w:after="0"/>
              <w:ind w:left="0" w:right="0" w:hanging="0"/>
              <w:jc w:val="left"/>
              <w:rPr/>
            </w:pPr>
            <w:r>
              <w:rPr/>
              <w:t>​</w:t>
            </w:r>
          </w:p>
        </w:tc>
        <w:tc>
          <w:tcPr>
            <w:tcW w:w="1112" w:type="dxa"/>
            <w:tcBorders/>
            <w:shd w:fill="CCEEFF" w:val="clear"/>
            <w:vAlign w:val="center"/>
          </w:tcPr>
          <w:p>
            <w:pPr>
              <w:pStyle w:val="TableContents"/>
              <w:bidi w:val="0"/>
              <w:spacing w:before="0" w:after="0"/>
              <w:ind w:left="0" w:right="0" w:hanging="0"/>
              <w:jc w:val="right"/>
              <w:rPr/>
            </w:pPr>
            <w:r>
              <w:rPr/>
              <w:t>—</w:t>
            </w:r>
          </w:p>
        </w:tc>
      </w:tr>
      <w:tr>
        <w:trPr/>
        <w:tc>
          <w:tcPr>
            <w:tcW w:w="209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Long-term investments</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393,580</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19,211,745</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965,058</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1,212,804</w:t>
            </w:r>
          </w:p>
        </w:tc>
        <w:tc>
          <w:tcPr>
            <w:tcW w:w="326" w:type="dxa"/>
            <w:tcBorders/>
            <w:vAlign w:val="center"/>
          </w:tcPr>
          <w:p>
            <w:pPr>
              <w:pStyle w:val="TableContents"/>
              <w:bidi w:val="0"/>
              <w:spacing w:before="0" w:after="0"/>
              <w:ind w:left="0" w:right="0" w:hanging="0"/>
              <w:jc w:val="left"/>
              <w:rPr/>
            </w:pPr>
            <w:r>
              <w:rPr/>
              <w:t> </w:t>
            </w:r>
          </w:p>
        </w:tc>
        <w:tc>
          <w:tcPr>
            <w:tcW w:w="10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1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21,783,187</w:t>
            </w:r>
          </w:p>
        </w:tc>
      </w:tr>
      <w:tr>
        <w:trPr/>
        <w:tc>
          <w:tcPr>
            <w:tcW w:w="20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long-term assets</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42,303</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4,471,840</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1,221,219</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203,744</w:t>
            </w:r>
          </w:p>
        </w:tc>
        <w:tc>
          <w:tcPr>
            <w:tcW w:w="326" w:type="dxa"/>
            <w:tcBorders/>
            <w:shd w:fill="CCEEFF" w:val="clear"/>
            <w:vAlign w:val="center"/>
          </w:tcPr>
          <w:p>
            <w:pPr>
              <w:pStyle w:val="TableContents"/>
              <w:bidi w:val="0"/>
              <w:spacing w:before="0" w:after="0"/>
              <w:ind w:left="0" w:right="0" w:hanging="0"/>
              <w:jc w:val="left"/>
              <w:rPr/>
            </w:pPr>
            <w:r>
              <w:rPr/>
              <w:t> </w:t>
            </w:r>
          </w:p>
        </w:tc>
        <w:tc>
          <w:tcPr>
            <w:tcW w:w="10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5,939,106</w:t>
            </w:r>
          </w:p>
        </w:tc>
      </w:tr>
      <w:tr>
        <w:trPr/>
        <w:tc>
          <w:tcPr>
            <w:tcW w:w="209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assets</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153,599,286</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167,976,623</w:t>
            </w:r>
          </w:p>
        </w:tc>
        <w:tc>
          <w:tcPr>
            <w:tcW w:w="326" w:type="dxa"/>
            <w:tcBorders/>
            <w:vAlign w:val="center"/>
          </w:tcPr>
          <w:p>
            <w:pPr>
              <w:pStyle w:val="TableContents"/>
              <w:bidi w:val="0"/>
              <w:spacing w:before="0" w:after="0"/>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85,573,852</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22,326,947</w:t>
            </w:r>
          </w:p>
        </w:tc>
        <w:tc>
          <w:tcPr>
            <w:tcW w:w="326" w:type="dxa"/>
            <w:tcBorders/>
            <w:vAlign w:val="center"/>
          </w:tcPr>
          <w:p>
            <w:pPr>
              <w:pStyle w:val="TableContents"/>
              <w:bidi w:val="0"/>
              <w:spacing w:before="0" w:after="0"/>
              <w:ind w:left="0" w:right="0" w:hanging="0"/>
              <w:jc w:val="left"/>
              <w:rPr/>
            </w:pPr>
            <w:r>
              <w:rPr/>
              <w:t> </w:t>
            </w:r>
          </w:p>
        </w:tc>
        <w:tc>
          <w:tcPr>
            <w:tcW w:w="10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(243,551,730)</w:t>
            </w:r>
          </w:p>
        </w:tc>
        <w:tc>
          <w:tcPr>
            <w:tcW w:w="326" w:type="dxa"/>
            <w:tcBorders/>
            <w:vAlign w:val="center"/>
          </w:tcPr>
          <w:p>
            <w:pPr>
              <w:pStyle w:val="TableContents"/>
              <w:bidi w:val="0"/>
              <w:spacing w:before="0" w:after="0"/>
              <w:ind w:left="0" w:right="0" w:hanging="0"/>
              <w:jc w:val="left"/>
              <w:rPr/>
            </w:pPr>
            <w:r>
              <w:rPr/>
              <w:t> </w:t>
            </w:r>
          </w:p>
        </w:tc>
        <w:tc>
          <w:tcPr>
            <w:tcW w:w="11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185,924,978</w:t>
            </w:r>
          </w:p>
        </w:tc>
      </w:tr>
      <w:tr>
        <w:trPr/>
        <w:tc>
          <w:tcPr>
            <w:tcW w:w="20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7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12" w:type="dxa"/>
            <w:tcBorders/>
            <w:shd w:fill="CCEEFF" w:val="clear"/>
            <w:vAlign w:val="center"/>
          </w:tcPr>
          <w:p>
            <w:pPr>
              <w:pStyle w:val="TableContents"/>
              <w:bidi w:val="0"/>
              <w:spacing w:before="0" w:after="0"/>
              <w:ind w:left="0" w:right="0" w:hanging="0"/>
              <w:jc w:val="left"/>
              <w:rPr/>
            </w:pPr>
            <w:r>
              <w:rPr/>
              <w:t>​</w:t>
            </w:r>
          </w:p>
        </w:tc>
      </w:tr>
      <w:tr>
        <w:trPr/>
        <w:tc>
          <w:tcPr>
            <w:tcW w:w="2096"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Liabilities, redeemable noncontrolling interests and shareholders’ equity</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112" w:type="dxa"/>
            <w:tcBorders/>
            <w:vAlign w:val="center"/>
          </w:tcPr>
          <w:p>
            <w:pPr>
              <w:pStyle w:val="TableContents"/>
              <w:bidi w:val="0"/>
              <w:spacing w:before="0" w:after="0"/>
              <w:ind w:left="0" w:right="0" w:hanging="0"/>
              <w:jc w:val="right"/>
              <w:rPr/>
            </w:pPr>
            <w:r>
              <w:rPr/>
              <w:t>​</w:t>
            </w:r>
          </w:p>
        </w:tc>
      </w:tr>
      <w:tr>
        <w:trPr/>
        <w:tc>
          <w:tcPr>
            <w:tcW w:w="20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536,021</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79,826</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265,137</w:t>
            </w:r>
          </w:p>
        </w:tc>
        <w:tc>
          <w:tcPr>
            <w:tcW w:w="326" w:type="dxa"/>
            <w:tcBorders/>
            <w:shd w:fill="CCEEFF" w:val="clear"/>
            <w:vAlign w:val="center"/>
          </w:tcPr>
          <w:p>
            <w:pPr>
              <w:pStyle w:val="TableContents"/>
              <w:bidi w:val="0"/>
              <w:spacing w:before="0" w:after="0"/>
              <w:ind w:left="0" w:right="0" w:hanging="0"/>
              <w:jc w:val="left"/>
              <w:rPr/>
            </w:pPr>
            <w:r>
              <w:rPr/>
              <w:t> </w:t>
            </w:r>
          </w:p>
        </w:tc>
        <w:tc>
          <w:tcPr>
            <w:tcW w:w="10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881,016</w:t>
            </w:r>
          </w:p>
        </w:tc>
      </w:tr>
      <w:tr>
        <w:trPr/>
        <w:tc>
          <w:tcPr>
            <w:tcW w:w="209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Salary and welfare payables</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1,678</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669,323</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4,071,411</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114,794</w:t>
            </w:r>
          </w:p>
        </w:tc>
        <w:tc>
          <w:tcPr>
            <w:tcW w:w="326" w:type="dxa"/>
            <w:tcBorders/>
            <w:vAlign w:val="center"/>
          </w:tcPr>
          <w:p>
            <w:pPr>
              <w:pStyle w:val="TableContents"/>
              <w:bidi w:val="0"/>
              <w:spacing w:before="0" w:after="0"/>
              <w:ind w:left="0" w:right="0" w:hanging="0"/>
              <w:jc w:val="left"/>
              <w:rPr/>
            </w:pPr>
            <w:r>
              <w:rPr/>
              <w:t> </w:t>
            </w:r>
          </w:p>
        </w:tc>
        <w:tc>
          <w:tcPr>
            <w:tcW w:w="10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1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4,857,206</w:t>
            </w:r>
          </w:p>
        </w:tc>
      </w:tr>
      <w:tr>
        <w:trPr/>
        <w:tc>
          <w:tcPr>
            <w:tcW w:w="20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Taxes payable</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10,278</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35,066</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2,383,421</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142,769</w:t>
            </w:r>
          </w:p>
        </w:tc>
        <w:tc>
          <w:tcPr>
            <w:tcW w:w="326" w:type="dxa"/>
            <w:tcBorders/>
            <w:shd w:fill="CCEEFF" w:val="clear"/>
            <w:vAlign w:val="center"/>
          </w:tcPr>
          <w:p>
            <w:pPr>
              <w:pStyle w:val="TableContents"/>
              <w:bidi w:val="0"/>
              <w:spacing w:before="0" w:after="0"/>
              <w:ind w:left="0" w:right="0" w:hanging="0"/>
              <w:jc w:val="left"/>
              <w:rPr/>
            </w:pPr>
            <w:r>
              <w:rPr/>
              <w:t> </w:t>
            </w:r>
          </w:p>
        </w:tc>
        <w:tc>
          <w:tcPr>
            <w:tcW w:w="10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2,571,534</w:t>
            </w:r>
          </w:p>
        </w:tc>
      </w:tr>
      <w:tr>
        <w:trPr/>
        <w:tc>
          <w:tcPr>
            <w:tcW w:w="209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Short-term loans</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920,751</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8,669,455</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9,633,862</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16,095</w:t>
            </w:r>
          </w:p>
        </w:tc>
        <w:tc>
          <w:tcPr>
            <w:tcW w:w="326" w:type="dxa"/>
            <w:tcBorders/>
            <w:vAlign w:val="center"/>
          </w:tcPr>
          <w:p>
            <w:pPr>
              <w:pStyle w:val="TableContents"/>
              <w:bidi w:val="0"/>
              <w:spacing w:before="0" w:after="0"/>
              <w:ind w:left="0" w:right="0" w:hanging="0"/>
              <w:jc w:val="left"/>
              <w:rPr/>
            </w:pPr>
            <w:r>
              <w:rPr/>
              <w:t> </w:t>
            </w:r>
          </w:p>
        </w:tc>
        <w:tc>
          <w:tcPr>
            <w:tcW w:w="10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1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19,240,163</w:t>
            </w:r>
          </w:p>
        </w:tc>
      </w:tr>
      <w:tr>
        <w:trPr/>
        <w:tc>
          <w:tcPr>
            <w:tcW w:w="20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Contract liabilities-current</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732,809</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227,931</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12,401,426</w:t>
            </w:r>
          </w:p>
        </w:tc>
        <w:tc>
          <w:tcPr>
            <w:tcW w:w="326" w:type="dxa"/>
            <w:tcBorders/>
            <w:shd w:fill="CCEEFF" w:val="clear"/>
            <w:vAlign w:val="center"/>
          </w:tcPr>
          <w:p>
            <w:pPr>
              <w:pStyle w:val="TableContents"/>
              <w:bidi w:val="0"/>
              <w:spacing w:before="0" w:after="0"/>
              <w:ind w:left="0" w:right="0" w:hanging="0"/>
              <w:jc w:val="left"/>
              <w:rPr/>
            </w:pPr>
            <w:r>
              <w:rPr/>
              <w:t> </w:t>
            </w:r>
          </w:p>
        </w:tc>
        <w:tc>
          <w:tcPr>
            <w:tcW w:w="10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13,362,166</w:t>
            </w:r>
          </w:p>
        </w:tc>
      </w:tr>
      <w:tr>
        <w:trPr/>
        <w:tc>
          <w:tcPr>
            <w:tcW w:w="209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liabilities and other payables</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9,008</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2,071,530</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6,900,483</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3,689,885</w:t>
            </w:r>
          </w:p>
        </w:tc>
        <w:tc>
          <w:tcPr>
            <w:tcW w:w="326" w:type="dxa"/>
            <w:tcBorders/>
            <w:vAlign w:val="center"/>
          </w:tcPr>
          <w:p>
            <w:pPr>
              <w:pStyle w:val="TableContents"/>
              <w:bidi w:val="0"/>
              <w:spacing w:before="0" w:after="0"/>
              <w:ind w:left="0" w:right="0" w:hanging="0"/>
              <w:jc w:val="left"/>
              <w:rPr/>
            </w:pPr>
            <w:r>
              <w:rPr/>
              <w:t> </w:t>
            </w:r>
          </w:p>
        </w:tc>
        <w:tc>
          <w:tcPr>
            <w:tcW w:w="10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1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12,670,906</w:t>
            </w:r>
          </w:p>
        </w:tc>
      </w:tr>
      <w:tr>
        <w:trPr/>
        <w:tc>
          <w:tcPr>
            <w:tcW w:w="20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3,536</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316,747</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442,348</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52,691</w:t>
            </w:r>
          </w:p>
        </w:tc>
        <w:tc>
          <w:tcPr>
            <w:tcW w:w="326" w:type="dxa"/>
            <w:tcBorders/>
            <w:shd w:fill="CCEEFF" w:val="clear"/>
            <w:vAlign w:val="center"/>
          </w:tcPr>
          <w:p>
            <w:pPr>
              <w:pStyle w:val="TableContents"/>
              <w:bidi w:val="0"/>
              <w:spacing w:before="0" w:after="0"/>
              <w:ind w:left="0" w:right="0" w:hanging="0"/>
              <w:jc w:val="left"/>
              <w:rPr/>
            </w:pPr>
            <w:r>
              <w:rPr/>
              <w:t> </w:t>
            </w:r>
          </w:p>
        </w:tc>
        <w:tc>
          <w:tcPr>
            <w:tcW w:w="10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815,322</w:t>
            </w:r>
          </w:p>
        </w:tc>
      </w:tr>
      <w:tr>
        <w:trPr/>
        <w:tc>
          <w:tcPr>
            <w:tcW w:w="2096" w:type="dxa"/>
            <w:tcBorders/>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Amounts due to group companies </w:t>
            </w:r>
            <w:r>
              <w:rPr>
                <w:rFonts w:ascii="Times New Roman;Times;serif" w:hAnsi="Times New Roman;Times;serif"/>
                <w:sz w:val="12"/>
              </w:rPr>
              <w:t>(1)</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28,368,227</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45,955,508</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32,466,685</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2,822,751</w:t>
            </w:r>
          </w:p>
        </w:tc>
        <w:tc>
          <w:tcPr>
            <w:tcW w:w="326" w:type="dxa"/>
            <w:tcBorders/>
            <w:vAlign w:val="center"/>
          </w:tcPr>
          <w:p>
            <w:pPr>
              <w:pStyle w:val="TableContents"/>
              <w:bidi w:val="0"/>
              <w:spacing w:before="0" w:after="0"/>
              <w:ind w:left="0" w:right="0" w:hanging="0"/>
              <w:jc w:val="left"/>
              <w:rPr/>
            </w:pPr>
            <w:r>
              <w:rPr/>
              <w:t> </w:t>
            </w:r>
          </w:p>
        </w:tc>
        <w:tc>
          <w:tcPr>
            <w:tcW w:w="107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(109,613,171)</w:t>
            </w:r>
          </w:p>
        </w:tc>
        <w:tc>
          <w:tcPr>
            <w:tcW w:w="326" w:type="dxa"/>
            <w:tcBorders/>
            <w:vAlign w:val="center"/>
          </w:tcPr>
          <w:p>
            <w:pPr>
              <w:pStyle w:val="TableContents"/>
              <w:bidi w:val="0"/>
              <w:spacing w:before="0" w:after="0"/>
              <w:ind w:left="0" w:right="0" w:hanging="0"/>
              <w:jc w:val="left"/>
              <w:rPr/>
            </w:pPr>
            <w:r>
              <w:rPr/>
              <w:t> </w:t>
            </w:r>
          </w:p>
        </w:tc>
        <w:tc>
          <w:tcPr>
            <w:tcW w:w="1112" w:type="dxa"/>
            <w:tcBorders/>
            <w:vAlign w:val="center"/>
          </w:tcPr>
          <w:p>
            <w:pPr>
              <w:pStyle w:val="TableContents"/>
              <w:bidi w:val="0"/>
              <w:spacing w:before="0" w:after="0"/>
              <w:ind w:left="0" w:right="0" w:hanging="0"/>
              <w:jc w:val="right"/>
              <w:rPr/>
            </w:pPr>
            <w:r>
              <w:rPr/>
              <w:t>—</w:t>
            </w:r>
          </w:p>
        </w:tc>
      </w:tr>
      <w:tr>
        <w:trPr/>
        <w:tc>
          <w:tcPr>
            <w:tcW w:w="20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tax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1,951,981</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347,322</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2,299,303</w:t>
            </w:r>
          </w:p>
        </w:tc>
      </w:tr>
      <w:tr>
        <w:trPr/>
        <w:tc>
          <w:tcPr>
            <w:tcW w:w="209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Long-term loans</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427,997</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1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427,997</w:t>
            </w:r>
          </w:p>
        </w:tc>
      </w:tr>
      <w:tr>
        <w:trPr/>
        <w:tc>
          <w:tcPr>
            <w:tcW w:w="20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long-term payable</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101,713</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58,923</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554,648</w:t>
            </w:r>
          </w:p>
        </w:tc>
        <w:tc>
          <w:tcPr>
            <w:tcW w:w="326" w:type="dxa"/>
            <w:tcBorders/>
            <w:shd w:fill="CCEEFF" w:val="clear"/>
            <w:vAlign w:val="center"/>
          </w:tcPr>
          <w:p>
            <w:pPr>
              <w:pStyle w:val="TableContents"/>
              <w:bidi w:val="0"/>
              <w:spacing w:before="0" w:after="0"/>
              <w:ind w:left="0" w:right="0" w:hanging="0"/>
              <w:jc w:val="left"/>
              <w:rPr/>
            </w:pPr>
            <w:r>
              <w:rPr/>
              <w:t> </w:t>
            </w:r>
          </w:p>
        </w:tc>
        <w:tc>
          <w:tcPr>
            <w:tcW w:w="10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715,284</w:t>
            </w:r>
          </w:p>
        </w:tc>
      </w:tr>
      <w:tr>
        <w:trPr/>
        <w:tc>
          <w:tcPr>
            <w:tcW w:w="209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liabilities</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29,313,510</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61,040,153</w:t>
            </w:r>
          </w:p>
        </w:tc>
        <w:tc>
          <w:tcPr>
            <w:tcW w:w="326" w:type="dxa"/>
            <w:tcBorders/>
            <w:vAlign w:val="center"/>
          </w:tcPr>
          <w:p>
            <w:pPr>
              <w:pStyle w:val="TableContents"/>
              <w:bidi w:val="0"/>
              <w:spacing w:before="0" w:after="0"/>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57,040,209</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20,060,196</w:t>
            </w:r>
          </w:p>
        </w:tc>
        <w:tc>
          <w:tcPr>
            <w:tcW w:w="326" w:type="dxa"/>
            <w:tcBorders/>
            <w:vAlign w:val="center"/>
          </w:tcPr>
          <w:p>
            <w:pPr>
              <w:pStyle w:val="TableContents"/>
              <w:bidi w:val="0"/>
              <w:spacing w:before="0" w:after="0"/>
              <w:ind w:left="0" w:right="0" w:hanging="0"/>
              <w:jc w:val="left"/>
              <w:rPr/>
            </w:pPr>
            <w:r>
              <w:rPr/>
              <w:t> </w:t>
            </w:r>
          </w:p>
        </w:tc>
        <w:tc>
          <w:tcPr>
            <w:tcW w:w="10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(109,613,171)</w:t>
            </w:r>
          </w:p>
        </w:tc>
        <w:tc>
          <w:tcPr>
            <w:tcW w:w="326" w:type="dxa"/>
            <w:tcBorders/>
            <w:vAlign w:val="center"/>
          </w:tcPr>
          <w:p>
            <w:pPr>
              <w:pStyle w:val="TableContents"/>
              <w:bidi w:val="0"/>
              <w:spacing w:before="0" w:after="0"/>
              <w:ind w:left="0" w:right="0" w:hanging="0"/>
              <w:jc w:val="left"/>
              <w:rPr/>
            </w:pPr>
            <w:r>
              <w:rPr/>
              <w:t> </w:t>
            </w:r>
          </w:p>
        </w:tc>
        <w:tc>
          <w:tcPr>
            <w:tcW w:w="11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57,840,897</w:t>
            </w:r>
          </w:p>
        </w:tc>
      </w:tr>
      <w:tr>
        <w:trPr/>
        <w:tc>
          <w:tcPr>
            <w:tcW w:w="20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Redeemable noncontrolling interests</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77,798</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37,961</w:t>
            </w:r>
          </w:p>
        </w:tc>
        <w:tc>
          <w:tcPr>
            <w:tcW w:w="326" w:type="dxa"/>
            <w:tcBorders/>
            <w:shd w:fill="CCEEFF" w:val="clear"/>
            <w:vAlign w:val="center"/>
          </w:tcPr>
          <w:p>
            <w:pPr>
              <w:pStyle w:val="TableContents"/>
              <w:bidi w:val="0"/>
              <w:spacing w:before="0" w:after="0"/>
              <w:ind w:left="0" w:right="0" w:hanging="0"/>
              <w:jc w:val="left"/>
              <w:rPr/>
            </w:pPr>
            <w:r>
              <w:rPr/>
              <w:t> </w:t>
            </w:r>
          </w:p>
        </w:tc>
        <w:tc>
          <w:tcPr>
            <w:tcW w:w="10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115,759</w:t>
            </w:r>
          </w:p>
        </w:tc>
      </w:tr>
      <w:tr>
        <w:trPr/>
        <w:tc>
          <w:tcPr>
            <w:tcW w:w="20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7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12" w:type="dxa"/>
            <w:tcBorders/>
            <w:vAlign w:val="center"/>
          </w:tcPr>
          <w:p>
            <w:pPr>
              <w:pStyle w:val="TableContents"/>
              <w:bidi w:val="0"/>
              <w:spacing w:before="0" w:after="0"/>
              <w:ind w:left="0" w:right="0" w:hanging="0"/>
              <w:jc w:val="left"/>
              <w:rPr/>
            </w:pPr>
            <w:r>
              <w:rPr/>
              <w:t>​</w:t>
            </w:r>
          </w:p>
        </w:tc>
      </w:tr>
      <w:tr>
        <w:trPr/>
        <w:tc>
          <w:tcPr>
            <w:tcW w:w="2096"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Shareholders’ equity </w:t>
            </w:r>
            <w:r>
              <w:rPr>
                <w:rFonts w:ascii="Times New Roman;Times;serif" w:hAnsi="Times New Roman;Times;serif"/>
                <w:sz w:val="12"/>
              </w:rPr>
              <w:t>(2)</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124,285,776</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106,858,672</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28,533,643</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2,228,790</w:t>
            </w:r>
          </w:p>
        </w:tc>
        <w:tc>
          <w:tcPr>
            <w:tcW w:w="326" w:type="dxa"/>
            <w:tcBorders/>
            <w:shd w:fill="CCEEFF" w:val="clear"/>
            <w:vAlign w:val="center"/>
          </w:tcPr>
          <w:p>
            <w:pPr>
              <w:pStyle w:val="TableContents"/>
              <w:bidi w:val="0"/>
              <w:spacing w:before="0" w:after="0"/>
              <w:ind w:left="0" w:right="0" w:hanging="0"/>
              <w:jc w:val="left"/>
              <w:rPr/>
            </w:pPr>
            <w:r>
              <w:rPr/>
              <w:t> </w:t>
            </w:r>
          </w:p>
        </w:tc>
        <w:tc>
          <w:tcPr>
            <w:tcW w:w="107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(137,621,105)</w:t>
            </w:r>
          </w:p>
        </w:tc>
        <w:tc>
          <w:tcPr>
            <w:tcW w:w="32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124,285,776</w:t>
            </w:r>
          </w:p>
        </w:tc>
      </w:tr>
      <w:tr>
        <w:trPr/>
        <w:tc>
          <w:tcPr>
            <w:tcW w:w="209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Noncontrolling interests</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3,682,546</w:t>
            </w:r>
          </w:p>
        </w:tc>
        <w:tc>
          <w:tcPr>
            <w:tcW w:w="326" w:type="dxa"/>
            <w:tcBorders/>
            <w:vAlign w:val="center"/>
          </w:tcPr>
          <w:p>
            <w:pPr>
              <w:pStyle w:val="TableContents"/>
              <w:bidi w:val="0"/>
              <w:spacing w:before="0" w:after="0"/>
              <w:ind w:left="0" w:right="0" w:hanging="0"/>
              <w:jc w:val="left"/>
              <w:rPr/>
            </w:pPr>
            <w:r>
              <w:rPr/>
              <w:t> </w:t>
            </w:r>
          </w:p>
        </w:tc>
        <w:tc>
          <w:tcPr>
            <w:tcW w:w="11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3,682,546</w:t>
            </w:r>
          </w:p>
        </w:tc>
      </w:tr>
      <w:tr>
        <w:trPr/>
        <w:tc>
          <w:tcPr>
            <w:tcW w:w="20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equity</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124,285,776</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106,858,672</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28,533,643</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2,228,790</w:t>
            </w:r>
          </w:p>
        </w:tc>
        <w:tc>
          <w:tcPr>
            <w:tcW w:w="326" w:type="dxa"/>
            <w:tcBorders/>
            <w:shd w:fill="CCEEFF" w:val="clear"/>
            <w:vAlign w:val="center"/>
          </w:tcPr>
          <w:p>
            <w:pPr>
              <w:pStyle w:val="TableContents"/>
              <w:bidi w:val="0"/>
              <w:spacing w:before="0" w:after="0"/>
              <w:ind w:left="0" w:right="0" w:hanging="0"/>
              <w:jc w:val="left"/>
              <w:rPr/>
            </w:pPr>
            <w:r>
              <w:rPr/>
              <w:t> </w:t>
            </w:r>
          </w:p>
        </w:tc>
        <w:tc>
          <w:tcPr>
            <w:tcW w:w="10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(133,938,559)</w:t>
            </w:r>
          </w:p>
        </w:tc>
        <w:tc>
          <w:tcPr>
            <w:tcW w:w="326" w:type="dxa"/>
            <w:tcBorders/>
            <w:shd w:fill="CCEEFF" w:val="clear"/>
            <w:vAlign w:val="center"/>
          </w:tcPr>
          <w:p>
            <w:pPr>
              <w:pStyle w:val="TableContents"/>
              <w:bidi w:val="0"/>
              <w:spacing w:before="0" w:after="0"/>
              <w:ind w:left="0" w:right="0" w:hanging="0"/>
              <w:jc w:val="left"/>
              <w:rPr/>
            </w:pPr>
            <w:r>
              <w:rPr/>
              <w:t> </w:t>
            </w:r>
          </w:p>
        </w:tc>
        <w:tc>
          <w:tcPr>
            <w:tcW w:w="11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127,968,322</w:t>
            </w:r>
          </w:p>
        </w:tc>
      </w:tr>
      <w:tr>
        <w:trPr/>
        <w:tc>
          <w:tcPr>
            <w:tcW w:w="209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liabilities, redeemable noncontrolling interests and shareholders’ equity</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153,599,286</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167,976,623</w:t>
            </w:r>
          </w:p>
        </w:tc>
        <w:tc>
          <w:tcPr>
            <w:tcW w:w="326" w:type="dxa"/>
            <w:tcBorders/>
            <w:vAlign w:val="center"/>
          </w:tcPr>
          <w:p>
            <w:pPr>
              <w:pStyle w:val="TableContents"/>
              <w:bidi w:val="0"/>
              <w:spacing w:before="0" w:after="0"/>
              <w:ind w:left="0" w:right="0" w:hanging="0"/>
              <w:jc w:val="left"/>
              <w:rPr/>
            </w:pPr>
            <w:r>
              <w:rPr/>
              <w:t> </w:t>
            </w:r>
          </w:p>
        </w:tc>
        <w:tc>
          <w:tcPr>
            <w:tcW w:w="10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85,573,852</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22,326,947</w:t>
            </w:r>
          </w:p>
        </w:tc>
        <w:tc>
          <w:tcPr>
            <w:tcW w:w="326" w:type="dxa"/>
            <w:tcBorders/>
            <w:vAlign w:val="center"/>
          </w:tcPr>
          <w:p>
            <w:pPr>
              <w:pStyle w:val="TableContents"/>
              <w:bidi w:val="0"/>
              <w:spacing w:before="0" w:after="0"/>
              <w:ind w:left="0" w:right="0" w:hanging="0"/>
              <w:jc w:val="left"/>
              <w:rPr/>
            </w:pPr>
            <w:r>
              <w:rPr/>
              <w:t> </w:t>
            </w:r>
          </w:p>
        </w:tc>
        <w:tc>
          <w:tcPr>
            <w:tcW w:w="107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(243,551,730)</w:t>
            </w:r>
          </w:p>
        </w:tc>
        <w:tc>
          <w:tcPr>
            <w:tcW w:w="326" w:type="dxa"/>
            <w:tcBorders/>
            <w:vAlign w:val="center"/>
          </w:tcPr>
          <w:p>
            <w:pPr>
              <w:pStyle w:val="TableContents"/>
              <w:bidi w:val="0"/>
              <w:spacing w:before="0" w:after="0"/>
              <w:ind w:left="0" w:right="0" w:hanging="0"/>
              <w:jc w:val="left"/>
              <w:rPr/>
            </w:pPr>
            <w:r>
              <w:rPr/>
              <w:t> </w:t>
            </w:r>
          </w:p>
        </w:tc>
        <w:tc>
          <w:tcPr>
            <w:tcW w:w="1112"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185,924,978</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067"/>
        <w:gridCol w:w="326"/>
        <w:gridCol w:w="916"/>
        <w:gridCol w:w="326"/>
        <w:gridCol w:w="984"/>
        <w:gridCol w:w="326"/>
        <w:gridCol w:w="1216"/>
        <w:gridCol w:w="326"/>
        <w:gridCol w:w="984"/>
        <w:gridCol w:w="326"/>
        <w:gridCol w:w="984"/>
        <w:gridCol w:w="326"/>
        <w:gridCol w:w="1098"/>
      </w:tblGrid>
      <w:tr>
        <w:trPr/>
        <w:tc>
          <w:tcPr>
            <w:tcW w:w="20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312545" cy="175260"/>
                      <wp:effectExtent l="0" t="0" r="0" b="0"/>
                      <wp:wrapNone/>
                      <wp:docPr id="164" name="Frame163"/>
                      <a:graphic xmlns:a="http://schemas.openxmlformats.org/drawingml/2006/main">
                        <a:graphicData uri="http://schemas.microsoft.com/office/word/2010/wordprocessingShape">
                          <wps:wsp>
                            <wps:cNvSpPr txBox="1"/>
                            <wps:spPr>
                              <a:xfrm>
                                <a:off x="0" y="0"/>
                                <a:ext cx="1312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07010" cy="175260"/>
                      <wp:effectExtent l="0" t="0" r="0" b="0"/>
                      <wp:wrapNone/>
                      <wp:docPr id="165" name="Frame1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581660" cy="175260"/>
                      <wp:effectExtent l="0" t="0" r="0" b="0"/>
                      <wp:wrapNone/>
                      <wp:docPr id="166" name="Frame165"/>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07010" cy="175260"/>
                      <wp:effectExtent l="0" t="0" r="0" b="0"/>
                      <wp:wrapNone/>
                      <wp:docPr id="167" name="Frame1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24840" cy="175260"/>
                      <wp:effectExtent l="0" t="0" r="0" b="0"/>
                      <wp:wrapNone/>
                      <wp:docPr id="168" name="Frame167"/>
                      <a:graphic xmlns:a="http://schemas.openxmlformats.org/drawingml/2006/main">
                        <a:graphicData uri="http://schemas.microsoft.com/office/word/2010/wordprocessingShape">
                          <wps:wsp>
                            <wps:cNvSpPr txBox="1"/>
                            <wps:spPr>
                              <a:xfrm>
                                <a:off x="0" y="0"/>
                                <a:ext cx="624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07010" cy="175260"/>
                      <wp:effectExtent l="0" t="0" r="0" b="0"/>
                      <wp:wrapNone/>
                      <wp:docPr id="169" name="Frame1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772160" cy="175260"/>
                      <wp:effectExtent l="0" t="0" r="0" b="0"/>
                      <wp:wrapNone/>
                      <wp:docPr id="170" name="Frame169"/>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07010" cy="175260"/>
                      <wp:effectExtent l="0" t="0" r="0" b="0"/>
                      <wp:wrapNone/>
                      <wp:docPr id="171" name="Frame1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24840" cy="175260"/>
                      <wp:effectExtent l="0" t="0" r="0" b="0"/>
                      <wp:wrapNone/>
                      <wp:docPr id="172" name="Frame171"/>
                      <a:graphic xmlns:a="http://schemas.openxmlformats.org/drawingml/2006/main">
                        <a:graphicData uri="http://schemas.microsoft.com/office/word/2010/wordprocessingShape">
                          <wps:wsp>
                            <wps:cNvSpPr txBox="1"/>
                            <wps:spPr>
                              <a:xfrm>
                                <a:off x="0" y="0"/>
                                <a:ext cx="624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07010" cy="175260"/>
                      <wp:effectExtent l="0" t="0" r="0" b="0"/>
                      <wp:wrapNone/>
                      <wp:docPr id="173" name="Frame1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24840" cy="175260"/>
                      <wp:effectExtent l="0" t="0" r="0" b="0"/>
                      <wp:wrapNone/>
                      <wp:docPr id="174" name="Frame173"/>
                      <a:graphic xmlns:a="http://schemas.openxmlformats.org/drawingml/2006/main">
                        <a:graphicData uri="http://schemas.microsoft.com/office/word/2010/wordprocessingShape">
                          <wps:wsp>
                            <wps:cNvSpPr txBox="1"/>
                            <wps:spPr>
                              <a:xfrm>
                                <a:off x="0" y="0"/>
                                <a:ext cx="624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07010" cy="175260"/>
                      <wp:effectExtent l="0" t="0" r="0" b="0"/>
                      <wp:wrapNone/>
                      <wp:docPr id="175" name="Frame1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97230" cy="175260"/>
                      <wp:effectExtent l="0" t="0" r="0" b="0"/>
                      <wp:wrapNone/>
                      <wp:docPr id="176" name="Frame175"/>
                      <a:graphic xmlns:a="http://schemas.openxmlformats.org/drawingml/2006/main">
                        <a:graphicData uri="http://schemas.microsoft.com/office/word/2010/wordprocessingShape">
                          <wps:wsp>
                            <wps:cNvSpPr txBox="1"/>
                            <wps:spPr>
                              <a:xfrm>
                                <a:off x="0" y="0"/>
                                <a:ext cx="697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6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812"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2021</w:t>
            </w:r>
          </w:p>
        </w:tc>
      </w:tr>
      <w:tr>
        <w:trPr/>
        <w:tc>
          <w:tcPr>
            <w:tcW w:w="206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8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Primary</w:t>
            </w:r>
          </w:p>
        </w:tc>
        <w:tc>
          <w:tcPr>
            <w:tcW w:w="326" w:type="dxa"/>
            <w:tcBorders/>
            <w:vAlign w:val="center"/>
          </w:tcPr>
          <w:p>
            <w:pPr>
              <w:pStyle w:val="TableContents"/>
              <w:bidi w:val="0"/>
              <w:spacing w:before="0" w:after="0"/>
              <w:ind w:left="0" w:right="0" w:hanging="0"/>
              <w:jc w:val="center"/>
              <w:rPr/>
            </w:pPr>
            <w:r>
              <w:rPr/>
              <w:t>​</w:t>
            </w:r>
          </w:p>
        </w:tc>
        <w:tc>
          <w:tcPr>
            <w:tcW w:w="98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VIEs and </w:t>
            </w:r>
          </w:p>
        </w:tc>
        <w:tc>
          <w:tcPr>
            <w:tcW w:w="326" w:type="dxa"/>
            <w:tcBorders/>
            <w:vAlign w:val="center"/>
          </w:tcPr>
          <w:p>
            <w:pPr>
              <w:pStyle w:val="TableContents"/>
              <w:bidi w:val="0"/>
              <w:spacing w:before="0" w:after="0"/>
              <w:ind w:left="0" w:right="0" w:hanging="0"/>
              <w:jc w:val="center"/>
              <w:rPr/>
            </w:pPr>
            <w:r>
              <w:rPr/>
              <w:t>​</w:t>
            </w:r>
          </w:p>
        </w:tc>
        <w:tc>
          <w:tcPr>
            <w:tcW w:w="98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98" w:type="dxa"/>
            <w:tcBorders/>
            <w:vAlign w:val="center"/>
          </w:tcPr>
          <w:p>
            <w:pPr>
              <w:pStyle w:val="TableContents"/>
              <w:bidi w:val="0"/>
              <w:spacing w:before="0" w:after="0"/>
              <w:ind w:left="0" w:right="0" w:hanging="0"/>
              <w:jc w:val="center"/>
              <w:rPr/>
            </w:pPr>
            <w:r>
              <w:rPr/>
              <w:t>​</w:t>
            </w:r>
          </w:p>
        </w:tc>
      </w:tr>
      <w:tr>
        <w:trPr/>
        <w:tc>
          <w:tcPr>
            <w:tcW w:w="206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NetEase,</w:t>
            </w:r>
          </w:p>
        </w:tc>
        <w:tc>
          <w:tcPr>
            <w:tcW w:w="326" w:type="dxa"/>
            <w:tcBorders/>
            <w:vAlign w:val="center"/>
          </w:tcPr>
          <w:p>
            <w:pPr>
              <w:pStyle w:val="TableContents"/>
              <w:bidi w:val="0"/>
              <w:spacing w:before="0" w:after="0"/>
              <w:ind w:left="0" w:right="0" w:hanging="0"/>
              <w:jc w:val="center"/>
              <w:rPr/>
            </w:pPr>
            <w:r>
              <w:rPr/>
              <w:t>    </w:t>
            </w:r>
          </w:p>
        </w:tc>
        <w:tc>
          <w:tcPr>
            <w:tcW w:w="98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center"/>
              <w:rPr/>
            </w:pPr>
            <w:r>
              <w:rPr/>
              <w:t>    </w:t>
            </w:r>
          </w:p>
        </w:tc>
        <w:tc>
          <w:tcPr>
            <w:tcW w:w="12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Beneficiaries of</w:t>
            </w:r>
          </w:p>
        </w:tc>
        <w:tc>
          <w:tcPr>
            <w:tcW w:w="326" w:type="dxa"/>
            <w:tcBorders/>
            <w:vAlign w:val="center"/>
          </w:tcPr>
          <w:p>
            <w:pPr>
              <w:pStyle w:val="TableContents"/>
              <w:bidi w:val="0"/>
              <w:spacing w:before="0" w:after="0"/>
              <w:ind w:left="0" w:right="0" w:hanging="0"/>
              <w:jc w:val="center"/>
              <w:rPr/>
            </w:pPr>
            <w:r>
              <w:rPr/>
              <w:t>    </w:t>
            </w:r>
          </w:p>
        </w:tc>
        <w:tc>
          <w:tcPr>
            <w:tcW w:w="98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their</w:t>
            </w:r>
          </w:p>
        </w:tc>
        <w:tc>
          <w:tcPr>
            <w:tcW w:w="326" w:type="dxa"/>
            <w:tcBorders/>
            <w:vAlign w:val="center"/>
          </w:tcPr>
          <w:p>
            <w:pPr>
              <w:pStyle w:val="TableContents"/>
              <w:bidi w:val="0"/>
              <w:spacing w:before="0" w:after="0"/>
              <w:ind w:left="0" w:right="0" w:hanging="0"/>
              <w:jc w:val="center"/>
              <w:rPr/>
            </w:pPr>
            <w:r>
              <w:rPr/>
              <w:t>    </w:t>
            </w:r>
          </w:p>
        </w:tc>
        <w:tc>
          <w:tcPr>
            <w:tcW w:w="98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Eliminating</w:t>
            </w:r>
          </w:p>
        </w:tc>
        <w:tc>
          <w:tcPr>
            <w:tcW w:w="326" w:type="dxa"/>
            <w:tcBorders/>
            <w:vAlign w:val="center"/>
          </w:tcPr>
          <w:p>
            <w:pPr>
              <w:pStyle w:val="TableContents"/>
              <w:bidi w:val="0"/>
              <w:spacing w:before="0" w:after="0"/>
              <w:ind w:left="0" w:right="0" w:hanging="0"/>
              <w:jc w:val="center"/>
              <w:rPr/>
            </w:pPr>
            <w:r>
              <w:rPr/>
              <w:t>    </w:t>
            </w:r>
          </w:p>
        </w:tc>
        <w:tc>
          <w:tcPr>
            <w:tcW w:w="109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06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w:t>
            </w:r>
          </w:p>
        </w:tc>
        <w:tc>
          <w:tcPr>
            <w:tcW w:w="326" w:type="dxa"/>
            <w:tcBorders/>
            <w:vAlign w:val="center"/>
          </w:tcPr>
          <w:p>
            <w:pPr>
              <w:pStyle w:val="TableContents"/>
              <w:bidi w:val="0"/>
              <w:spacing w:before="0" w:after="0"/>
              <w:ind w:left="0" w:right="0" w:hanging="0"/>
              <w:jc w:val="center"/>
              <w:rPr/>
            </w:pPr>
            <w:r>
              <w:rPr/>
              <w:t>​</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vAlign w:val="center"/>
          </w:tcPr>
          <w:p>
            <w:pPr>
              <w:pStyle w:val="TableContents"/>
              <w:bidi w:val="0"/>
              <w:spacing w:before="0" w:after="0"/>
              <w:ind w:left="0" w:right="0" w:hanging="0"/>
              <w:jc w:val="center"/>
              <w:rPr/>
            </w:pPr>
            <w:r>
              <w:rPr/>
              <w:t>​</w:t>
            </w:r>
          </w:p>
        </w:tc>
        <w:tc>
          <w:tcPr>
            <w:tcW w:w="12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VIEs</w:t>
            </w:r>
          </w:p>
        </w:tc>
        <w:tc>
          <w:tcPr>
            <w:tcW w:w="326" w:type="dxa"/>
            <w:tcBorders/>
            <w:vAlign w:val="center"/>
          </w:tcPr>
          <w:p>
            <w:pPr>
              <w:pStyle w:val="TableContents"/>
              <w:bidi w:val="0"/>
              <w:spacing w:before="0" w:after="0"/>
              <w:ind w:left="0" w:right="0" w:hanging="0"/>
              <w:jc w:val="center"/>
              <w:rPr/>
            </w:pPr>
            <w:r>
              <w:rPr/>
              <w:t>​</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vAlign w:val="center"/>
          </w:tcPr>
          <w:p>
            <w:pPr>
              <w:pStyle w:val="TableContents"/>
              <w:bidi w:val="0"/>
              <w:spacing w:before="0" w:after="0"/>
              <w:ind w:left="0" w:right="0" w:hanging="0"/>
              <w:jc w:val="center"/>
              <w:rPr/>
            </w:pPr>
            <w:r>
              <w:rPr/>
              <w:t>​</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26" w:type="dxa"/>
            <w:tcBorders/>
            <w:vAlign w:val="center"/>
          </w:tcPr>
          <w:p>
            <w:pPr>
              <w:pStyle w:val="TableContents"/>
              <w:bidi w:val="0"/>
              <w:spacing w:before="0" w:after="0"/>
              <w:ind w:left="0" w:right="0" w:hanging="0"/>
              <w:jc w:val="center"/>
              <w:rPr/>
            </w:pPr>
            <w:r>
              <w:rPr/>
              <w:t>​</w:t>
            </w:r>
          </w:p>
        </w:tc>
        <w:tc>
          <w:tcPr>
            <w:tcW w:w="109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totals</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06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812" w:type="dxa"/>
            <w:gridSpan w:val="11"/>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(RMB in thousands)</w:t>
            </w:r>
          </w:p>
        </w:tc>
      </w:tr>
      <w:tr>
        <w:trPr/>
        <w:tc>
          <w:tcPr>
            <w:tcW w:w="206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8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8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8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098" w:type="dxa"/>
            <w:tcBorders/>
            <w:shd w:fill="CCEEFF" w:val="clear"/>
            <w:vAlign w:val="center"/>
          </w:tcPr>
          <w:p>
            <w:pPr>
              <w:pStyle w:val="TableContents"/>
              <w:bidi w:val="0"/>
              <w:spacing w:before="0" w:after="0"/>
              <w:ind w:left="0" w:right="0" w:hanging="0"/>
              <w:jc w:val="right"/>
              <w:rPr/>
            </w:pPr>
            <w:r>
              <w:rPr/>
              <w:t>  </w:t>
            </w:r>
          </w:p>
        </w:tc>
      </w:tr>
      <w:tr>
        <w:trPr/>
        <w:tc>
          <w:tcPr>
            <w:tcW w:w="2067"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Third-party revenues</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11,231,687</w:t>
            </w:r>
          </w:p>
        </w:tc>
        <w:tc>
          <w:tcPr>
            <w:tcW w:w="32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1,967,818</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74,406,521</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9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87,606,026</w:t>
            </w:r>
          </w:p>
        </w:tc>
      </w:tr>
      <w:tr>
        <w:trPr/>
        <w:tc>
          <w:tcPr>
            <w:tcW w:w="2067"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Intra-Group revenues related to technical consulting and related service </w:t>
            </w:r>
            <w:r>
              <w:rPr>
                <w:rFonts w:ascii="Times New Roman;Times;serif" w:hAnsi="Times New Roman;Times;serif"/>
                <w:sz w:val="12"/>
              </w:rPr>
              <w:t>(3)</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893,686</w:t>
            </w:r>
          </w:p>
        </w:tc>
        <w:tc>
          <w:tcPr>
            <w:tcW w:w="32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55,928,796</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(56,822,482)</w:t>
            </w:r>
          </w:p>
        </w:tc>
        <w:tc>
          <w:tcPr>
            <w:tcW w:w="326" w:type="dxa"/>
            <w:tcBorders/>
            <w:shd w:fill="CCEEFF" w:val="clear"/>
            <w:vAlign w:val="center"/>
          </w:tcPr>
          <w:p>
            <w:pPr>
              <w:pStyle w:val="TableContents"/>
              <w:bidi w:val="0"/>
              <w:spacing w:before="0" w:after="0"/>
              <w:ind w:left="0" w:right="0" w:hanging="0"/>
              <w:jc w:val="left"/>
              <w:rPr/>
            </w:pPr>
            <w:r>
              <w:rPr/>
              <w:t>​</w:t>
            </w:r>
          </w:p>
        </w:tc>
        <w:tc>
          <w:tcPr>
            <w:tcW w:w="1098" w:type="dxa"/>
            <w:tcBorders/>
            <w:shd w:fill="CCEEFF" w:val="clear"/>
            <w:vAlign w:val="center"/>
          </w:tcPr>
          <w:p>
            <w:pPr>
              <w:pStyle w:val="TableContents"/>
              <w:bidi w:val="0"/>
              <w:spacing w:before="0" w:after="0"/>
              <w:ind w:left="0" w:right="0" w:hanging="0"/>
              <w:jc w:val="right"/>
              <w:rPr/>
            </w:pPr>
            <w:r>
              <w:rPr/>
              <w:t>—</w:t>
            </w:r>
          </w:p>
        </w:tc>
      </w:tr>
      <w:tr>
        <w:trPr/>
        <w:tc>
          <w:tcPr>
            <w:tcW w:w="2067" w:type="dxa"/>
            <w:tcBorders/>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Other intra-Group revenues </w:t>
            </w:r>
            <w:r>
              <w:rPr>
                <w:rFonts w:ascii="Times New Roman;Times;serif" w:hAnsi="Times New Roman;Times;serif"/>
                <w:sz w:val="12"/>
              </w:rPr>
              <w:t>(4)</w:t>
            </w:r>
          </w:p>
        </w:tc>
        <w:tc>
          <w:tcPr>
            <w:tcW w:w="326" w:type="dxa"/>
            <w:tcBorders/>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1,481,060</w:t>
            </w:r>
          </w:p>
        </w:tc>
        <w:tc>
          <w:tcPr>
            <w:tcW w:w="326" w:type="dxa"/>
            <w:tcBorders/>
            <w:vAlign w:val="center"/>
          </w:tcPr>
          <w:p>
            <w:pPr>
              <w:pStyle w:val="TableContents"/>
              <w:bidi w:val="0"/>
              <w:spacing w:before="0" w:after="0"/>
              <w:ind w:left="0" w:right="0" w:hanging="0"/>
              <w:jc w:val="left"/>
              <w:rPr/>
            </w:pPr>
            <w:r>
              <w:rPr/>
              <w:t>​</w:t>
            </w:r>
          </w:p>
        </w:tc>
        <w:tc>
          <w:tcPr>
            <w:tcW w:w="12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1,898,873</w:t>
            </w:r>
          </w:p>
        </w:tc>
        <w:tc>
          <w:tcPr>
            <w:tcW w:w="326" w:type="dxa"/>
            <w:tcBorders/>
            <w:vAlign w:val="center"/>
          </w:tcPr>
          <w:p>
            <w:pPr>
              <w:pStyle w:val="TableContents"/>
              <w:bidi w:val="0"/>
              <w:spacing w:before="0" w:after="0"/>
              <w:ind w:left="0" w:right="0" w:hanging="0"/>
              <w:jc w:val="left"/>
              <w:rPr/>
            </w:pPr>
            <w:r>
              <w:rPr/>
              <w:t>​</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808,648</w:t>
            </w:r>
          </w:p>
        </w:tc>
        <w:tc>
          <w:tcPr>
            <w:tcW w:w="326" w:type="dxa"/>
            <w:tcBorders/>
            <w:vAlign w:val="center"/>
          </w:tcPr>
          <w:p>
            <w:pPr>
              <w:pStyle w:val="TableContents"/>
              <w:bidi w:val="0"/>
              <w:spacing w:before="0" w:after="0"/>
              <w:ind w:left="0" w:right="0" w:hanging="0"/>
              <w:jc w:val="left"/>
              <w:rPr/>
            </w:pPr>
            <w:r>
              <w:rPr/>
              <w:t>​</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(4,188,581)</w:t>
            </w:r>
          </w:p>
        </w:tc>
        <w:tc>
          <w:tcPr>
            <w:tcW w:w="326" w:type="dxa"/>
            <w:tcBorders/>
            <w:vAlign w:val="center"/>
          </w:tcPr>
          <w:p>
            <w:pPr>
              <w:pStyle w:val="TableContents"/>
              <w:bidi w:val="0"/>
              <w:spacing w:before="0" w:after="0"/>
              <w:ind w:left="0" w:right="0" w:hanging="0"/>
              <w:jc w:val="left"/>
              <w:rPr/>
            </w:pPr>
            <w:r>
              <w:rPr/>
              <w:t>​</w:t>
            </w:r>
          </w:p>
        </w:tc>
        <w:tc>
          <w:tcPr>
            <w:tcW w:w="109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067"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net 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13,606,433</w:t>
            </w:r>
          </w:p>
        </w:tc>
        <w:tc>
          <w:tcPr>
            <w:tcW w:w="32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59,795,487</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75,215,169</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(61,011,063)</w:t>
            </w:r>
          </w:p>
        </w:tc>
        <w:tc>
          <w:tcPr>
            <w:tcW w:w="326" w:type="dxa"/>
            <w:tcBorders/>
            <w:shd w:fill="CCEEFF" w:val="clear"/>
            <w:vAlign w:val="center"/>
          </w:tcPr>
          <w:p>
            <w:pPr>
              <w:pStyle w:val="TableContents"/>
              <w:bidi w:val="0"/>
              <w:spacing w:before="0" w:after="0"/>
              <w:ind w:left="0" w:right="0" w:hanging="0"/>
              <w:jc w:val="left"/>
              <w:rPr/>
            </w:pPr>
            <w:r>
              <w:rPr/>
              <w:t>​</w:t>
            </w:r>
          </w:p>
        </w:tc>
        <w:tc>
          <w:tcPr>
            <w:tcW w:w="1098"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87,606,026</w:t>
            </w:r>
          </w:p>
        </w:tc>
      </w:tr>
      <w:tr>
        <w:trPr/>
        <w:tc>
          <w:tcPr>
            <w:tcW w:w="2067"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Cost of revenues and operating expenses</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1098" w:type="dxa"/>
            <w:tcBorders/>
            <w:vAlign w:val="center"/>
          </w:tcPr>
          <w:p>
            <w:pPr>
              <w:pStyle w:val="TableContents"/>
              <w:bidi w:val="0"/>
              <w:spacing w:before="0" w:after="0"/>
              <w:ind w:left="0" w:right="0" w:hanging="0"/>
              <w:jc w:val="right"/>
              <w:rPr/>
            </w:pPr>
            <w:r>
              <w:rPr/>
              <w:t>  </w:t>
            </w:r>
          </w:p>
        </w:tc>
      </w:tr>
      <w:tr>
        <w:trPr/>
        <w:tc>
          <w:tcPr>
            <w:tcW w:w="206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Third-party cost of revenue and operating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(144,741)</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(12,099,429)</w:t>
            </w:r>
          </w:p>
        </w:tc>
        <w:tc>
          <w:tcPr>
            <w:tcW w:w="32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(41,293,111)</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(17,651,675)</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(71,188,956)</w:t>
            </w:r>
          </w:p>
        </w:tc>
      </w:tr>
      <w:tr>
        <w:trPr/>
        <w:tc>
          <w:tcPr>
            <w:tcW w:w="2067" w:type="dxa"/>
            <w:tcBorders/>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Intra-Group cost of revenues and operating expenses related to technical consulting and related services </w:t>
            </w:r>
            <w:r>
              <w:rPr>
                <w:rFonts w:ascii="Times New Roman;Times;serif" w:hAnsi="Times New Roman;Times;serif"/>
                <w:sz w:val="12"/>
              </w:rPr>
              <w:t>(3)</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(56,822,482)</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56,822,482</w:t>
            </w:r>
          </w:p>
        </w:tc>
        <w:tc>
          <w:tcPr>
            <w:tcW w:w="326" w:type="dxa"/>
            <w:tcBorders/>
            <w:vAlign w:val="center"/>
          </w:tcPr>
          <w:p>
            <w:pPr>
              <w:pStyle w:val="TableContents"/>
              <w:bidi w:val="0"/>
              <w:spacing w:before="0" w:after="0"/>
              <w:ind w:left="0" w:right="0" w:hanging="0"/>
              <w:jc w:val="left"/>
              <w:rPr/>
            </w:pPr>
            <w:r>
              <w:rPr/>
              <w:t>​</w:t>
            </w:r>
          </w:p>
        </w:tc>
        <w:tc>
          <w:tcPr>
            <w:tcW w:w="1098" w:type="dxa"/>
            <w:tcBorders/>
            <w:vAlign w:val="center"/>
          </w:tcPr>
          <w:p>
            <w:pPr>
              <w:pStyle w:val="TableContents"/>
              <w:bidi w:val="0"/>
              <w:spacing w:before="0" w:after="0"/>
              <w:ind w:left="0" w:right="0" w:hanging="0"/>
              <w:jc w:val="right"/>
              <w:rPr/>
            </w:pPr>
            <w:r>
              <w:rPr/>
              <w:t>—</w:t>
            </w:r>
          </w:p>
        </w:tc>
      </w:tr>
      <w:tr>
        <w:trPr/>
        <w:tc>
          <w:tcPr>
            <w:tcW w:w="2067"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Other intra-Group cost of revenues and operating expenses </w:t>
            </w:r>
            <w:r>
              <w:rPr>
                <w:rFonts w:ascii="Times New Roman;Times;serif" w:hAnsi="Times New Roman;Times;serif"/>
                <w:sz w:val="12"/>
              </w:rPr>
              <w:t>(4)</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(1,837,295)</w:t>
            </w:r>
          </w:p>
        </w:tc>
        <w:tc>
          <w:tcPr>
            <w:tcW w:w="326" w:type="dxa"/>
            <w:tcBorders/>
            <w:shd w:fill="CCEEFF" w:val="clear"/>
            <w:vAlign w:val="center"/>
          </w:tcPr>
          <w:p>
            <w:pPr>
              <w:pStyle w:val="TableContents"/>
              <w:bidi w:val="0"/>
              <w:spacing w:before="0" w:after="0"/>
              <w:ind w:left="0" w:right="0" w:hanging="0"/>
              <w:jc w:val="left"/>
              <w:rPr/>
            </w:pPr>
            <w:r>
              <w:rPr/>
              <w:t>​</w:t>
            </w:r>
          </w:p>
        </w:tc>
        <w:tc>
          <w:tcPr>
            <w:tcW w:w="12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(2,182,436)</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(168,850)</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4,188,581</w:t>
            </w:r>
          </w:p>
        </w:tc>
        <w:tc>
          <w:tcPr>
            <w:tcW w:w="326" w:type="dxa"/>
            <w:tcBorders/>
            <w:shd w:fill="CCEEFF" w:val="clear"/>
            <w:vAlign w:val="center"/>
          </w:tcPr>
          <w:p>
            <w:pPr>
              <w:pStyle w:val="TableContents"/>
              <w:bidi w:val="0"/>
              <w:spacing w:before="0" w:after="0"/>
              <w:ind w:left="0" w:right="0" w:hanging="0"/>
              <w:jc w:val="left"/>
              <w:rPr/>
            </w:pPr>
            <w:r>
              <w:rPr/>
              <w:t>​</w:t>
            </w:r>
          </w:p>
        </w:tc>
        <w:tc>
          <w:tcPr>
            <w:tcW w:w="10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067"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cost of revenues and operating expenses</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(144,741)</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(13,936,724)</w:t>
            </w:r>
          </w:p>
        </w:tc>
        <w:tc>
          <w:tcPr>
            <w:tcW w:w="32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(43,475,547)</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(74,643,007)</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61,011,063</w:t>
            </w:r>
          </w:p>
        </w:tc>
        <w:tc>
          <w:tcPr>
            <w:tcW w:w="326" w:type="dxa"/>
            <w:tcBorders/>
            <w:vAlign w:val="center"/>
          </w:tcPr>
          <w:p>
            <w:pPr>
              <w:pStyle w:val="TableContents"/>
              <w:bidi w:val="0"/>
              <w:spacing w:before="0" w:after="0"/>
              <w:ind w:left="0" w:right="0" w:hanging="0"/>
              <w:jc w:val="left"/>
              <w:rPr/>
            </w:pPr>
            <w:r>
              <w:rPr/>
              <w:t>​</w:t>
            </w:r>
          </w:p>
        </w:tc>
        <w:tc>
          <w:tcPr>
            <w:tcW w:w="1098"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(71,188,956)</w:t>
            </w:r>
          </w:p>
        </w:tc>
      </w:tr>
      <w:tr>
        <w:trPr/>
        <w:tc>
          <w:tcPr>
            <w:tcW w:w="2067"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Operating (losses)/profit</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(144,741)</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(330,291)</w:t>
            </w:r>
          </w:p>
        </w:tc>
        <w:tc>
          <w:tcPr>
            <w:tcW w:w="32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16,319,940</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572,162</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8"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16,417,070</w:t>
            </w:r>
          </w:p>
        </w:tc>
      </w:tr>
      <w:tr>
        <w:trPr/>
        <w:tc>
          <w:tcPr>
            <w:tcW w:w="2067" w:type="dxa"/>
            <w:tcBorders/>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Share of income/(losses) from subsidiaries and VIEs </w:t>
            </w:r>
            <w:r>
              <w:rPr>
                <w:rFonts w:ascii="Times New Roman;Times;serif" w:hAnsi="Times New Roman;Times;serif"/>
                <w:sz w:val="12"/>
              </w:rPr>
              <w:t>(2)</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16,275,271</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16,114,107</w:t>
            </w:r>
          </w:p>
        </w:tc>
        <w:tc>
          <w:tcPr>
            <w:tcW w:w="32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(52,063)</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(32,337,315)</w:t>
            </w:r>
          </w:p>
        </w:tc>
        <w:tc>
          <w:tcPr>
            <w:tcW w:w="326" w:type="dxa"/>
            <w:tcBorders/>
            <w:vAlign w:val="center"/>
          </w:tcPr>
          <w:p>
            <w:pPr>
              <w:pStyle w:val="TableContents"/>
              <w:bidi w:val="0"/>
              <w:spacing w:before="0" w:after="0"/>
              <w:ind w:left="0" w:right="0" w:hanging="0"/>
              <w:jc w:val="left"/>
              <w:rPr/>
            </w:pPr>
            <w:r>
              <w:rPr/>
              <w:t>​</w:t>
            </w:r>
          </w:p>
        </w:tc>
        <w:tc>
          <w:tcPr>
            <w:tcW w:w="1098" w:type="dxa"/>
            <w:tcBorders/>
            <w:vAlign w:val="center"/>
          </w:tcPr>
          <w:p>
            <w:pPr>
              <w:pStyle w:val="TableContents"/>
              <w:bidi w:val="0"/>
              <w:spacing w:before="0" w:after="0"/>
              <w:ind w:left="0" w:right="0" w:hanging="0"/>
              <w:jc w:val="right"/>
              <w:rPr/>
            </w:pPr>
            <w:r>
              <w:rPr/>
              <w:t>—</w:t>
            </w:r>
          </w:p>
        </w:tc>
      </w:tr>
      <w:tr>
        <w:trPr/>
        <w:tc>
          <w:tcPr>
            <w:tcW w:w="206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income, net</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735,648</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1,729,248</w:t>
            </w:r>
          </w:p>
        </w:tc>
        <w:tc>
          <w:tcPr>
            <w:tcW w:w="326" w:type="dxa"/>
            <w:tcBorders/>
            <w:shd w:fill="CCEEFF" w:val="clear"/>
            <w:vAlign w:val="center"/>
          </w:tcPr>
          <w:p>
            <w:pPr>
              <w:pStyle w:val="TableContents"/>
              <w:bidi w:val="0"/>
              <w:spacing w:before="0" w:after="0"/>
              <w:ind w:left="0" w:right="0" w:hanging="0"/>
              <w:jc w:val="left"/>
              <w:rPr/>
            </w:pPr>
            <w:r>
              <w:rPr/>
              <w:t>​</w:t>
            </w:r>
          </w:p>
        </w:tc>
        <w:tc>
          <w:tcPr>
            <w:tcW w:w="12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1,898,499</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323,994</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4,687,389</w:t>
            </w:r>
          </w:p>
        </w:tc>
      </w:tr>
      <w:tr>
        <w:trPr/>
        <w:tc>
          <w:tcPr>
            <w:tcW w:w="2067"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Income before tax</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16,866,178</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17,513,064</w:t>
            </w:r>
          </w:p>
        </w:tc>
        <w:tc>
          <w:tcPr>
            <w:tcW w:w="32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18,166,376</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896,156</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(32,337,315)</w:t>
            </w:r>
          </w:p>
        </w:tc>
        <w:tc>
          <w:tcPr>
            <w:tcW w:w="326" w:type="dxa"/>
            <w:tcBorders/>
            <w:vAlign w:val="center"/>
          </w:tcPr>
          <w:p>
            <w:pPr>
              <w:pStyle w:val="TableContents"/>
              <w:bidi w:val="0"/>
              <w:spacing w:before="0" w:after="0"/>
              <w:ind w:left="0" w:right="0" w:hanging="0"/>
              <w:jc w:val="left"/>
              <w:rPr/>
            </w:pPr>
            <w:r>
              <w:rPr/>
              <w:t>​</w:t>
            </w:r>
          </w:p>
        </w:tc>
        <w:tc>
          <w:tcPr>
            <w:tcW w:w="1098"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21,104,459</w:t>
            </w:r>
          </w:p>
        </w:tc>
      </w:tr>
      <w:tr>
        <w:trPr/>
        <w:tc>
          <w:tcPr>
            <w:tcW w:w="206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(9,336)</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(1,533,115)</w:t>
            </w:r>
          </w:p>
        </w:tc>
        <w:tc>
          <w:tcPr>
            <w:tcW w:w="326" w:type="dxa"/>
            <w:tcBorders/>
            <w:shd w:fill="CCEEFF" w:val="clear"/>
            <w:vAlign w:val="center"/>
          </w:tcPr>
          <w:p>
            <w:pPr>
              <w:pStyle w:val="TableContents"/>
              <w:bidi w:val="0"/>
              <w:spacing w:before="0" w:after="0"/>
              <w:ind w:left="0" w:right="0" w:hanging="0"/>
              <w:jc w:val="left"/>
              <w:rPr/>
            </w:pPr>
            <w:r>
              <w:rPr/>
              <w:t>​</w:t>
            </w:r>
          </w:p>
        </w:tc>
        <w:tc>
          <w:tcPr>
            <w:tcW w:w="12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(2,313,961)</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(271,857)</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(4,128,269)</w:t>
            </w:r>
          </w:p>
        </w:tc>
      </w:tr>
      <w:tr>
        <w:trPr/>
        <w:tc>
          <w:tcPr>
            <w:tcW w:w="2067"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income from continuing operations</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16,856,842</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15,979,949</w:t>
            </w:r>
          </w:p>
        </w:tc>
        <w:tc>
          <w:tcPr>
            <w:tcW w:w="32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15,852,415</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624,299</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(32,337,315)</w:t>
            </w:r>
          </w:p>
        </w:tc>
        <w:tc>
          <w:tcPr>
            <w:tcW w:w="326" w:type="dxa"/>
            <w:tcBorders/>
            <w:vAlign w:val="center"/>
          </w:tcPr>
          <w:p>
            <w:pPr>
              <w:pStyle w:val="TableContents"/>
              <w:bidi w:val="0"/>
              <w:spacing w:before="0" w:after="0"/>
              <w:ind w:left="0" w:right="0" w:hanging="0"/>
              <w:jc w:val="left"/>
              <w:rPr/>
            </w:pPr>
            <w:r>
              <w:rPr/>
              <w:t>​</w:t>
            </w:r>
          </w:p>
        </w:tc>
        <w:tc>
          <w:tcPr>
            <w:tcW w:w="1098"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16,976,190</w:t>
            </w:r>
          </w:p>
        </w:tc>
      </w:tr>
      <w:tr>
        <w:trPr/>
        <w:tc>
          <w:tcPr>
            <w:tcW w:w="206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Less: Accretion of redeemable noncontrolling interests</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(536,981)</w:t>
            </w:r>
          </w:p>
        </w:tc>
        <w:tc>
          <w:tcPr>
            <w:tcW w:w="32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(536,981)</w:t>
            </w:r>
          </w:p>
        </w:tc>
      </w:tr>
      <w:tr>
        <w:trPr/>
        <w:tc>
          <w:tcPr>
            <w:tcW w:w="2067" w:type="dxa"/>
            <w:tcBorders/>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Net loss attributable to noncontrolling interests </w:t>
            </w:r>
            <w:r>
              <w:rPr>
                <w:rFonts w:ascii="Times New Roman;Times;serif" w:hAnsi="Times New Roman;Times;serif"/>
                <w:sz w:val="12"/>
              </w:rPr>
              <w:t>(2)</w:t>
            </w:r>
          </w:p>
        </w:tc>
        <w:tc>
          <w:tcPr>
            <w:tcW w:w="326" w:type="dxa"/>
            <w:tcBorders/>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27,777</w:t>
            </w:r>
          </w:p>
        </w:tc>
        <w:tc>
          <w:tcPr>
            <w:tcW w:w="326" w:type="dxa"/>
            <w:tcBorders/>
            <w:vAlign w:val="center"/>
          </w:tcPr>
          <w:p>
            <w:pPr>
              <w:pStyle w:val="TableContents"/>
              <w:bidi w:val="0"/>
              <w:spacing w:before="0" w:after="0"/>
              <w:ind w:left="0" w:right="0" w:hanging="0"/>
              <w:jc w:val="left"/>
              <w:rPr/>
            </w:pPr>
            <w:r>
              <w:rPr/>
              <w:t>​</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389,856</w:t>
            </w:r>
          </w:p>
        </w:tc>
        <w:tc>
          <w:tcPr>
            <w:tcW w:w="326" w:type="dxa"/>
            <w:tcBorders/>
            <w:vAlign w:val="center"/>
          </w:tcPr>
          <w:p>
            <w:pPr>
              <w:pStyle w:val="TableContents"/>
              <w:bidi w:val="0"/>
              <w:spacing w:before="0" w:after="0"/>
              <w:ind w:left="0" w:right="0" w:hanging="0"/>
              <w:jc w:val="left"/>
              <w:rPr/>
            </w:pPr>
            <w:r>
              <w:rPr/>
              <w:t>​</w:t>
            </w:r>
          </w:p>
        </w:tc>
        <w:tc>
          <w:tcPr>
            <w:tcW w:w="10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417,633</w:t>
            </w:r>
          </w:p>
        </w:tc>
      </w:tr>
      <w:tr>
        <w:trPr/>
        <w:tc>
          <w:tcPr>
            <w:tcW w:w="2067"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income attributable to the Company’s shareholders</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16,856,842</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15,442,968</w:t>
            </w:r>
          </w:p>
        </w:tc>
        <w:tc>
          <w:tcPr>
            <w:tcW w:w="326" w:type="dxa"/>
            <w:tcBorders/>
            <w:shd w:fill="CCEEFF" w:val="clear"/>
            <w:vAlign w:val="center"/>
          </w:tcPr>
          <w:p>
            <w:pPr>
              <w:pStyle w:val="TableContents"/>
              <w:bidi w:val="0"/>
              <w:spacing w:before="0" w:after="0"/>
              <w:ind w:left="0" w:right="0" w:hanging="0"/>
              <w:jc w:val="left"/>
              <w:rPr/>
            </w:pPr>
            <w:r>
              <w:rPr/>
              <w:t>​</w:t>
            </w:r>
          </w:p>
        </w:tc>
        <w:tc>
          <w:tcPr>
            <w:tcW w:w="12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15,852,415</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652,076</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(31,947,459)</w:t>
            </w:r>
          </w:p>
        </w:tc>
        <w:tc>
          <w:tcPr>
            <w:tcW w:w="326" w:type="dxa"/>
            <w:tcBorders/>
            <w:shd w:fill="CCEEFF" w:val="clear"/>
            <w:vAlign w:val="center"/>
          </w:tcPr>
          <w:p>
            <w:pPr>
              <w:pStyle w:val="TableContents"/>
              <w:bidi w:val="0"/>
              <w:spacing w:before="0" w:after="0"/>
              <w:ind w:left="0" w:right="0" w:hanging="0"/>
              <w:jc w:val="left"/>
              <w:rPr/>
            </w:pPr>
            <w:r>
              <w:rPr/>
              <w:t>​</w:t>
            </w:r>
          </w:p>
        </w:tc>
        <w:tc>
          <w:tcPr>
            <w:tcW w:w="109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16"/>
              </w:rPr>
            </w:pPr>
            <w:r>
              <w:rPr>
                <w:rFonts w:ascii="Times New Roman;Times;serif" w:hAnsi="Times New Roman;Times;serif"/>
                <w:b/>
                <w:sz w:val="16"/>
              </w:rPr>
              <w:t>16,856,842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062"/>
        <w:gridCol w:w="326"/>
        <w:gridCol w:w="920"/>
        <w:gridCol w:w="326"/>
        <w:gridCol w:w="984"/>
        <w:gridCol w:w="326"/>
        <w:gridCol w:w="1216"/>
        <w:gridCol w:w="326"/>
        <w:gridCol w:w="984"/>
        <w:gridCol w:w="326"/>
        <w:gridCol w:w="984"/>
        <w:gridCol w:w="326"/>
        <w:gridCol w:w="1099"/>
      </w:tblGrid>
      <w:tr>
        <w:trPr/>
        <w:tc>
          <w:tcPr>
            <w:tcW w:w="20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309370" cy="175260"/>
                      <wp:effectExtent l="0" t="0" r="0" b="0"/>
                      <wp:wrapNone/>
                      <wp:docPr id="177" name="Frame176"/>
                      <a:graphic xmlns:a="http://schemas.openxmlformats.org/drawingml/2006/main">
                        <a:graphicData uri="http://schemas.microsoft.com/office/word/2010/wordprocessingShape">
                          <wps:wsp>
                            <wps:cNvSpPr txBox="1"/>
                            <wps:spPr>
                              <a:xfrm>
                                <a:off x="0" y="0"/>
                                <a:ext cx="1309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07010" cy="175260"/>
                      <wp:effectExtent l="0" t="0" r="0" b="0"/>
                      <wp:wrapNone/>
                      <wp:docPr id="178" name="Frame1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584200" cy="175260"/>
                      <wp:effectExtent l="0" t="0" r="0" b="0"/>
                      <wp:wrapNone/>
                      <wp:docPr id="179" name="Frame178"/>
                      <a:graphic xmlns:a="http://schemas.openxmlformats.org/drawingml/2006/main">
                        <a:graphicData uri="http://schemas.microsoft.com/office/word/2010/wordprocessingShape">
                          <wps:wsp>
                            <wps:cNvSpPr txBox="1"/>
                            <wps:spPr>
                              <a:xfrm>
                                <a:off x="0" y="0"/>
                                <a:ext cx="584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07010" cy="175260"/>
                      <wp:effectExtent l="0" t="0" r="0" b="0"/>
                      <wp:wrapNone/>
                      <wp:docPr id="180" name="Frame1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24840" cy="175260"/>
                      <wp:effectExtent l="0" t="0" r="0" b="0"/>
                      <wp:wrapNone/>
                      <wp:docPr id="181" name="Frame180"/>
                      <a:graphic xmlns:a="http://schemas.openxmlformats.org/drawingml/2006/main">
                        <a:graphicData uri="http://schemas.microsoft.com/office/word/2010/wordprocessingShape">
                          <wps:wsp>
                            <wps:cNvSpPr txBox="1"/>
                            <wps:spPr>
                              <a:xfrm>
                                <a:off x="0" y="0"/>
                                <a:ext cx="624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07010" cy="175260"/>
                      <wp:effectExtent l="0" t="0" r="0" b="0"/>
                      <wp:wrapNone/>
                      <wp:docPr id="182" name="Frame1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772160" cy="175260"/>
                      <wp:effectExtent l="0" t="0" r="0" b="0"/>
                      <wp:wrapNone/>
                      <wp:docPr id="183" name="Frame182"/>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07010" cy="175260"/>
                      <wp:effectExtent l="0" t="0" r="0" b="0"/>
                      <wp:wrapNone/>
                      <wp:docPr id="184" name="Frame1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24840" cy="175260"/>
                      <wp:effectExtent l="0" t="0" r="0" b="0"/>
                      <wp:wrapNone/>
                      <wp:docPr id="185" name="Frame184"/>
                      <a:graphic xmlns:a="http://schemas.openxmlformats.org/drawingml/2006/main">
                        <a:graphicData uri="http://schemas.microsoft.com/office/word/2010/wordprocessingShape">
                          <wps:wsp>
                            <wps:cNvSpPr txBox="1"/>
                            <wps:spPr>
                              <a:xfrm>
                                <a:off x="0" y="0"/>
                                <a:ext cx="624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07010" cy="175260"/>
                      <wp:effectExtent l="0" t="0" r="0" b="0"/>
                      <wp:wrapNone/>
                      <wp:docPr id="186" name="Frame1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24840" cy="175260"/>
                      <wp:effectExtent l="0" t="0" r="0" b="0"/>
                      <wp:wrapNone/>
                      <wp:docPr id="187" name="Frame186"/>
                      <a:graphic xmlns:a="http://schemas.openxmlformats.org/drawingml/2006/main">
                        <a:graphicData uri="http://schemas.microsoft.com/office/word/2010/wordprocessingShape">
                          <wps:wsp>
                            <wps:cNvSpPr txBox="1"/>
                            <wps:spPr>
                              <a:xfrm>
                                <a:off x="0" y="0"/>
                                <a:ext cx="624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07010" cy="175260"/>
                      <wp:effectExtent l="0" t="0" r="0" b="0"/>
                      <wp:wrapNone/>
                      <wp:docPr id="188" name="Frame1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97865" cy="175260"/>
                      <wp:effectExtent l="0" t="0" r="0" b="0"/>
                      <wp:wrapNone/>
                      <wp:docPr id="189" name="Frame188"/>
                      <a:graphic xmlns:a="http://schemas.openxmlformats.org/drawingml/2006/main">
                        <a:graphicData uri="http://schemas.microsoft.com/office/word/2010/wordprocessingShape">
                          <wps:wsp>
                            <wps:cNvSpPr txBox="1"/>
                            <wps:spPr>
                              <a:xfrm>
                                <a:off x="0" y="0"/>
                                <a:ext cx="697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6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817"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2022</w:t>
            </w:r>
          </w:p>
        </w:tc>
      </w:tr>
      <w:tr>
        <w:trPr/>
        <w:tc>
          <w:tcPr>
            <w:tcW w:w="206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2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8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Primary </w:t>
            </w:r>
          </w:p>
        </w:tc>
        <w:tc>
          <w:tcPr>
            <w:tcW w:w="326" w:type="dxa"/>
            <w:tcBorders/>
            <w:vAlign w:val="center"/>
          </w:tcPr>
          <w:p>
            <w:pPr>
              <w:pStyle w:val="TableContents"/>
              <w:bidi w:val="0"/>
              <w:spacing w:before="0" w:after="0"/>
              <w:ind w:left="0" w:right="0" w:hanging="0"/>
              <w:jc w:val="center"/>
              <w:rPr/>
            </w:pPr>
            <w:r>
              <w:rPr/>
              <w:t>​</w:t>
            </w:r>
          </w:p>
        </w:tc>
        <w:tc>
          <w:tcPr>
            <w:tcW w:w="98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VIEs and </w:t>
            </w:r>
          </w:p>
        </w:tc>
        <w:tc>
          <w:tcPr>
            <w:tcW w:w="326" w:type="dxa"/>
            <w:tcBorders/>
            <w:vAlign w:val="center"/>
          </w:tcPr>
          <w:p>
            <w:pPr>
              <w:pStyle w:val="TableContents"/>
              <w:bidi w:val="0"/>
              <w:spacing w:before="0" w:after="0"/>
              <w:ind w:left="0" w:right="0" w:hanging="0"/>
              <w:jc w:val="center"/>
              <w:rPr/>
            </w:pPr>
            <w:r>
              <w:rPr/>
              <w:t>​</w:t>
            </w:r>
          </w:p>
        </w:tc>
        <w:tc>
          <w:tcPr>
            <w:tcW w:w="98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99" w:type="dxa"/>
            <w:tcBorders/>
            <w:vAlign w:val="center"/>
          </w:tcPr>
          <w:p>
            <w:pPr>
              <w:pStyle w:val="TableContents"/>
              <w:bidi w:val="0"/>
              <w:spacing w:before="0" w:after="0"/>
              <w:ind w:left="0" w:right="0" w:hanging="0"/>
              <w:jc w:val="center"/>
              <w:rPr/>
            </w:pPr>
            <w:r>
              <w:rPr/>
              <w:t> </w:t>
            </w:r>
          </w:p>
        </w:tc>
      </w:tr>
      <w:tr>
        <w:trPr/>
        <w:tc>
          <w:tcPr>
            <w:tcW w:w="206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2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NetEase,</w:t>
            </w:r>
          </w:p>
        </w:tc>
        <w:tc>
          <w:tcPr>
            <w:tcW w:w="326" w:type="dxa"/>
            <w:tcBorders/>
            <w:vAlign w:val="center"/>
          </w:tcPr>
          <w:p>
            <w:pPr>
              <w:pStyle w:val="TableContents"/>
              <w:bidi w:val="0"/>
              <w:spacing w:before="0" w:after="0"/>
              <w:ind w:left="0" w:right="0" w:hanging="0"/>
              <w:jc w:val="center"/>
              <w:rPr/>
            </w:pPr>
            <w:r>
              <w:rPr/>
              <w:t>    </w:t>
            </w:r>
          </w:p>
        </w:tc>
        <w:tc>
          <w:tcPr>
            <w:tcW w:w="98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 </w:t>
            </w:r>
          </w:p>
        </w:tc>
        <w:tc>
          <w:tcPr>
            <w:tcW w:w="326" w:type="dxa"/>
            <w:tcBorders/>
            <w:vAlign w:val="center"/>
          </w:tcPr>
          <w:p>
            <w:pPr>
              <w:pStyle w:val="TableContents"/>
              <w:bidi w:val="0"/>
              <w:spacing w:before="0" w:after="0"/>
              <w:ind w:left="0" w:right="0" w:hanging="0"/>
              <w:jc w:val="center"/>
              <w:rPr/>
            </w:pPr>
            <w:r>
              <w:rPr/>
              <w:t>    </w:t>
            </w:r>
          </w:p>
        </w:tc>
        <w:tc>
          <w:tcPr>
            <w:tcW w:w="12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Beneficiaries of</w:t>
            </w:r>
          </w:p>
        </w:tc>
        <w:tc>
          <w:tcPr>
            <w:tcW w:w="326" w:type="dxa"/>
            <w:tcBorders/>
            <w:vAlign w:val="center"/>
          </w:tcPr>
          <w:p>
            <w:pPr>
              <w:pStyle w:val="TableContents"/>
              <w:bidi w:val="0"/>
              <w:spacing w:before="0" w:after="0"/>
              <w:ind w:left="0" w:right="0" w:hanging="0"/>
              <w:jc w:val="center"/>
              <w:rPr/>
            </w:pPr>
            <w:r>
              <w:rPr/>
              <w:t>    </w:t>
            </w:r>
          </w:p>
        </w:tc>
        <w:tc>
          <w:tcPr>
            <w:tcW w:w="98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their</w:t>
            </w:r>
          </w:p>
        </w:tc>
        <w:tc>
          <w:tcPr>
            <w:tcW w:w="326" w:type="dxa"/>
            <w:tcBorders/>
            <w:vAlign w:val="center"/>
          </w:tcPr>
          <w:p>
            <w:pPr>
              <w:pStyle w:val="TableContents"/>
              <w:bidi w:val="0"/>
              <w:spacing w:before="0" w:after="0"/>
              <w:ind w:left="0" w:right="0" w:hanging="0"/>
              <w:jc w:val="center"/>
              <w:rPr/>
            </w:pPr>
            <w:r>
              <w:rPr/>
              <w:t>    </w:t>
            </w:r>
          </w:p>
        </w:tc>
        <w:tc>
          <w:tcPr>
            <w:tcW w:w="98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Eliminating</w:t>
            </w:r>
          </w:p>
        </w:tc>
        <w:tc>
          <w:tcPr>
            <w:tcW w:w="326" w:type="dxa"/>
            <w:tcBorders/>
            <w:vAlign w:val="center"/>
          </w:tcPr>
          <w:p>
            <w:pPr>
              <w:pStyle w:val="TableContents"/>
              <w:bidi w:val="0"/>
              <w:spacing w:before="0" w:after="0"/>
              <w:ind w:left="0" w:right="0" w:hanging="0"/>
              <w:jc w:val="center"/>
              <w:rPr/>
            </w:pPr>
            <w:r>
              <w:rPr/>
              <w:t>    </w:t>
            </w:r>
          </w:p>
        </w:tc>
        <w:tc>
          <w:tcPr>
            <w:tcW w:w="109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06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2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w:t>
            </w:r>
          </w:p>
        </w:tc>
        <w:tc>
          <w:tcPr>
            <w:tcW w:w="326" w:type="dxa"/>
            <w:tcBorders/>
            <w:vAlign w:val="center"/>
          </w:tcPr>
          <w:p>
            <w:pPr>
              <w:pStyle w:val="TableContents"/>
              <w:bidi w:val="0"/>
              <w:spacing w:before="0" w:after="0"/>
              <w:ind w:left="0" w:right="0" w:hanging="0"/>
              <w:jc w:val="center"/>
              <w:rPr/>
            </w:pPr>
            <w:r>
              <w:rPr/>
              <w:t>​</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vAlign w:val="center"/>
          </w:tcPr>
          <w:p>
            <w:pPr>
              <w:pStyle w:val="TableContents"/>
              <w:bidi w:val="0"/>
              <w:spacing w:before="0" w:after="0"/>
              <w:ind w:left="0" w:right="0" w:hanging="0"/>
              <w:jc w:val="center"/>
              <w:rPr/>
            </w:pPr>
            <w:r>
              <w:rPr/>
              <w:t>​</w:t>
            </w:r>
          </w:p>
        </w:tc>
        <w:tc>
          <w:tcPr>
            <w:tcW w:w="12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VIEs</w:t>
            </w:r>
          </w:p>
        </w:tc>
        <w:tc>
          <w:tcPr>
            <w:tcW w:w="326" w:type="dxa"/>
            <w:tcBorders/>
            <w:vAlign w:val="center"/>
          </w:tcPr>
          <w:p>
            <w:pPr>
              <w:pStyle w:val="TableContents"/>
              <w:bidi w:val="0"/>
              <w:spacing w:before="0" w:after="0"/>
              <w:ind w:left="0" w:right="0" w:hanging="0"/>
              <w:jc w:val="center"/>
              <w:rPr/>
            </w:pPr>
            <w:r>
              <w:rPr/>
              <w:t>​</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vAlign w:val="center"/>
          </w:tcPr>
          <w:p>
            <w:pPr>
              <w:pStyle w:val="TableContents"/>
              <w:bidi w:val="0"/>
              <w:spacing w:before="0" w:after="0"/>
              <w:ind w:left="0" w:right="0" w:hanging="0"/>
              <w:jc w:val="center"/>
              <w:rPr/>
            </w:pPr>
            <w:r>
              <w:rPr/>
              <w:t>​</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26" w:type="dxa"/>
            <w:tcBorders/>
            <w:vAlign w:val="center"/>
          </w:tcPr>
          <w:p>
            <w:pPr>
              <w:pStyle w:val="TableContents"/>
              <w:bidi w:val="0"/>
              <w:spacing w:before="0" w:after="0"/>
              <w:ind w:left="0" w:right="0" w:hanging="0"/>
              <w:jc w:val="center"/>
              <w:rPr/>
            </w:pPr>
            <w:r>
              <w:rPr/>
              <w:t>​</w:t>
            </w:r>
          </w:p>
        </w:tc>
        <w:tc>
          <w:tcPr>
            <w:tcW w:w="109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totals</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06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817" w:type="dxa"/>
            <w:gridSpan w:val="11"/>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(RMB in thousands)</w:t>
            </w:r>
          </w:p>
        </w:tc>
      </w:tr>
      <w:tr>
        <w:trPr/>
        <w:tc>
          <w:tcPr>
            <w:tcW w:w="206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revenues</w:t>
            </w:r>
          </w:p>
        </w:tc>
        <w:tc>
          <w:tcPr>
            <w:tcW w:w="326" w:type="dxa"/>
            <w:tcBorders/>
            <w:shd w:fill="CCEEFF" w:val="clear"/>
            <w:vAlign w:val="center"/>
          </w:tcPr>
          <w:p>
            <w:pPr>
              <w:pStyle w:val="TableContents"/>
              <w:bidi w:val="0"/>
              <w:spacing w:before="0" w:after="0"/>
              <w:ind w:left="0" w:right="0" w:hanging="0"/>
              <w:jc w:val="left"/>
              <w:rPr/>
            </w:pPr>
            <w:r>
              <w:rPr/>
              <w:t>​</w:t>
            </w:r>
          </w:p>
        </w:tc>
        <w:tc>
          <w:tcPr>
            <w:tcW w:w="920"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099" w:type="dxa"/>
            <w:tcBorders/>
            <w:shd w:fill="CCEEFF" w:val="clear"/>
            <w:vAlign w:val="center"/>
          </w:tcPr>
          <w:p>
            <w:pPr>
              <w:pStyle w:val="TableContents"/>
              <w:bidi w:val="0"/>
              <w:spacing w:before="0" w:after="0"/>
              <w:ind w:left="0" w:right="0" w:hanging="0"/>
              <w:jc w:val="right"/>
              <w:rPr/>
            </w:pPr>
            <w:r>
              <w:rPr/>
              <w:t>  </w:t>
            </w:r>
          </w:p>
        </w:tc>
      </w:tr>
      <w:tr>
        <w:trPr/>
        <w:tc>
          <w:tcPr>
            <w:tcW w:w="2062"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Third-party revenues</w:t>
            </w:r>
          </w:p>
        </w:tc>
        <w:tc>
          <w:tcPr>
            <w:tcW w:w="326" w:type="dxa"/>
            <w:tcBorders/>
            <w:vAlign w:val="center"/>
          </w:tcPr>
          <w:p>
            <w:pPr>
              <w:pStyle w:val="TableContents"/>
              <w:bidi w:val="0"/>
              <w:spacing w:before="0" w:after="0"/>
              <w:ind w:left="0" w:right="0" w:hanging="0"/>
              <w:jc w:val="left"/>
              <w:rPr/>
            </w:pPr>
            <w:r>
              <w:rPr/>
              <w:t>​</w:t>
            </w:r>
          </w:p>
        </w:tc>
        <w:tc>
          <w:tcPr>
            <w:tcW w:w="92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12,788,652</w:t>
            </w:r>
          </w:p>
        </w:tc>
        <w:tc>
          <w:tcPr>
            <w:tcW w:w="32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1,157,713</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82,549,444</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9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96,495,809</w:t>
            </w:r>
          </w:p>
        </w:tc>
      </w:tr>
      <w:tr>
        <w:trPr/>
        <w:tc>
          <w:tcPr>
            <w:tcW w:w="2062"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Intra-Group revenues related to technical consulting and related service </w:t>
            </w:r>
            <w:r>
              <w:rPr>
                <w:rFonts w:ascii="Times New Roman;Times;serif" w:hAnsi="Times New Roman;Times;serif"/>
                <w:sz w:val="12"/>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92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692,337</w:t>
            </w:r>
          </w:p>
        </w:tc>
        <w:tc>
          <w:tcPr>
            <w:tcW w:w="32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64,085,249</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(64,777,586)</w:t>
            </w:r>
          </w:p>
        </w:tc>
        <w:tc>
          <w:tcPr>
            <w:tcW w:w="326" w:type="dxa"/>
            <w:tcBorders/>
            <w:shd w:fill="CCEEFF" w:val="clear"/>
            <w:vAlign w:val="center"/>
          </w:tcPr>
          <w:p>
            <w:pPr>
              <w:pStyle w:val="TableContents"/>
              <w:bidi w:val="0"/>
              <w:spacing w:before="0" w:after="0"/>
              <w:ind w:left="0" w:right="0" w:hanging="0"/>
              <w:jc w:val="left"/>
              <w:rPr/>
            </w:pPr>
            <w:r>
              <w:rPr/>
              <w:t>​</w:t>
            </w:r>
          </w:p>
        </w:tc>
        <w:tc>
          <w:tcPr>
            <w:tcW w:w="1099" w:type="dxa"/>
            <w:tcBorders/>
            <w:shd w:fill="CCEEFF" w:val="clear"/>
            <w:vAlign w:val="center"/>
          </w:tcPr>
          <w:p>
            <w:pPr>
              <w:pStyle w:val="TableContents"/>
              <w:bidi w:val="0"/>
              <w:spacing w:before="0" w:after="0"/>
              <w:ind w:left="0" w:right="0" w:hanging="0"/>
              <w:jc w:val="right"/>
              <w:rPr/>
            </w:pPr>
            <w:r>
              <w:rPr/>
              <w:t>—</w:t>
            </w:r>
          </w:p>
        </w:tc>
      </w:tr>
      <w:tr>
        <w:trPr/>
        <w:tc>
          <w:tcPr>
            <w:tcW w:w="2062" w:type="dxa"/>
            <w:tcBorders/>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Other intra-Group revenues </w:t>
            </w:r>
            <w:r>
              <w:rPr>
                <w:rFonts w:ascii="Times New Roman;Times;serif" w:hAnsi="Times New Roman;Times;serif"/>
                <w:sz w:val="12"/>
              </w:rPr>
              <w:t>(4)</w:t>
            </w:r>
          </w:p>
        </w:tc>
        <w:tc>
          <w:tcPr>
            <w:tcW w:w="326" w:type="dxa"/>
            <w:tcBorders/>
            <w:vAlign w:val="center"/>
          </w:tcPr>
          <w:p>
            <w:pPr>
              <w:pStyle w:val="TableContents"/>
              <w:bidi w:val="0"/>
              <w:spacing w:before="0" w:after="0"/>
              <w:ind w:left="0" w:right="0" w:hanging="0"/>
              <w:jc w:val="left"/>
              <w:rPr/>
            </w:pPr>
            <w:r>
              <w:rPr/>
              <w:t>​</w:t>
            </w:r>
          </w:p>
        </w:tc>
        <w:tc>
          <w:tcPr>
            <w:tcW w:w="92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913,644</w:t>
            </w:r>
          </w:p>
        </w:tc>
        <w:tc>
          <w:tcPr>
            <w:tcW w:w="326" w:type="dxa"/>
            <w:tcBorders/>
            <w:vAlign w:val="center"/>
          </w:tcPr>
          <w:p>
            <w:pPr>
              <w:pStyle w:val="TableContents"/>
              <w:bidi w:val="0"/>
              <w:spacing w:before="0" w:after="0"/>
              <w:ind w:left="0" w:right="0" w:hanging="0"/>
              <w:jc w:val="left"/>
              <w:rPr/>
            </w:pPr>
            <w:r>
              <w:rPr/>
              <w:t>​</w:t>
            </w:r>
          </w:p>
        </w:tc>
        <w:tc>
          <w:tcPr>
            <w:tcW w:w="12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1,876,699</w:t>
            </w:r>
          </w:p>
        </w:tc>
        <w:tc>
          <w:tcPr>
            <w:tcW w:w="326" w:type="dxa"/>
            <w:tcBorders/>
            <w:vAlign w:val="center"/>
          </w:tcPr>
          <w:p>
            <w:pPr>
              <w:pStyle w:val="TableContents"/>
              <w:bidi w:val="0"/>
              <w:spacing w:before="0" w:after="0"/>
              <w:ind w:left="0" w:right="0" w:hanging="0"/>
              <w:jc w:val="left"/>
              <w:rPr/>
            </w:pPr>
            <w:r>
              <w:rPr/>
              <w:t>​</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817,962</w:t>
            </w:r>
          </w:p>
        </w:tc>
        <w:tc>
          <w:tcPr>
            <w:tcW w:w="326" w:type="dxa"/>
            <w:tcBorders/>
            <w:vAlign w:val="center"/>
          </w:tcPr>
          <w:p>
            <w:pPr>
              <w:pStyle w:val="TableContents"/>
              <w:bidi w:val="0"/>
              <w:spacing w:before="0" w:after="0"/>
              <w:ind w:left="0" w:right="0" w:hanging="0"/>
              <w:jc w:val="left"/>
              <w:rPr/>
            </w:pPr>
            <w:r>
              <w:rPr/>
              <w:t>​</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(3,608,305)</w:t>
            </w:r>
          </w:p>
        </w:tc>
        <w:tc>
          <w:tcPr>
            <w:tcW w:w="326" w:type="dxa"/>
            <w:tcBorders/>
            <w:vAlign w:val="center"/>
          </w:tcPr>
          <w:p>
            <w:pPr>
              <w:pStyle w:val="TableContents"/>
              <w:bidi w:val="0"/>
              <w:spacing w:before="0" w:after="0"/>
              <w:ind w:left="0" w:right="0" w:hanging="0"/>
              <w:jc w:val="left"/>
              <w:rPr/>
            </w:pPr>
            <w:r>
              <w:rPr/>
              <w:t>​</w:t>
            </w:r>
          </w:p>
        </w:tc>
        <w:tc>
          <w:tcPr>
            <w:tcW w:w="109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06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net revenues</w:t>
            </w:r>
          </w:p>
        </w:tc>
        <w:tc>
          <w:tcPr>
            <w:tcW w:w="326" w:type="dxa"/>
            <w:tcBorders/>
            <w:shd w:fill="CCEEFF" w:val="clear"/>
            <w:vAlign w:val="center"/>
          </w:tcPr>
          <w:p>
            <w:pPr>
              <w:pStyle w:val="TableContents"/>
              <w:bidi w:val="0"/>
              <w:spacing w:before="0" w:after="0"/>
              <w:ind w:left="0" w:right="0" w:hanging="0"/>
              <w:jc w:val="left"/>
              <w:rPr/>
            </w:pPr>
            <w:r>
              <w:rPr/>
              <w:t>​</w:t>
            </w:r>
          </w:p>
        </w:tc>
        <w:tc>
          <w:tcPr>
            <w:tcW w:w="92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14,394,633</w:t>
            </w:r>
          </w:p>
        </w:tc>
        <w:tc>
          <w:tcPr>
            <w:tcW w:w="32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67,119,661</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83,367,406</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(68,385,891)</w:t>
            </w:r>
          </w:p>
        </w:tc>
        <w:tc>
          <w:tcPr>
            <w:tcW w:w="326" w:type="dxa"/>
            <w:tcBorders/>
            <w:shd w:fill="CCEEFF" w:val="clear"/>
            <w:vAlign w:val="center"/>
          </w:tcPr>
          <w:p>
            <w:pPr>
              <w:pStyle w:val="TableContents"/>
              <w:bidi w:val="0"/>
              <w:spacing w:before="0" w:after="0"/>
              <w:ind w:left="0" w:right="0" w:hanging="0"/>
              <w:jc w:val="left"/>
              <w:rPr/>
            </w:pPr>
            <w:r>
              <w:rPr/>
              <w:t>​</w:t>
            </w:r>
          </w:p>
        </w:tc>
        <w:tc>
          <w:tcPr>
            <w:tcW w:w="1099"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96,495,809</w:t>
            </w:r>
          </w:p>
        </w:tc>
      </w:tr>
      <w:tr>
        <w:trPr/>
        <w:tc>
          <w:tcPr>
            <w:tcW w:w="2062"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Cost of revenues and operating expenses</w:t>
            </w:r>
          </w:p>
        </w:tc>
        <w:tc>
          <w:tcPr>
            <w:tcW w:w="326" w:type="dxa"/>
            <w:tcBorders/>
            <w:vAlign w:val="center"/>
          </w:tcPr>
          <w:p>
            <w:pPr>
              <w:pStyle w:val="TableContents"/>
              <w:bidi w:val="0"/>
              <w:spacing w:before="0" w:after="0"/>
              <w:ind w:left="0" w:right="0" w:hanging="0"/>
              <w:jc w:val="left"/>
              <w:rPr/>
            </w:pPr>
            <w:r>
              <w:rPr/>
              <w:t>​</w:t>
            </w:r>
          </w:p>
        </w:tc>
        <w:tc>
          <w:tcPr>
            <w:tcW w:w="920"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99" w:type="dxa"/>
            <w:tcBorders/>
            <w:vAlign w:val="center"/>
          </w:tcPr>
          <w:p>
            <w:pPr>
              <w:pStyle w:val="TableContents"/>
              <w:bidi w:val="0"/>
              <w:spacing w:before="0" w:after="0"/>
              <w:ind w:left="0" w:right="0" w:hanging="0"/>
              <w:jc w:val="right"/>
              <w:rPr/>
            </w:pPr>
            <w:r>
              <w:rPr/>
              <w:t>​</w:t>
            </w:r>
          </w:p>
        </w:tc>
      </w:tr>
      <w:tr>
        <w:trPr/>
        <w:tc>
          <w:tcPr>
            <w:tcW w:w="206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Third-party cost of revenue and 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(62,115)</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(13,477,853)</w:t>
            </w:r>
          </w:p>
        </w:tc>
        <w:tc>
          <w:tcPr>
            <w:tcW w:w="32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(44,968,961)</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(18,358,287)</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(76,867,216)</w:t>
            </w:r>
          </w:p>
        </w:tc>
      </w:tr>
      <w:tr>
        <w:trPr/>
        <w:tc>
          <w:tcPr>
            <w:tcW w:w="2062" w:type="dxa"/>
            <w:tcBorders/>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Intra-Group cost of revenues and operating expenses related to technical consulting and related services </w:t>
            </w:r>
            <w:r>
              <w:rPr>
                <w:rFonts w:ascii="Times New Roman;Times;serif" w:hAnsi="Times New Roman;Times;serif"/>
                <w:sz w:val="12"/>
              </w:rPr>
              <w:t>(3)</w:t>
            </w:r>
          </w:p>
        </w:tc>
        <w:tc>
          <w:tcPr>
            <w:tcW w:w="326" w:type="dxa"/>
            <w:tcBorders/>
            <w:vAlign w:val="center"/>
          </w:tcPr>
          <w:p>
            <w:pPr>
              <w:pStyle w:val="TableContents"/>
              <w:bidi w:val="0"/>
              <w:spacing w:before="0" w:after="0"/>
              <w:ind w:left="0" w:right="0" w:hanging="0"/>
              <w:jc w:val="left"/>
              <w:rPr/>
            </w:pPr>
            <w:r>
              <w:rPr/>
              <w:t>​</w:t>
            </w:r>
          </w:p>
        </w:tc>
        <w:tc>
          <w:tcPr>
            <w:tcW w:w="92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(64,777,586)</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64,777,586</w:t>
            </w:r>
          </w:p>
        </w:tc>
        <w:tc>
          <w:tcPr>
            <w:tcW w:w="326" w:type="dxa"/>
            <w:tcBorders/>
            <w:vAlign w:val="center"/>
          </w:tcPr>
          <w:p>
            <w:pPr>
              <w:pStyle w:val="TableContents"/>
              <w:bidi w:val="0"/>
              <w:spacing w:before="0" w:after="0"/>
              <w:ind w:left="0" w:right="0" w:hanging="0"/>
              <w:jc w:val="left"/>
              <w:rPr/>
            </w:pPr>
            <w:r>
              <w:rPr/>
              <w:t>​</w:t>
            </w:r>
          </w:p>
        </w:tc>
        <w:tc>
          <w:tcPr>
            <w:tcW w:w="1099" w:type="dxa"/>
            <w:tcBorders/>
            <w:vAlign w:val="center"/>
          </w:tcPr>
          <w:p>
            <w:pPr>
              <w:pStyle w:val="TableContents"/>
              <w:bidi w:val="0"/>
              <w:spacing w:before="0" w:after="0"/>
              <w:ind w:left="0" w:right="0" w:hanging="0"/>
              <w:jc w:val="right"/>
              <w:rPr/>
            </w:pPr>
            <w:r>
              <w:rPr/>
              <w:t>—</w:t>
            </w:r>
          </w:p>
        </w:tc>
      </w:tr>
      <w:tr>
        <w:trPr/>
        <w:tc>
          <w:tcPr>
            <w:tcW w:w="2062"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Other intra-Group cost of revenues and operating expenses </w:t>
            </w:r>
            <w:r>
              <w:rPr>
                <w:rFonts w:ascii="Times New Roman;Times;serif" w:hAnsi="Times New Roman;Times;serif"/>
                <w:sz w:val="12"/>
              </w:rPr>
              <w:t>(4)</w:t>
            </w:r>
          </w:p>
        </w:tc>
        <w:tc>
          <w:tcPr>
            <w:tcW w:w="326" w:type="dxa"/>
            <w:tcBorders/>
            <w:shd w:fill="CCEEFF" w:val="clear"/>
            <w:vAlign w:val="center"/>
          </w:tcPr>
          <w:p>
            <w:pPr>
              <w:pStyle w:val="TableContents"/>
              <w:bidi w:val="0"/>
              <w:spacing w:before="0" w:after="0"/>
              <w:ind w:left="0" w:right="0" w:hanging="0"/>
              <w:jc w:val="left"/>
              <w:rPr/>
            </w:pPr>
            <w:r>
              <w:rPr/>
              <w:t>​</w:t>
            </w:r>
          </w:p>
        </w:tc>
        <w:tc>
          <w:tcPr>
            <w:tcW w:w="9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(1,822,670)</w:t>
            </w:r>
          </w:p>
        </w:tc>
        <w:tc>
          <w:tcPr>
            <w:tcW w:w="326" w:type="dxa"/>
            <w:tcBorders/>
            <w:shd w:fill="CCEEFF" w:val="clear"/>
            <w:vAlign w:val="center"/>
          </w:tcPr>
          <w:p>
            <w:pPr>
              <w:pStyle w:val="TableContents"/>
              <w:bidi w:val="0"/>
              <w:spacing w:before="0" w:after="0"/>
              <w:ind w:left="0" w:right="0" w:hanging="0"/>
              <w:jc w:val="left"/>
              <w:rPr/>
            </w:pPr>
            <w:r>
              <w:rPr/>
              <w:t>​</w:t>
            </w:r>
          </w:p>
        </w:tc>
        <w:tc>
          <w:tcPr>
            <w:tcW w:w="12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(1,667,214)</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(185,608)</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3,675,492</w:t>
            </w:r>
          </w:p>
        </w:tc>
        <w:tc>
          <w:tcPr>
            <w:tcW w:w="326" w:type="dxa"/>
            <w:tcBorders/>
            <w:shd w:fill="CCEEFF" w:val="clear"/>
            <w:vAlign w:val="center"/>
          </w:tcPr>
          <w:p>
            <w:pPr>
              <w:pStyle w:val="TableContents"/>
              <w:bidi w:val="0"/>
              <w:spacing w:before="0" w:after="0"/>
              <w:ind w:left="0" w:right="0" w:hanging="0"/>
              <w:jc w:val="left"/>
              <w:rPr/>
            </w:pPr>
            <w:r>
              <w:rPr/>
              <w:t>​</w:t>
            </w:r>
          </w:p>
        </w:tc>
        <w:tc>
          <w:tcPr>
            <w:tcW w:w="10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062"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cost of revenues and operating expenses</w:t>
            </w:r>
          </w:p>
        </w:tc>
        <w:tc>
          <w:tcPr>
            <w:tcW w:w="326" w:type="dxa"/>
            <w:tcBorders/>
            <w:vAlign w:val="center"/>
          </w:tcPr>
          <w:p>
            <w:pPr>
              <w:pStyle w:val="TableContents"/>
              <w:bidi w:val="0"/>
              <w:spacing w:before="0" w:after="0"/>
              <w:ind w:left="0" w:right="0" w:hanging="0"/>
              <w:jc w:val="left"/>
              <w:rPr/>
            </w:pPr>
            <w:r>
              <w:rPr/>
              <w:t>​</w:t>
            </w:r>
          </w:p>
        </w:tc>
        <w:tc>
          <w:tcPr>
            <w:tcW w:w="920"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(62,115)</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(15,300,523)</w:t>
            </w:r>
          </w:p>
        </w:tc>
        <w:tc>
          <w:tcPr>
            <w:tcW w:w="32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(46,636,175)</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(83,321,481)</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68,453,078</w:t>
            </w:r>
          </w:p>
        </w:tc>
        <w:tc>
          <w:tcPr>
            <w:tcW w:w="326" w:type="dxa"/>
            <w:tcBorders/>
            <w:vAlign w:val="center"/>
          </w:tcPr>
          <w:p>
            <w:pPr>
              <w:pStyle w:val="TableContents"/>
              <w:bidi w:val="0"/>
              <w:spacing w:before="0" w:after="0"/>
              <w:ind w:left="0" w:right="0" w:hanging="0"/>
              <w:jc w:val="left"/>
              <w:rPr/>
            </w:pPr>
            <w:r>
              <w:rPr/>
              <w:t>​</w:t>
            </w:r>
          </w:p>
        </w:tc>
        <w:tc>
          <w:tcPr>
            <w:tcW w:w="1099"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(76,867,216)</w:t>
            </w:r>
          </w:p>
        </w:tc>
      </w:tr>
      <w:tr>
        <w:trPr/>
        <w:tc>
          <w:tcPr>
            <w:tcW w:w="206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Operating (losses)/profit</w:t>
            </w:r>
          </w:p>
        </w:tc>
        <w:tc>
          <w:tcPr>
            <w:tcW w:w="326" w:type="dxa"/>
            <w:tcBorders/>
            <w:shd w:fill="CCEEFF" w:val="clear"/>
            <w:vAlign w:val="center"/>
          </w:tcPr>
          <w:p>
            <w:pPr>
              <w:pStyle w:val="TableContents"/>
              <w:bidi w:val="0"/>
              <w:spacing w:before="0" w:after="0"/>
              <w:ind w:left="0" w:right="0" w:hanging="0"/>
              <w:jc w:val="left"/>
              <w:rPr/>
            </w:pPr>
            <w:r>
              <w:rPr/>
              <w:t>​</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(62,115)</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(905,890)</w:t>
            </w:r>
          </w:p>
        </w:tc>
        <w:tc>
          <w:tcPr>
            <w:tcW w:w="32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20,483,486</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45,925</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67,187</w:t>
            </w:r>
          </w:p>
        </w:tc>
        <w:tc>
          <w:tcPr>
            <w:tcW w:w="326" w:type="dxa"/>
            <w:tcBorders/>
            <w:shd w:fill="CCEEFF" w:val="clear"/>
            <w:vAlign w:val="center"/>
          </w:tcPr>
          <w:p>
            <w:pPr>
              <w:pStyle w:val="TableContents"/>
              <w:bidi w:val="0"/>
              <w:spacing w:before="0" w:after="0"/>
              <w:ind w:left="0" w:right="0" w:hanging="0"/>
              <w:jc w:val="left"/>
              <w:rPr/>
            </w:pPr>
            <w:r>
              <w:rPr/>
              <w:t>​</w:t>
            </w:r>
          </w:p>
        </w:tc>
        <w:tc>
          <w:tcPr>
            <w:tcW w:w="1099"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19,628,593</w:t>
            </w:r>
          </w:p>
        </w:tc>
      </w:tr>
      <w:tr>
        <w:trPr/>
        <w:tc>
          <w:tcPr>
            <w:tcW w:w="2062" w:type="dxa"/>
            <w:tcBorders/>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Share of income/(losses) from subsidiaries and VIEs </w:t>
            </w:r>
            <w:r>
              <w:rPr>
                <w:rFonts w:ascii="Times New Roman;Times;serif" w:hAnsi="Times New Roman;Times;serif"/>
                <w:sz w:val="12"/>
              </w:rPr>
              <w:t>(2)</w:t>
            </w:r>
          </w:p>
        </w:tc>
        <w:tc>
          <w:tcPr>
            <w:tcW w:w="326" w:type="dxa"/>
            <w:tcBorders/>
            <w:vAlign w:val="center"/>
          </w:tcPr>
          <w:p>
            <w:pPr>
              <w:pStyle w:val="TableContents"/>
              <w:bidi w:val="0"/>
              <w:spacing w:before="0" w:after="0"/>
              <w:ind w:left="0" w:right="0" w:hanging="0"/>
              <w:jc w:val="left"/>
              <w:rPr/>
            </w:pPr>
            <w:r>
              <w:rPr/>
              <w:t>​</w:t>
            </w:r>
          </w:p>
        </w:tc>
        <w:tc>
          <w:tcPr>
            <w:tcW w:w="9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24,489,042</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20,442,796</w:t>
            </w:r>
          </w:p>
        </w:tc>
        <w:tc>
          <w:tcPr>
            <w:tcW w:w="32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(151,361)</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(44,780,477)</w:t>
            </w:r>
          </w:p>
        </w:tc>
        <w:tc>
          <w:tcPr>
            <w:tcW w:w="326" w:type="dxa"/>
            <w:tcBorders/>
            <w:vAlign w:val="center"/>
          </w:tcPr>
          <w:p>
            <w:pPr>
              <w:pStyle w:val="TableContents"/>
              <w:bidi w:val="0"/>
              <w:spacing w:before="0" w:after="0"/>
              <w:ind w:left="0" w:right="0" w:hanging="0"/>
              <w:jc w:val="left"/>
              <w:rPr/>
            </w:pPr>
            <w:r>
              <w:rPr/>
              <w:t>​</w:t>
            </w:r>
          </w:p>
        </w:tc>
        <w:tc>
          <w:tcPr>
            <w:tcW w:w="1099" w:type="dxa"/>
            <w:tcBorders/>
            <w:vAlign w:val="center"/>
          </w:tcPr>
          <w:p>
            <w:pPr>
              <w:pStyle w:val="TableContents"/>
              <w:bidi w:val="0"/>
              <w:spacing w:before="0" w:after="0"/>
              <w:ind w:left="0" w:right="0" w:hanging="0"/>
              <w:jc w:val="right"/>
              <w:rPr/>
            </w:pPr>
            <w:r>
              <w:rPr/>
              <w:t>—</w:t>
            </w:r>
          </w:p>
        </w:tc>
      </w:tr>
      <w:tr>
        <w:trPr/>
        <w:tc>
          <w:tcPr>
            <w:tcW w:w="206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(expenses)/income, net</w:t>
            </w:r>
          </w:p>
        </w:tc>
        <w:tc>
          <w:tcPr>
            <w:tcW w:w="326" w:type="dxa"/>
            <w:tcBorders/>
            <w:shd w:fill="CCEEFF" w:val="clear"/>
            <w:vAlign w:val="center"/>
          </w:tcPr>
          <w:p>
            <w:pPr>
              <w:pStyle w:val="TableContents"/>
              <w:bidi w:val="0"/>
              <w:spacing w:before="0" w:after="0"/>
              <w:ind w:left="0" w:right="0" w:hanging="0"/>
              <w:jc w:val="left"/>
              <w:rPr/>
            </w:pPr>
            <w:r>
              <w:rPr/>
              <w:t>​</w:t>
            </w:r>
          </w:p>
        </w:tc>
        <w:tc>
          <w:tcPr>
            <w:tcW w:w="9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(4,156,514)</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6,458,954</w:t>
            </w:r>
          </w:p>
        </w:tc>
        <w:tc>
          <w:tcPr>
            <w:tcW w:w="326" w:type="dxa"/>
            <w:tcBorders/>
            <w:shd w:fill="CCEEFF" w:val="clear"/>
            <w:vAlign w:val="center"/>
          </w:tcPr>
          <w:p>
            <w:pPr>
              <w:pStyle w:val="TableContents"/>
              <w:bidi w:val="0"/>
              <w:spacing w:before="0" w:after="0"/>
              <w:ind w:left="0" w:right="0" w:hanging="0"/>
              <w:jc w:val="left"/>
              <w:rPr/>
            </w:pPr>
            <w:r>
              <w:rPr/>
              <w:t>​</w:t>
            </w:r>
          </w:p>
        </w:tc>
        <w:tc>
          <w:tcPr>
            <w:tcW w:w="12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2,334,424</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(15,193)</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4,621,671</w:t>
            </w:r>
          </w:p>
        </w:tc>
      </w:tr>
      <w:tr>
        <w:trPr/>
        <w:tc>
          <w:tcPr>
            <w:tcW w:w="2062"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Income before tax</w:t>
            </w:r>
          </w:p>
        </w:tc>
        <w:tc>
          <w:tcPr>
            <w:tcW w:w="326" w:type="dxa"/>
            <w:tcBorders/>
            <w:vAlign w:val="center"/>
          </w:tcPr>
          <w:p>
            <w:pPr>
              <w:pStyle w:val="TableContents"/>
              <w:bidi w:val="0"/>
              <w:spacing w:before="0" w:after="0"/>
              <w:ind w:left="0" w:right="0" w:hanging="0"/>
              <w:jc w:val="left"/>
              <w:rPr/>
            </w:pPr>
            <w:r>
              <w:rPr/>
              <w:t>​</w:t>
            </w:r>
          </w:p>
        </w:tc>
        <w:tc>
          <w:tcPr>
            <w:tcW w:w="920"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20,270,413</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25,995,860</w:t>
            </w:r>
          </w:p>
        </w:tc>
        <w:tc>
          <w:tcPr>
            <w:tcW w:w="32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22,666,549</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30,732</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(44,713,290)</w:t>
            </w:r>
          </w:p>
        </w:tc>
        <w:tc>
          <w:tcPr>
            <w:tcW w:w="326" w:type="dxa"/>
            <w:tcBorders/>
            <w:vAlign w:val="center"/>
          </w:tcPr>
          <w:p>
            <w:pPr>
              <w:pStyle w:val="TableContents"/>
              <w:bidi w:val="0"/>
              <w:spacing w:before="0" w:after="0"/>
              <w:ind w:left="0" w:right="0" w:hanging="0"/>
              <w:jc w:val="left"/>
              <w:rPr/>
            </w:pPr>
            <w:r>
              <w:rPr/>
              <w:t>​</w:t>
            </w:r>
          </w:p>
        </w:tc>
        <w:tc>
          <w:tcPr>
            <w:tcW w:w="1099"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24,250,264</w:t>
            </w:r>
          </w:p>
        </w:tc>
      </w:tr>
      <w:tr>
        <w:trPr/>
        <w:tc>
          <w:tcPr>
            <w:tcW w:w="206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w:t>
            </w:r>
          </w:p>
        </w:tc>
        <w:tc>
          <w:tcPr>
            <w:tcW w:w="326" w:type="dxa"/>
            <w:tcBorders/>
            <w:shd w:fill="CCEEFF" w:val="clear"/>
            <w:vAlign w:val="center"/>
          </w:tcPr>
          <w:p>
            <w:pPr>
              <w:pStyle w:val="TableContents"/>
              <w:bidi w:val="0"/>
              <w:spacing w:before="0" w:after="0"/>
              <w:ind w:left="0" w:right="0" w:hanging="0"/>
              <w:jc w:val="left"/>
              <w:rPr/>
            </w:pPr>
            <w:r>
              <w:rPr/>
              <w:t>​</w:t>
            </w:r>
          </w:p>
        </w:tc>
        <w:tc>
          <w:tcPr>
            <w:tcW w:w="9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(2,437,898)</w:t>
            </w:r>
          </w:p>
        </w:tc>
        <w:tc>
          <w:tcPr>
            <w:tcW w:w="326" w:type="dxa"/>
            <w:tcBorders/>
            <w:shd w:fill="CCEEFF" w:val="clear"/>
            <w:vAlign w:val="center"/>
          </w:tcPr>
          <w:p>
            <w:pPr>
              <w:pStyle w:val="TableContents"/>
              <w:bidi w:val="0"/>
              <w:spacing w:before="0" w:after="0"/>
              <w:ind w:left="0" w:right="0" w:hanging="0"/>
              <w:jc w:val="left"/>
              <w:rPr/>
            </w:pPr>
            <w:r>
              <w:rPr/>
              <w:t>​</w:t>
            </w:r>
          </w:p>
        </w:tc>
        <w:tc>
          <w:tcPr>
            <w:tcW w:w="12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(2,481,879)</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(112,061)</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(5,031,838)</w:t>
            </w:r>
          </w:p>
        </w:tc>
      </w:tr>
      <w:tr>
        <w:trPr/>
        <w:tc>
          <w:tcPr>
            <w:tcW w:w="2062"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income from continuing operations</w:t>
            </w:r>
          </w:p>
        </w:tc>
        <w:tc>
          <w:tcPr>
            <w:tcW w:w="326" w:type="dxa"/>
            <w:tcBorders/>
            <w:vAlign w:val="center"/>
          </w:tcPr>
          <w:p>
            <w:pPr>
              <w:pStyle w:val="TableContents"/>
              <w:bidi w:val="0"/>
              <w:spacing w:before="0" w:after="0"/>
              <w:ind w:left="0" w:right="0" w:hanging="0"/>
              <w:jc w:val="left"/>
              <w:rPr/>
            </w:pPr>
            <w:r>
              <w:rPr/>
              <w:t>​</w:t>
            </w:r>
          </w:p>
        </w:tc>
        <w:tc>
          <w:tcPr>
            <w:tcW w:w="920"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20,270,413</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23,557,962</w:t>
            </w:r>
          </w:p>
        </w:tc>
        <w:tc>
          <w:tcPr>
            <w:tcW w:w="32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20,184,670</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(81,329)</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(44,713,290)</w:t>
            </w:r>
          </w:p>
        </w:tc>
        <w:tc>
          <w:tcPr>
            <w:tcW w:w="326" w:type="dxa"/>
            <w:tcBorders/>
            <w:vAlign w:val="center"/>
          </w:tcPr>
          <w:p>
            <w:pPr>
              <w:pStyle w:val="TableContents"/>
              <w:bidi w:val="0"/>
              <w:spacing w:before="0" w:after="0"/>
              <w:ind w:left="0" w:right="0" w:hanging="0"/>
              <w:jc w:val="left"/>
              <w:rPr/>
            </w:pPr>
            <w:r>
              <w:rPr/>
              <w:t>​</w:t>
            </w:r>
          </w:p>
        </w:tc>
        <w:tc>
          <w:tcPr>
            <w:tcW w:w="1099"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19,218,426</w:t>
            </w:r>
          </w:p>
        </w:tc>
      </w:tr>
      <w:tr>
        <w:trPr/>
        <w:tc>
          <w:tcPr>
            <w:tcW w:w="206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Less: Accretion of redeemable noncontrolling interests</w:t>
            </w:r>
          </w:p>
        </w:tc>
        <w:tc>
          <w:tcPr>
            <w:tcW w:w="326" w:type="dxa"/>
            <w:tcBorders/>
            <w:shd w:fill="CCEEFF" w:val="clear"/>
            <w:vAlign w:val="center"/>
          </w:tcPr>
          <w:p>
            <w:pPr>
              <w:pStyle w:val="TableContents"/>
              <w:bidi w:val="0"/>
              <w:spacing w:before="0" w:after="0"/>
              <w:ind w:left="0" w:right="0" w:hanging="0"/>
              <w:jc w:val="left"/>
              <w:rPr/>
            </w:pPr>
            <w:r>
              <w:rPr/>
              <w:t>​</w:t>
            </w:r>
          </w:p>
        </w:tc>
        <w:tc>
          <w:tcPr>
            <w:tcW w:w="92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(2,978)</w:t>
            </w:r>
          </w:p>
        </w:tc>
        <w:tc>
          <w:tcPr>
            <w:tcW w:w="32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(2,978)</w:t>
            </w:r>
          </w:p>
        </w:tc>
      </w:tr>
      <w:tr>
        <w:trPr/>
        <w:tc>
          <w:tcPr>
            <w:tcW w:w="2062" w:type="dxa"/>
            <w:tcBorders/>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Net loss attributable to noncontrolling interests </w:t>
            </w:r>
            <w:r>
              <w:rPr>
                <w:rFonts w:ascii="Times New Roman;Times;serif" w:hAnsi="Times New Roman;Times;serif"/>
                <w:sz w:val="12"/>
              </w:rPr>
              <w:t>(2)</w:t>
            </w:r>
          </w:p>
        </w:tc>
        <w:tc>
          <w:tcPr>
            <w:tcW w:w="326" w:type="dxa"/>
            <w:tcBorders/>
            <w:vAlign w:val="center"/>
          </w:tcPr>
          <w:p>
            <w:pPr>
              <w:pStyle w:val="TableContents"/>
              <w:bidi w:val="0"/>
              <w:spacing w:before="0" w:after="0"/>
              <w:ind w:left="0" w:right="0" w:hanging="0"/>
              <w:jc w:val="left"/>
              <w:rPr/>
            </w:pPr>
            <w:r>
              <w:rPr/>
              <w:t>​</w:t>
            </w:r>
          </w:p>
        </w:tc>
        <w:tc>
          <w:tcPr>
            <w:tcW w:w="92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14,020</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483,268</w:t>
            </w:r>
          </w:p>
        </w:tc>
        <w:tc>
          <w:tcPr>
            <w:tcW w:w="326" w:type="dxa"/>
            <w:tcBorders/>
            <w:vAlign w:val="center"/>
          </w:tcPr>
          <w:p>
            <w:pPr>
              <w:pStyle w:val="TableContents"/>
              <w:bidi w:val="0"/>
              <w:spacing w:before="0" w:after="0"/>
              <w:ind w:left="0" w:right="0" w:hanging="0"/>
              <w:jc w:val="left"/>
              <w:rPr/>
            </w:pPr>
            <w:r>
              <w:rPr/>
              <w:t>​</w:t>
            </w:r>
          </w:p>
        </w:tc>
        <w:tc>
          <w:tcPr>
            <w:tcW w:w="109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497,288</w:t>
            </w:r>
          </w:p>
        </w:tc>
      </w:tr>
      <w:tr>
        <w:trPr/>
        <w:tc>
          <w:tcPr>
            <w:tcW w:w="206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income from continuing operations attributable to the Company’s shareholders</w:t>
            </w:r>
          </w:p>
        </w:tc>
        <w:tc>
          <w:tcPr>
            <w:tcW w:w="326" w:type="dxa"/>
            <w:tcBorders/>
            <w:shd w:fill="CCEEFF" w:val="clear"/>
            <w:vAlign w:val="center"/>
          </w:tcPr>
          <w:p>
            <w:pPr>
              <w:pStyle w:val="TableContents"/>
              <w:bidi w:val="0"/>
              <w:spacing w:before="0" w:after="0"/>
              <w:ind w:left="0" w:right="0" w:hanging="0"/>
              <w:jc w:val="left"/>
              <w:rPr/>
            </w:pPr>
            <w:r>
              <w:rPr/>
              <w:t>​</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20,270,413</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23,554,984</w:t>
            </w:r>
          </w:p>
        </w:tc>
        <w:tc>
          <w:tcPr>
            <w:tcW w:w="32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20,184,670</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(67,309)</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(44,230,022)</w:t>
            </w:r>
          </w:p>
        </w:tc>
        <w:tc>
          <w:tcPr>
            <w:tcW w:w="326" w:type="dxa"/>
            <w:tcBorders/>
            <w:shd w:fill="CCEEFF" w:val="clear"/>
            <w:vAlign w:val="center"/>
          </w:tcPr>
          <w:p>
            <w:pPr>
              <w:pStyle w:val="TableContents"/>
              <w:bidi w:val="0"/>
              <w:spacing w:before="0" w:after="0"/>
              <w:ind w:left="0" w:right="0" w:hanging="0"/>
              <w:jc w:val="left"/>
              <w:rPr/>
            </w:pPr>
            <w:r>
              <w:rPr/>
              <w:t>​</w:t>
            </w:r>
          </w:p>
        </w:tc>
        <w:tc>
          <w:tcPr>
            <w:tcW w:w="1099"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19,712,736</w:t>
            </w:r>
          </w:p>
        </w:tc>
      </w:tr>
      <w:tr>
        <w:trPr/>
        <w:tc>
          <w:tcPr>
            <w:tcW w:w="2062"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from discontinued operations, net of tax</w:t>
            </w:r>
          </w:p>
        </w:tc>
        <w:tc>
          <w:tcPr>
            <w:tcW w:w="326" w:type="dxa"/>
            <w:tcBorders/>
            <w:vAlign w:val="center"/>
          </w:tcPr>
          <w:p>
            <w:pPr>
              <w:pStyle w:val="TableContents"/>
              <w:bidi w:val="0"/>
              <w:spacing w:before="0" w:after="0"/>
              <w:ind w:left="0" w:right="0" w:hanging="0"/>
              <w:jc w:val="left"/>
              <w:rPr/>
            </w:pPr>
            <w:r>
              <w:rPr/>
              <w:t>​</w:t>
            </w:r>
          </w:p>
        </w:tc>
        <w:tc>
          <w:tcPr>
            <w:tcW w:w="92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624,864</w:t>
            </w:r>
          </w:p>
        </w:tc>
        <w:tc>
          <w:tcPr>
            <w:tcW w:w="326" w:type="dxa"/>
            <w:tcBorders/>
            <w:vAlign w:val="center"/>
          </w:tcPr>
          <w:p>
            <w:pPr>
              <w:pStyle w:val="TableContents"/>
              <w:bidi w:val="0"/>
              <w:spacing w:before="0" w:after="0"/>
              <w:ind w:left="0" w:right="0" w:hanging="0"/>
              <w:jc w:val="left"/>
              <w:rPr/>
            </w:pPr>
            <w:r>
              <w:rPr/>
              <w:t>​</w:t>
            </w:r>
          </w:p>
        </w:tc>
        <w:tc>
          <w:tcPr>
            <w:tcW w:w="12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624,864</w:t>
            </w:r>
          </w:p>
        </w:tc>
      </w:tr>
      <w:tr>
        <w:trPr/>
        <w:tc>
          <w:tcPr>
            <w:tcW w:w="206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income attributable to the Company’s shareholders</w:t>
            </w:r>
          </w:p>
        </w:tc>
        <w:tc>
          <w:tcPr>
            <w:tcW w:w="326" w:type="dxa"/>
            <w:tcBorders/>
            <w:shd w:fill="CCEEFF" w:val="clear"/>
            <w:vAlign w:val="center"/>
          </w:tcPr>
          <w:p>
            <w:pPr>
              <w:pStyle w:val="TableContents"/>
              <w:bidi w:val="0"/>
              <w:spacing w:before="0" w:after="0"/>
              <w:ind w:left="0" w:right="0" w:hanging="0"/>
              <w:jc w:val="left"/>
              <w:rPr/>
            </w:pPr>
            <w:r>
              <w:rPr/>
              <w:t>​</w:t>
            </w:r>
          </w:p>
        </w:tc>
        <w:tc>
          <w:tcPr>
            <w:tcW w:w="92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20,270,413</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24,179,848</w:t>
            </w:r>
          </w:p>
        </w:tc>
        <w:tc>
          <w:tcPr>
            <w:tcW w:w="326" w:type="dxa"/>
            <w:tcBorders/>
            <w:shd w:fill="CCEEFF" w:val="clear"/>
            <w:vAlign w:val="center"/>
          </w:tcPr>
          <w:p>
            <w:pPr>
              <w:pStyle w:val="TableContents"/>
              <w:bidi w:val="0"/>
              <w:spacing w:before="0" w:after="0"/>
              <w:ind w:left="0" w:right="0" w:hanging="0"/>
              <w:jc w:val="left"/>
              <w:rPr/>
            </w:pPr>
            <w:r>
              <w:rPr/>
              <w:t>​</w:t>
            </w:r>
          </w:p>
        </w:tc>
        <w:tc>
          <w:tcPr>
            <w:tcW w:w="12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20,184,670</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(67,309)</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(44,230,022)</w:t>
            </w:r>
          </w:p>
        </w:tc>
        <w:tc>
          <w:tcPr>
            <w:tcW w:w="326" w:type="dxa"/>
            <w:tcBorders/>
            <w:shd w:fill="CCEEFF" w:val="clear"/>
            <w:vAlign w:val="center"/>
          </w:tcPr>
          <w:p>
            <w:pPr>
              <w:pStyle w:val="TableContents"/>
              <w:bidi w:val="0"/>
              <w:spacing w:before="0" w:after="0"/>
              <w:ind w:left="0" w:right="0" w:hanging="0"/>
              <w:jc w:val="left"/>
              <w:rPr/>
            </w:pPr>
            <w:r>
              <w:rPr/>
              <w:t>​</w:t>
            </w:r>
          </w:p>
        </w:tc>
        <w:tc>
          <w:tcPr>
            <w:tcW w:w="109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16"/>
              </w:rPr>
            </w:pPr>
            <w:r>
              <w:rPr>
                <w:rFonts w:ascii="Times New Roman;Times;serif" w:hAnsi="Times New Roman;Times;serif"/>
                <w:b/>
                <w:sz w:val="16"/>
              </w:rPr>
              <w:t>20,337,600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023"/>
        <w:gridCol w:w="326"/>
        <w:gridCol w:w="916"/>
        <w:gridCol w:w="326"/>
        <w:gridCol w:w="984"/>
        <w:gridCol w:w="326"/>
        <w:gridCol w:w="1261"/>
        <w:gridCol w:w="326"/>
        <w:gridCol w:w="984"/>
        <w:gridCol w:w="326"/>
        <w:gridCol w:w="984"/>
        <w:gridCol w:w="326"/>
        <w:gridCol w:w="1097"/>
      </w:tblGrid>
      <w:tr>
        <w:trPr/>
        <w:tc>
          <w:tcPr>
            <w:tcW w:w="20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284605" cy="175260"/>
                      <wp:effectExtent l="0" t="0" r="0" b="0"/>
                      <wp:wrapNone/>
                      <wp:docPr id="190" name="Frame189"/>
                      <a:graphic xmlns:a="http://schemas.openxmlformats.org/drawingml/2006/main">
                        <a:graphicData uri="http://schemas.microsoft.com/office/word/2010/wordprocessingShape">
                          <wps:wsp>
                            <wps:cNvSpPr txBox="1"/>
                            <wps:spPr>
                              <a:xfrm>
                                <a:off x="0" y="0"/>
                                <a:ext cx="1284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07010" cy="175260"/>
                      <wp:effectExtent l="0" t="0" r="0" b="0"/>
                      <wp:wrapNone/>
                      <wp:docPr id="191" name="Frame1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581660" cy="175260"/>
                      <wp:effectExtent l="0" t="0" r="0" b="0"/>
                      <wp:wrapNone/>
                      <wp:docPr id="192" name="Frame191"/>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07010" cy="175260"/>
                      <wp:effectExtent l="0" t="0" r="0" b="0"/>
                      <wp:wrapNone/>
                      <wp:docPr id="193" name="Frame1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24840" cy="175260"/>
                      <wp:effectExtent l="0" t="0" r="0" b="0"/>
                      <wp:wrapNone/>
                      <wp:docPr id="194" name="Frame193"/>
                      <a:graphic xmlns:a="http://schemas.openxmlformats.org/drawingml/2006/main">
                        <a:graphicData uri="http://schemas.microsoft.com/office/word/2010/wordprocessingShape">
                          <wps:wsp>
                            <wps:cNvSpPr txBox="1"/>
                            <wps:spPr>
                              <a:xfrm>
                                <a:off x="0" y="0"/>
                                <a:ext cx="624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07010" cy="175260"/>
                      <wp:effectExtent l="0" t="0" r="0" b="0"/>
                      <wp:wrapNone/>
                      <wp:docPr id="195" name="Frame1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800735" cy="175260"/>
                      <wp:effectExtent l="0" t="0" r="0" b="0"/>
                      <wp:wrapNone/>
                      <wp:docPr id="196" name="Frame195"/>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07010" cy="175260"/>
                      <wp:effectExtent l="0" t="0" r="0" b="0"/>
                      <wp:wrapNone/>
                      <wp:docPr id="197" name="Frame1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24840" cy="175260"/>
                      <wp:effectExtent l="0" t="0" r="0" b="0"/>
                      <wp:wrapNone/>
                      <wp:docPr id="198" name="Frame197"/>
                      <a:graphic xmlns:a="http://schemas.openxmlformats.org/drawingml/2006/main">
                        <a:graphicData uri="http://schemas.microsoft.com/office/word/2010/wordprocessingShape">
                          <wps:wsp>
                            <wps:cNvSpPr txBox="1"/>
                            <wps:spPr>
                              <a:xfrm>
                                <a:off x="0" y="0"/>
                                <a:ext cx="624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07010" cy="175260"/>
                      <wp:effectExtent l="0" t="0" r="0" b="0"/>
                      <wp:wrapNone/>
                      <wp:docPr id="199" name="Frame1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24840" cy="175260"/>
                      <wp:effectExtent l="0" t="0" r="0" b="0"/>
                      <wp:wrapNone/>
                      <wp:docPr id="200" name="Frame199"/>
                      <a:graphic xmlns:a="http://schemas.openxmlformats.org/drawingml/2006/main">
                        <a:graphicData uri="http://schemas.microsoft.com/office/word/2010/wordprocessingShape">
                          <wps:wsp>
                            <wps:cNvSpPr txBox="1"/>
                            <wps:spPr>
                              <a:xfrm>
                                <a:off x="0" y="0"/>
                                <a:ext cx="624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07010" cy="175260"/>
                      <wp:effectExtent l="0" t="0" r="0" b="0"/>
                      <wp:wrapNone/>
                      <wp:docPr id="201" name="Frame2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96595" cy="175260"/>
                      <wp:effectExtent l="0" t="0" r="0" b="0"/>
                      <wp:wrapNone/>
                      <wp:docPr id="202" name="Frame201"/>
                      <a:graphic xmlns:a="http://schemas.openxmlformats.org/drawingml/2006/main">
                        <a:graphicData uri="http://schemas.microsoft.com/office/word/2010/wordprocessingShape">
                          <wps:wsp>
                            <wps:cNvSpPr txBox="1"/>
                            <wps:spPr>
                              <a:xfrm>
                                <a:off x="0" y="0"/>
                                <a:ext cx="696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2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856"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2023</w:t>
            </w:r>
          </w:p>
        </w:tc>
      </w:tr>
      <w:tr>
        <w:trPr/>
        <w:tc>
          <w:tcPr>
            <w:tcW w:w="202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8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2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Primary </w:t>
            </w:r>
          </w:p>
        </w:tc>
        <w:tc>
          <w:tcPr>
            <w:tcW w:w="326" w:type="dxa"/>
            <w:tcBorders/>
            <w:vAlign w:val="center"/>
          </w:tcPr>
          <w:p>
            <w:pPr>
              <w:pStyle w:val="TableContents"/>
              <w:bidi w:val="0"/>
              <w:spacing w:before="0" w:after="0"/>
              <w:ind w:left="0" w:right="0" w:hanging="0"/>
              <w:jc w:val="center"/>
              <w:rPr/>
            </w:pPr>
            <w:r>
              <w:rPr/>
              <w:t>    </w:t>
            </w:r>
          </w:p>
        </w:tc>
        <w:tc>
          <w:tcPr>
            <w:tcW w:w="98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VIEs and </w:t>
            </w:r>
          </w:p>
        </w:tc>
        <w:tc>
          <w:tcPr>
            <w:tcW w:w="326" w:type="dxa"/>
            <w:tcBorders/>
            <w:vAlign w:val="center"/>
          </w:tcPr>
          <w:p>
            <w:pPr>
              <w:pStyle w:val="TableContents"/>
              <w:bidi w:val="0"/>
              <w:spacing w:before="0" w:after="0"/>
              <w:ind w:left="0" w:right="0" w:hanging="0"/>
              <w:jc w:val="center"/>
              <w:rPr/>
            </w:pPr>
            <w:r>
              <w:rPr/>
              <w:t>    </w:t>
            </w:r>
          </w:p>
        </w:tc>
        <w:tc>
          <w:tcPr>
            <w:tcW w:w="98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097" w:type="dxa"/>
            <w:tcBorders/>
            <w:vAlign w:val="center"/>
          </w:tcPr>
          <w:p>
            <w:pPr>
              <w:pStyle w:val="TableContents"/>
              <w:bidi w:val="0"/>
              <w:spacing w:before="0" w:after="0"/>
              <w:ind w:left="0" w:right="0" w:hanging="0"/>
              <w:jc w:val="center"/>
              <w:rPr/>
            </w:pPr>
            <w:r>
              <w:rPr/>
              <w:t>​</w:t>
            </w:r>
          </w:p>
        </w:tc>
      </w:tr>
      <w:tr>
        <w:trPr/>
        <w:tc>
          <w:tcPr>
            <w:tcW w:w="202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NetEase,</w:t>
            </w:r>
          </w:p>
        </w:tc>
        <w:tc>
          <w:tcPr>
            <w:tcW w:w="326" w:type="dxa"/>
            <w:tcBorders/>
            <w:vAlign w:val="center"/>
          </w:tcPr>
          <w:p>
            <w:pPr>
              <w:pStyle w:val="TableContents"/>
              <w:bidi w:val="0"/>
              <w:spacing w:before="0" w:after="0"/>
              <w:ind w:left="0" w:right="0" w:hanging="0"/>
              <w:jc w:val="center"/>
              <w:rPr/>
            </w:pPr>
            <w:r>
              <w:rPr/>
              <w:t>​</w:t>
            </w:r>
          </w:p>
        </w:tc>
        <w:tc>
          <w:tcPr>
            <w:tcW w:w="98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 </w:t>
            </w:r>
          </w:p>
        </w:tc>
        <w:tc>
          <w:tcPr>
            <w:tcW w:w="326" w:type="dxa"/>
            <w:tcBorders/>
            <w:vAlign w:val="center"/>
          </w:tcPr>
          <w:p>
            <w:pPr>
              <w:pStyle w:val="TableContents"/>
              <w:bidi w:val="0"/>
              <w:spacing w:before="0" w:after="0"/>
              <w:ind w:left="0" w:right="0" w:hanging="0"/>
              <w:jc w:val="center"/>
              <w:rPr/>
            </w:pPr>
            <w:r>
              <w:rPr/>
              <w:t>​</w:t>
            </w:r>
          </w:p>
        </w:tc>
        <w:tc>
          <w:tcPr>
            <w:tcW w:w="12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Beneficiaries of </w:t>
            </w:r>
          </w:p>
        </w:tc>
        <w:tc>
          <w:tcPr>
            <w:tcW w:w="326" w:type="dxa"/>
            <w:tcBorders/>
            <w:vAlign w:val="center"/>
          </w:tcPr>
          <w:p>
            <w:pPr>
              <w:pStyle w:val="TableContents"/>
              <w:bidi w:val="0"/>
              <w:spacing w:before="0" w:after="0"/>
              <w:ind w:left="0" w:right="0" w:hanging="0"/>
              <w:jc w:val="center"/>
              <w:rPr/>
            </w:pPr>
            <w:r>
              <w:rPr/>
              <w:t>​</w:t>
            </w:r>
          </w:p>
        </w:tc>
        <w:tc>
          <w:tcPr>
            <w:tcW w:w="98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their</w:t>
            </w:r>
          </w:p>
        </w:tc>
        <w:tc>
          <w:tcPr>
            <w:tcW w:w="326" w:type="dxa"/>
            <w:tcBorders/>
            <w:vAlign w:val="center"/>
          </w:tcPr>
          <w:p>
            <w:pPr>
              <w:pStyle w:val="TableContents"/>
              <w:bidi w:val="0"/>
              <w:spacing w:before="0" w:after="0"/>
              <w:ind w:left="0" w:right="0" w:hanging="0"/>
              <w:jc w:val="center"/>
              <w:rPr/>
            </w:pPr>
            <w:r>
              <w:rPr/>
              <w:t>​</w:t>
            </w:r>
          </w:p>
        </w:tc>
        <w:tc>
          <w:tcPr>
            <w:tcW w:w="98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Eliminating</w:t>
            </w:r>
          </w:p>
        </w:tc>
        <w:tc>
          <w:tcPr>
            <w:tcW w:w="326" w:type="dxa"/>
            <w:tcBorders/>
            <w:vAlign w:val="center"/>
          </w:tcPr>
          <w:p>
            <w:pPr>
              <w:pStyle w:val="TableContents"/>
              <w:bidi w:val="0"/>
              <w:spacing w:before="0" w:after="0"/>
              <w:ind w:left="0" w:right="0" w:hanging="0"/>
              <w:jc w:val="center"/>
              <w:rPr/>
            </w:pPr>
            <w:r>
              <w:rPr/>
              <w:t>​</w:t>
            </w:r>
          </w:p>
        </w:tc>
        <w:tc>
          <w:tcPr>
            <w:tcW w:w="109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02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w:t>
            </w:r>
          </w:p>
        </w:tc>
        <w:tc>
          <w:tcPr>
            <w:tcW w:w="326" w:type="dxa"/>
            <w:tcBorders/>
            <w:vAlign w:val="center"/>
          </w:tcPr>
          <w:p>
            <w:pPr>
              <w:pStyle w:val="TableContents"/>
              <w:bidi w:val="0"/>
              <w:spacing w:before="0" w:after="0"/>
              <w:ind w:left="0" w:right="0" w:hanging="0"/>
              <w:jc w:val="center"/>
              <w:rPr/>
            </w:pPr>
            <w:r>
              <w:rPr/>
              <w:t>​</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vAlign w:val="center"/>
          </w:tcPr>
          <w:p>
            <w:pPr>
              <w:pStyle w:val="TableContents"/>
              <w:bidi w:val="0"/>
              <w:spacing w:before="0" w:after="0"/>
              <w:ind w:left="0" w:right="0" w:hanging="0"/>
              <w:jc w:val="center"/>
              <w:rPr/>
            </w:pPr>
            <w:r>
              <w:rPr/>
              <w:t>​</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VIEs</w:t>
            </w:r>
          </w:p>
        </w:tc>
        <w:tc>
          <w:tcPr>
            <w:tcW w:w="326" w:type="dxa"/>
            <w:tcBorders/>
            <w:vAlign w:val="center"/>
          </w:tcPr>
          <w:p>
            <w:pPr>
              <w:pStyle w:val="TableContents"/>
              <w:bidi w:val="0"/>
              <w:spacing w:before="0" w:after="0"/>
              <w:ind w:left="0" w:right="0" w:hanging="0"/>
              <w:jc w:val="center"/>
              <w:rPr/>
            </w:pPr>
            <w:r>
              <w:rPr/>
              <w:t>​</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vAlign w:val="center"/>
          </w:tcPr>
          <w:p>
            <w:pPr>
              <w:pStyle w:val="TableContents"/>
              <w:bidi w:val="0"/>
              <w:spacing w:before="0" w:after="0"/>
              <w:ind w:left="0" w:right="0" w:hanging="0"/>
              <w:jc w:val="center"/>
              <w:rPr/>
            </w:pPr>
            <w:r>
              <w:rPr/>
              <w:t>​</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26" w:type="dxa"/>
            <w:tcBorders/>
            <w:vAlign w:val="center"/>
          </w:tcPr>
          <w:p>
            <w:pPr>
              <w:pStyle w:val="TableContents"/>
              <w:bidi w:val="0"/>
              <w:spacing w:before="0" w:after="0"/>
              <w:ind w:left="0" w:right="0" w:hanging="0"/>
              <w:jc w:val="center"/>
              <w:rPr/>
            </w:pPr>
            <w:r>
              <w:rPr/>
              <w:t>​</w:t>
            </w:r>
          </w:p>
        </w:tc>
        <w:tc>
          <w:tcPr>
            <w:tcW w:w="109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totals</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02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856" w:type="dxa"/>
            <w:gridSpan w:val="11"/>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(RMB in thousands)</w:t>
            </w:r>
          </w:p>
        </w:tc>
      </w:tr>
      <w:tr>
        <w:trPr/>
        <w:tc>
          <w:tcPr>
            <w:tcW w:w="202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revenues</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097" w:type="dxa"/>
            <w:tcBorders/>
            <w:shd w:fill="CCEEFF" w:val="clear"/>
            <w:vAlign w:val="center"/>
          </w:tcPr>
          <w:p>
            <w:pPr>
              <w:pStyle w:val="TableContents"/>
              <w:bidi w:val="0"/>
              <w:spacing w:before="0" w:after="0"/>
              <w:ind w:left="0" w:right="0" w:hanging="0"/>
              <w:jc w:val="right"/>
              <w:rPr/>
            </w:pPr>
            <w:r>
              <w:rPr/>
              <w:t>  </w:t>
            </w:r>
          </w:p>
        </w:tc>
      </w:tr>
      <w:tr>
        <w:trPr/>
        <w:tc>
          <w:tcPr>
            <w:tcW w:w="2023"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Third-party revenues</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12,193,244</w:t>
            </w:r>
          </w:p>
        </w:tc>
        <w:tc>
          <w:tcPr>
            <w:tcW w:w="32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1,220,371</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90,054,544</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103,468,159</w:t>
            </w:r>
          </w:p>
        </w:tc>
      </w:tr>
      <w:tr>
        <w:trPr/>
        <w:tc>
          <w:tcPr>
            <w:tcW w:w="2023"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Intra-Group revenues related to technical consulting and related service </w:t>
            </w:r>
            <w:r>
              <w:rPr>
                <w:rFonts w:ascii="Times New Roman;Times;serif" w:hAnsi="Times New Roman;Times;serif"/>
                <w:sz w:val="12"/>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386,828</w:t>
            </w:r>
          </w:p>
        </w:tc>
        <w:tc>
          <w:tcPr>
            <w:tcW w:w="326"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72,605,740</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(72,992,568)</w:t>
            </w:r>
          </w:p>
        </w:tc>
        <w:tc>
          <w:tcPr>
            <w:tcW w:w="326" w:type="dxa"/>
            <w:tcBorders/>
            <w:shd w:fill="CCEEFF" w:val="clear"/>
            <w:vAlign w:val="center"/>
          </w:tcPr>
          <w:p>
            <w:pPr>
              <w:pStyle w:val="TableContents"/>
              <w:bidi w:val="0"/>
              <w:spacing w:before="0" w:after="0"/>
              <w:ind w:left="0" w:right="0" w:hanging="0"/>
              <w:jc w:val="left"/>
              <w:rPr/>
            </w:pPr>
            <w:r>
              <w:rPr/>
              <w:t>​</w:t>
            </w:r>
          </w:p>
        </w:tc>
        <w:tc>
          <w:tcPr>
            <w:tcW w:w="1097" w:type="dxa"/>
            <w:tcBorders/>
            <w:shd w:fill="CCEEFF" w:val="clear"/>
            <w:vAlign w:val="center"/>
          </w:tcPr>
          <w:p>
            <w:pPr>
              <w:pStyle w:val="TableContents"/>
              <w:bidi w:val="0"/>
              <w:spacing w:before="0" w:after="0"/>
              <w:ind w:left="0" w:right="0" w:hanging="0"/>
              <w:jc w:val="right"/>
              <w:rPr/>
            </w:pPr>
            <w:r>
              <w:rPr/>
              <w:t>—</w:t>
            </w:r>
          </w:p>
        </w:tc>
      </w:tr>
      <w:tr>
        <w:trPr/>
        <w:tc>
          <w:tcPr>
            <w:tcW w:w="2023" w:type="dxa"/>
            <w:tcBorders/>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Other intra-Group revenues </w:t>
            </w:r>
            <w:r>
              <w:rPr>
                <w:rFonts w:ascii="Times New Roman;Times;serif" w:hAnsi="Times New Roman;Times;serif"/>
                <w:sz w:val="12"/>
              </w:rPr>
              <w:t>(4)</w:t>
            </w:r>
          </w:p>
        </w:tc>
        <w:tc>
          <w:tcPr>
            <w:tcW w:w="326" w:type="dxa"/>
            <w:tcBorders/>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873,787</w:t>
            </w:r>
          </w:p>
        </w:tc>
        <w:tc>
          <w:tcPr>
            <w:tcW w:w="326" w:type="dxa"/>
            <w:tcBorders/>
            <w:vAlign w:val="center"/>
          </w:tcPr>
          <w:p>
            <w:pPr>
              <w:pStyle w:val="TableContents"/>
              <w:bidi w:val="0"/>
              <w:spacing w:before="0" w:after="0"/>
              <w:ind w:left="0" w:right="0" w:hanging="0"/>
              <w:jc w:val="left"/>
              <w:rPr/>
            </w:pPr>
            <w:r>
              <w:rPr/>
              <w:t>​</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1,440,970</w:t>
            </w:r>
          </w:p>
        </w:tc>
        <w:tc>
          <w:tcPr>
            <w:tcW w:w="326" w:type="dxa"/>
            <w:tcBorders/>
            <w:vAlign w:val="center"/>
          </w:tcPr>
          <w:p>
            <w:pPr>
              <w:pStyle w:val="TableContents"/>
              <w:bidi w:val="0"/>
              <w:spacing w:before="0" w:after="0"/>
              <w:ind w:left="0" w:right="0" w:hanging="0"/>
              <w:jc w:val="left"/>
              <w:rPr/>
            </w:pPr>
            <w:r>
              <w:rPr/>
              <w:t>​</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734,857</w:t>
            </w:r>
          </w:p>
        </w:tc>
        <w:tc>
          <w:tcPr>
            <w:tcW w:w="326" w:type="dxa"/>
            <w:tcBorders/>
            <w:vAlign w:val="center"/>
          </w:tcPr>
          <w:p>
            <w:pPr>
              <w:pStyle w:val="TableContents"/>
              <w:bidi w:val="0"/>
              <w:spacing w:before="0" w:after="0"/>
              <w:ind w:left="0" w:right="0" w:hanging="0"/>
              <w:jc w:val="left"/>
              <w:rPr/>
            </w:pPr>
            <w:r>
              <w:rPr/>
              <w:t>​</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(3,049,614)</w:t>
            </w:r>
          </w:p>
        </w:tc>
        <w:tc>
          <w:tcPr>
            <w:tcW w:w="326" w:type="dxa"/>
            <w:tcBorders/>
            <w:vAlign w:val="center"/>
          </w:tcPr>
          <w:p>
            <w:pPr>
              <w:pStyle w:val="TableContents"/>
              <w:bidi w:val="0"/>
              <w:spacing w:before="0" w:after="0"/>
              <w:ind w:left="0" w:right="0" w:hanging="0"/>
              <w:jc w:val="left"/>
              <w:rPr/>
            </w:pPr>
            <w:r>
              <w:rPr/>
              <w:t>​</w:t>
            </w:r>
          </w:p>
        </w:tc>
        <w:tc>
          <w:tcPr>
            <w:tcW w:w="109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023"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net revenues</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13,453,859</w:t>
            </w:r>
          </w:p>
        </w:tc>
        <w:tc>
          <w:tcPr>
            <w:tcW w:w="326"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75,267,081</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90,789,401</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(76,042,182)</w:t>
            </w:r>
          </w:p>
        </w:tc>
        <w:tc>
          <w:tcPr>
            <w:tcW w:w="326" w:type="dxa"/>
            <w:tcBorders/>
            <w:shd w:fill="CCEEFF" w:val="clear"/>
            <w:vAlign w:val="center"/>
          </w:tcPr>
          <w:p>
            <w:pPr>
              <w:pStyle w:val="TableContents"/>
              <w:bidi w:val="0"/>
              <w:spacing w:before="0" w:after="0"/>
              <w:ind w:left="0" w:right="0" w:hanging="0"/>
              <w:jc w:val="left"/>
              <w:rPr/>
            </w:pPr>
            <w:r>
              <w:rPr/>
              <w:t>​</w:t>
            </w:r>
          </w:p>
        </w:tc>
        <w:tc>
          <w:tcPr>
            <w:tcW w:w="1097"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103,468,159</w:t>
            </w:r>
          </w:p>
        </w:tc>
      </w:tr>
      <w:tr>
        <w:trPr/>
        <w:tc>
          <w:tcPr>
            <w:tcW w:w="2023"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Cost of revenues and operating expenses</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0"/>
              <w:ind w:left="0" w:right="0" w:hanging="0"/>
              <w:jc w:val="right"/>
              <w:rPr/>
            </w:pPr>
            <w:r>
              <w:rPr/>
              <w:t>​</w:t>
            </w:r>
          </w:p>
        </w:tc>
      </w:tr>
      <w:tr>
        <w:trPr/>
        <w:tc>
          <w:tcPr>
            <w:tcW w:w="202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Third-party cost of revenue and 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(26,012)</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(14,240,361)</w:t>
            </w:r>
          </w:p>
        </w:tc>
        <w:tc>
          <w:tcPr>
            <w:tcW w:w="326"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(44,024,077)</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(17,468,565)</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(75,759,015)</w:t>
            </w:r>
          </w:p>
        </w:tc>
      </w:tr>
      <w:tr>
        <w:trPr/>
        <w:tc>
          <w:tcPr>
            <w:tcW w:w="2023" w:type="dxa"/>
            <w:tcBorders/>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Intra-Group cost of revenues and operating expenses related to technical consulting and related services </w:t>
            </w:r>
            <w:r>
              <w:rPr>
                <w:rFonts w:ascii="Times New Roman;Times;serif" w:hAnsi="Times New Roman;Times;serif"/>
                <w:sz w:val="12"/>
              </w:rPr>
              <w:t>(3)</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(72,992,568)</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72,992,568</w:t>
            </w:r>
          </w:p>
        </w:tc>
        <w:tc>
          <w:tcPr>
            <w:tcW w:w="326"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0"/>
              <w:ind w:left="0" w:right="0" w:hanging="0"/>
              <w:jc w:val="right"/>
              <w:rPr/>
            </w:pPr>
            <w:r>
              <w:rPr/>
              <w:t>—</w:t>
            </w:r>
          </w:p>
        </w:tc>
      </w:tr>
      <w:tr>
        <w:trPr/>
        <w:tc>
          <w:tcPr>
            <w:tcW w:w="2023"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Other intra-Group cost of revenues and operating expenses </w:t>
            </w:r>
            <w:r>
              <w:rPr>
                <w:rFonts w:ascii="Times New Roman;Times;serif" w:hAnsi="Times New Roman;Times;serif"/>
                <w:sz w:val="12"/>
              </w:rPr>
              <w:t>(4)</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(1,454,070)</w:t>
            </w:r>
          </w:p>
        </w:tc>
        <w:tc>
          <w:tcPr>
            <w:tcW w:w="326" w:type="dxa"/>
            <w:tcBorders/>
            <w:shd w:fill="CCEEFF" w:val="clear"/>
            <w:vAlign w:val="center"/>
          </w:tcPr>
          <w:p>
            <w:pPr>
              <w:pStyle w:val="TableContents"/>
              <w:bidi w:val="0"/>
              <w:spacing w:before="0" w:after="0"/>
              <w:ind w:left="0" w:right="0" w:hanging="0"/>
              <w:jc w:val="left"/>
              <w:rPr/>
            </w:pPr>
            <w:r>
              <w:rPr/>
              <w:t>​</w:t>
            </w:r>
          </w:p>
        </w:tc>
        <w:tc>
          <w:tcPr>
            <w:tcW w:w="12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(1,571,998)</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(23,546)</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3,049,614</w:t>
            </w:r>
          </w:p>
        </w:tc>
        <w:tc>
          <w:tcPr>
            <w:tcW w:w="326" w:type="dxa"/>
            <w:tcBorders/>
            <w:shd w:fill="CCEEFF" w:val="clear"/>
            <w:vAlign w:val="center"/>
          </w:tcPr>
          <w:p>
            <w:pPr>
              <w:pStyle w:val="TableContents"/>
              <w:bidi w:val="0"/>
              <w:spacing w:before="0" w:after="0"/>
              <w:ind w:left="0" w:right="0" w:hanging="0"/>
              <w:jc w:val="left"/>
              <w:rPr/>
            </w:pPr>
            <w:r>
              <w:rPr/>
              <w:t>​</w:t>
            </w:r>
          </w:p>
        </w:tc>
        <w:tc>
          <w:tcPr>
            <w:tcW w:w="10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023"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cost of revenues and operating expenses</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(26,012)</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(15,694,431)</w:t>
            </w:r>
          </w:p>
        </w:tc>
        <w:tc>
          <w:tcPr>
            <w:tcW w:w="32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(45,596,075)</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(90,484,679)</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76,042,182</w:t>
            </w:r>
          </w:p>
        </w:tc>
        <w:tc>
          <w:tcPr>
            <w:tcW w:w="326"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(75,759,015)</w:t>
            </w:r>
          </w:p>
        </w:tc>
      </w:tr>
      <w:tr>
        <w:trPr/>
        <w:tc>
          <w:tcPr>
            <w:tcW w:w="2023"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Operating (losses)/profit</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(26,012)</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(2,240,572)</w:t>
            </w:r>
          </w:p>
        </w:tc>
        <w:tc>
          <w:tcPr>
            <w:tcW w:w="326"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29,671,006</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304,722</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7"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27,709,144</w:t>
            </w:r>
          </w:p>
        </w:tc>
      </w:tr>
      <w:tr>
        <w:trPr/>
        <w:tc>
          <w:tcPr>
            <w:tcW w:w="2023" w:type="dxa"/>
            <w:tcBorders/>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Share of income/ (losses) from subsidiaries and VIEs </w:t>
            </w:r>
            <w:r>
              <w:rPr>
                <w:rFonts w:ascii="Times New Roman;Times;serif" w:hAnsi="Times New Roman;Times;serif"/>
                <w:sz w:val="12"/>
              </w:rPr>
              <w:t>(2)</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29,849,939</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30,023,775</w:t>
            </w:r>
          </w:p>
        </w:tc>
        <w:tc>
          <w:tcPr>
            <w:tcW w:w="32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(88,094)</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(59,785,620)</w:t>
            </w:r>
          </w:p>
        </w:tc>
        <w:tc>
          <w:tcPr>
            <w:tcW w:w="326"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0"/>
              <w:ind w:left="0" w:right="0" w:hanging="0"/>
              <w:jc w:val="right"/>
              <w:rPr/>
            </w:pPr>
            <w:r>
              <w:rPr/>
              <w:t>—</w:t>
            </w:r>
          </w:p>
        </w:tc>
      </w:tr>
      <w:tr>
        <w:trPr/>
        <w:tc>
          <w:tcPr>
            <w:tcW w:w="202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(expenses)/ income, net</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(345,851)</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3,929,431</w:t>
            </w:r>
          </w:p>
        </w:tc>
        <w:tc>
          <w:tcPr>
            <w:tcW w:w="326" w:type="dxa"/>
            <w:tcBorders/>
            <w:shd w:fill="CCEEFF" w:val="clear"/>
            <w:vAlign w:val="center"/>
          </w:tcPr>
          <w:p>
            <w:pPr>
              <w:pStyle w:val="TableContents"/>
              <w:bidi w:val="0"/>
              <w:spacing w:before="0" w:after="0"/>
              <w:ind w:left="0" w:right="0" w:hanging="0"/>
              <w:jc w:val="left"/>
              <w:rPr/>
            </w:pPr>
            <w:r>
              <w:rPr/>
              <w:t>​</w:t>
            </w:r>
          </w:p>
        </w:tc>
        <w:tc>
          <w:tcPr>
            <w:tcW w:w="12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2,537,239</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226,964</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6,347,783</w:t>
            </w:r>
          </w:p>
        </w:tc>
      </w:tr>
      <w:tr>
        <w:trPr/>
        <w:tc>
          <w:tcPr>
            <w:tcW w:w="2023"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Income before tax</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29,478,076</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31,712,634</w:t>
            </w:r>
          </w:p>
        </w:tc>
        <w:tc>
          <w:tcPr>
            <w:tcW w:w="32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32,120,151</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531,686</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(59,785,620)</w:t>
            </w:r>
          </w:p>
        </w:tc>
        <w:tc>
          <w:tcPr>
            <w:tcW w:w="326"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34,056,927</w:t>
            </w:r>
          </w:p>
        </w:tc>
      </w:tr>
      <w:tr>
        <w:trPr/>
        <w:tc>
          <w:tcPr>
            <w:tcW w:w="202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(1,928,340)</w:t>
            </w:r>
          </w:p>
        </w:tc>
        <w:tc>
          <w:tcPr>
            <w:tcW w:w="326" w:type="dxa"/>
            <w:tcBorders/>
            <w:shd w:fill="CCEEFF" w:val="clear"/>
            <w:vAlign w:val="center"/>
          </w:tcPr>
          <w:p>
            <w:pPr>
              <w:pStyle w:val="TableContents"/>
              <w:bidi w:val="0"/>
              <w:spacing w:before="0" w:after="0"/>
              <w:ind w:left="0" w:right="0" w:hanging="0"/>
              <w:jc w:val="left"/>
              <w:rPr/>
            </w:pPr>
            <w:r>
              <w:rPr/>
              <w:t>​</w:t>
            </w:r>
          </w:p>
        </w:tc>
        <w:tc>
          <w:tcPr>
            <w:tcW w:w="12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(2,568,035)</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(203,329)</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(4,699,704)</w:t>
            </w:r>
          </w:p>
        </w:tc>
      </w:tr>
      <w:tr>
        <w:trPr/>
        <w:tc>
          <w:tcPr>
            <w:tcW w:w="2023"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income from continuing operations</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29,478,076</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29,784,294</w:t>
            </w:r>
          </w:p>
        </w:tc>
        <w:tc>
          <w:tcPr>
            <w:tcW w:w="32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29,552,116</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328,357</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(59,785,620)</w:t>
            </w:r>
          </w:p>
        </w:tc>
        <w:tc>
          <w:tcPr>
            <w:tcW w:w="326"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29,357,223</w:t>
            </w:r>
          </w:p>
        </w:tc>
      </w:tr>
      <w:tr>
        <w:trPr/>
        <w:tc>
          <w:tcPr>
            <w:tcW w:w="202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Less: Accretion of redeemable noncontrolling interests</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(3,589)</w:t>
            </w:r>
          </w:p>
        </w:tc>
        <w:tc>
          <w:tcPr>
            <w:tcW w:w="326"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(3,589)</w:t>
            </w:r>
          </w:p>
        </w:tc>
      </w:tr>
      <w:tr>
        <w:trPr/>
        <w:tc>
          <w:tcPr>
            <w:tcW w:w="2023" w:type="dxa"/>
            <w:tcBorders/>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Net (income)/loss attributable to noncontrolling interests </w:t>
            </w:r>
            <w:r>
              <w:rPr>
                <w:rFonts w:ascii="Times New Roman;Times;serif" w:hAnsi="Times New Roman;Times;serif"/>
                <w:sz w:val="12"/>
              </w:rPr>
              <w:t>(2)</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(3,759)</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66,677</w:t>
            </w:r>
          </w:p>
        </w:tc>
        <w:tc>
          <w:tcPr>
            <w:tcW w:w="326"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62,918</w:t>
            </w:r>
          </w:p>
        </w:tc>
      </w:tr>
      <w:tr>
        <w:trPr/>
        <w:tc>
          <w:tcPr>
            <w:tcW w:w="2023"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income attributable to the Company’s shareholders</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29,478,076</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29,780,705</w:t>
            </w:r>
          </w:p>
        </w:tc>
        <w:tc>
          <w:tcPr>
            <w:tcW w:w="326" w:type="dxa"/>
            <w:tcBorders/>
            <w:shd w:fill="CCEEFF" w:val="clear"/>
            <w:vAlign w:val="center"/>
          </w:tcPr>
          <w:p>
            <w:pPr>
              <w:pStyle w:val="TableContents"/>
              <w:bidi w:val="0"/>
              <w:spacing w:before="0" w:after="0"/>
              <w:ind w:left="0" w:right="0" w:hanging="0"/>
              <w:jc w:val="left"/>
              <w:rPr/>
            </w:pPr>
            <w:r>
              <w:rPr/>
              <w:t>​</w:t>
            </w:r>
          </w:p>
        </w:tc>
        <w:tc>
          <w:tcPr>
            <w:tcW w:w="12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29,552,116</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324,598</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(59,718,943)</w:t>
            </w:r>
          </w:p>
        </w:tc>
        <w:tc>
          <w:tcPr>
            <w:tcW w:w="326" w:type="dxa"/>
            <w:tcBorders/>
            <w:shd w:fill="CCEEFF" w:val="clear"/>
            <w:vAlign w:val="center"/>
          </w:tcPr>
          <w:p>
            <w:pPr>
              <w:pStyle w:val="TableContents"/>
              <w:bidi w:val="0"/>
              <w:spacing w:before="0" w:after="0"/>
              <w:ind w:left="0" w:right="0" w:hanging="0"/>
              <w:jc w:val="left"/>
              <w:rPr/>
            </w:pPr>
            <w:r>
              <w:rPr/>
              <w:t>​</w:t>
            </w:r>
          </w:p>
        </w:tc>
        <w:tc>
          <w:tcPr>
            <w:tcW w:w="109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16"/>
              </w:rPr>
            </w:pPr>
            <w:r>
              <w:rPr>
                <w:rFonts w:ascii="Times New Roman;Times;serif" w:hAnsi="Times New Roman;Times;serif"/>
                <w:b/>
                <w:sz w:val="16"/>
              </w:rPr>
              <w:t>29,416,552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000"/>
        <w:gridCol w:w="326"/>
        <w:gridCol w:w="984"/>
        <w:gridCol w:w="326"/>
        <w:gridCol w:w="984"/>
        <w:gridCol w:w="326"/>
        <w:gridCol w:w="1216"/>
        <w:gridCol w:w="326"/>
        <w:gridCol w:w="984"/>
        <w:gridCol w:w="326"/>
        <w:gridCol w:w="984"/>
        <w:gridCol w:w="326"/>
        <w:gridCol w:w="1097"/>
      </w:tblGrid>
      <w:tr>
        <w:trPr/>
        <w:tc>
          <w:tcPr>
            <w:tcW w:w="20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270000" cy="175260"/>
                      <wp:effectExtent l="0" t="0" r="0" b="0"/>
                      <wp:wrapNone/>
                      <wp:docPr id="203" name="Frame202"/>
                      <a:graphic xmlns:a="http://schemas.openxmlformats.org/drawingml/2006/main">
                        <a:graphicData uri="http://schemas.microsoft.com/office/word/2010/wordprocessingShape">
                          <wps:wsp>
                            <wps:cNvSpPr txBox="1"/>
                            <wps:spPr>
                              <a:xfrm>
                                <a:off x="0" y="0"/>
                                <a:ext cx="1270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07010" cy="175260"/>
                      <wp:effectExtent l="0" t="0" r="0" b="0"/>
                      <wp:wrapNone/>
                      <wp:docPr id="204" name="Frame2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24840" cy="175260"/>
                      <wp:effectExtent l="0" t="0" r="0" b="0"/>
                      <wp:wrapNone/>
                      <wp:docPr id="205" name="Frame204"/>
                      <a:graphic xmlns:a="http://schemas.openxmlformats.org/drawingml/2006/main">
                        <a:graphicData uri="http://schemas.microsoft.com/office/word/2010/wordprocessingShape">
                          <wps:wsp>
                            <wps:cNvSpPr txBox="1"/>
                            <wps:spPr>
                              <a:xfrm>
                                <a:off x="0" y="0"/>
                                <a:ext cx="624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07010" cy="175260"/>
                      <wp:effectExtent l="0" t="0" r="0" b="0"/>
                      <wp:wrapNone/>
                      <wp:docPr id="206" name="Frame2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24840" cy="175260"/>
                      <wp:effectExtent l="0" t="0" r="0" b="0"/>
                      <wp:wrapNone/>
                      <wp:docPr id="207" name="Frame206"/>
                      <a:graphic xmlns:a="http://schemas.openxmlformats.org/drawingml/2006/main">
                        <a:graphicData uri="http://schemas.microsoft.com/office/word/2010/wordprocessingShape">
                          <wps:wsp>
                            <wps:cNvSpPr txBox="1"/>
                            <wps:spPr>
                              <a:xfrm>
                                <a:off x="0" y="0"/>
                                <a:ext cx="624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07010" cy="175260"/>
                      <wp:effectExtent l="0" t="0" r="0" b="0"/>
                      <wp:wrapNone/>
                      <wp:docPr id="208" name="Frame2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772160" cy="175260"/>
                      <wp:effectExtent l="0" t="0" r="0" b="0"/>
                      <wp:wrapNone/>
                      <wp:docPr id="209" name="Frame208"/>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07010" cy="175260"/>
                      <wp:effectExtent l="0" t="0" r="0" b="0"/>
                      <wp:wrapNone/>
                      <wp:docPr id="210" name="Frame2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24840" cy="175260"/>
                      <wp:effectExtent l="0" t="0" r="0" b="0"/>
                      <wp:wrapNone/>
                      <wp:docPr id="211" name="Frame210"/>
                      <a:graphic xmlns:a="http://schemas.openxmlformats.org/drawingml/2006/main">
                        <a:graphicData uri="http://schemas.microsoft.com/office/word/2010/wordprocessingShape">
                          <wps:wsp>
                            <wps:cNvSpPr txBox="1"/>
                            <wps:spPr>
                              <a:xfrm>
                                <a:off x="0" y="0"/>
                                <a:ext cx="624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07010" cy="175260"/>
                      <wp:effectExtent l="0" t="0" r="0" b="0"/>
                      <wp:wrapNone/>
                      <wp:docPr id="212" name="Frame2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24840" cy="175260"/>
                      <wp:effectExtent l="0" t="0" r="0" b="0"/>
                      <wp:wrapNone/>
                      <wp:docPr id="213" name="Frame212"/>
                      <a:graphic xmlns:a="http://schemas.openxmlformats.org/drawingml/2006/main">
                        <a:graphicData uri="http://schemas.microsoft.com/office/word/2010/wordprocessingShape">
                          <wps:wsp>
                            <wps:cNvSpPr txBox="1"/>
                            <wps:spPr>
                              <a:xfrm>
                                <a:off x="0" y="0"/>
                                <a:ext cx="624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07010" cy="175260"/>
                      <wp:effectExtent l="0" t="0" r="0" b="0"/>
                      <wp:wrapNone/>
                      <wp:docPr id="214" name="Frame2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96595" cy="175260"/>
                      <wp:effectExtent l="0" t="0" r="0" b="0"/>
                      <wp:wrapNone/>
                      <wp:docPr id="215" name="Frame214"/>
                      <a:graphic xmlns:a="http://schemas.openxmlformats.org/drawingml/2006/main">
                        <a:graphicData uri="http://schemas.microsoft.com/office/word/2010/wordprocessingShape">
                          <wps:wsp>
                            <wps:cNvSpPr txBox="1"/>
                            <wps:spPr>
                              <a:xfrm>
                                <a:off x="0" y="0"/>
                                <a:ext cx="696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0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879"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2021</w:t>
            </w:r>
          </w:p>
        </w:tc>
      </w:tr>
      <w:tr>
        <w:trPr/>
        <w:tc>
          <w:tcPr>
            <w:tcW w:w="200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8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8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Primary </w:t>
            </w:r>
          </w:p>
        </w:tc>
        <w:tc>
          <w:tcPr>
            <w:tcW w:w="326" w:type="dxa"/>
            <w:tcBorders/>
            <w:vAlign w:val="center"/>
          </w:tcPr>
          <w:p>
            <w:pPr>
              <w:pStyle w:val="TableContents"/>
              <w:bidi w:val="0"/>
              <w:spacing w:before="0" w:after="0"/>
              <w:ind w:left="0" w:right="0" w:hanging="0"/>
              <w:jc w:val="center"/>
              <w:rPr/>
            </w:pPr>
            <w:r>
              <w:rPr/>
              <w:t>​</w:t>
            </w:r>
          </w:p>
        </w:tc>
        <w:tc>
          <w:tcPr>
            <w:tcW w:w="98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VIEs and </w:t>
            </w:r>
          </w:p>
        </w:tc>
        <w:tc>
          <w:tcPr>
            <w:tcW w:w="326" w:type="dxa"/>
            <w:tcBorders/>
            <w:vAlign w:val="center"/>
          </w:tcPr>
          <w:p>
            <w:pPr>
              <w:pStyle w:val="TableContents"/>
              <w:bidi w:val="0"/>
              <w:spacing w:before="0" w:after="0"/>
              <w:ind w:left="0" w:right="0" w:hanging="0"/>
              <w:jc w:val="center"/>
              <w:rPr/>
            </w:pPr>
            <w:r>
              <w:rPr/>
              <w:t>​</w:t>
            </w:r>
          </w:p>
        </w:tc>
        <w:tc>
          <w:tcPr>
            <w:tcW w:w="98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97" w:type="dxa"/>
            <w:tcBorders/>
            <w:vAlign w:val="center"/>
          </w:tcPr>
          <w:p>
            <w:pPr>
              <w:pStyle w:val="TableContents"/>
              <w:bidi w:val="0"/>
              <w:spacing w:before="0" w:after="0"/>
              <w:ind w:left="0" w:right="0" w:hanging="0"/>
              <w:jc w:val="center"/>
              <w:rPr/>
            </w:pPr>
            <w:r>
              <w:rPr/>
              <w:t>​</w:t>
            </w:r>
          </w:p>
        </w:tc>
      </w:tr>
      <w:tr>
        <w:trPr/>
        <w:tc>
          <w:tcPr>
            <w:tcW w:w="200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8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NetEase,</w:t>
            </w:r>
          </w:p>
        </w:tc>
        <w:tc>
          <w:tcPr>
            <w:tcW w:w="326" w:type="dxa"/>
            <w:tcBorders/>
            <w:vAlign w:val="center"/>
          </w:tcPr>
          <w:p>
            <w:pPr>
              <w:pStyle w:val="TableContents"/>
              <w:bidi w:val="0"/>
              <w:spacing w:before="0" w:after="0"/>
              <w:ind w:left="0" w:right="0" w:hanging="0"/>
              <w:jc w:val="center"/>
              <w:rPr/>
            </w:pPr>
            <w:r>
              <w:rPr/>
              <w:t>    </w:t>
            </w:r>
          </w:p>
        </w:tc>
        <w:tc>
          <w:tcPr>
            <w:tcW w:w="98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center"/>
              <w:rPr/>
            </w:pPr>
            <w:r>
              <w:rPr/>
              <w:t>    </w:t>
            </w:r>
          </w:p>
        </w:tc>
        <w:tc>
          <w:tcPr>
            <w:tcW w:w="12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Beneficiaries of</w:t>
            </w:r>
          </w:p>
        </w:tc>
        <w:tc>
          <w:tcPr>
            <w:tcW w:w="326" w:type="dxa"/>
            <w:tcBorders/>
            <w:vAlign w:val="center"/>
          </w:tcPr>
          <w:p>
            <w:pPr>
              <w:pStyle w:val="TableContents"/>
              <w:bidi w:val="0"/>
              <w:spacing w:before="0" w:after="0"/>
              <w:ind w:left="0" w:right="0" w:hanging="0"/>
              <w:jc w:val="center"/>
              <w:rPr/>
            </w:pPr>
            <w:r>
              <w:rPr/>
              <w:t>    </w:t>
            </w:r>
          </w:p>
        </w:tc>
        <w:tc>
          <w:tcPr>
            <w:tcW w:w="98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their</w:t>
            </w:r>
          </w:p>
        </w:tc>
        <w:tc>
          <w:tcPr>
            <w:tcW w:w="326" w:type="dxa"/>
            <w:tcBorders/>
            <w:vAlign w:val="center"/>
          </w:tcPr>
          <w:p>
            <w:pPr>
              <w:pStyle w:val="TableContents"/>
              <w:bidi w:val="0"/>
              <w:spacing w:before="0" w:after="0"/>
              <w:ind w:left="0" w:right="0" w:hanging="0"/>
              <w:jc w:val="center"/>
              <w:rPr/>
            </w:pPr>
            <w:r>
              <w:rPr/>
              <w:t>    </w:t>
            </w:r>
          </w:p>
        </w:tc>
        <w:tc>
          <w:tcPr>
            <w:tcW w:w="98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Eliminating</w:t>
            </w:r>
          </w:p>
        </w:tc>
        <w:tc>
          <w:tcPr>
            <w:tcW w:w="326" w:type="dxa"/>
            <w:tcBorders/>
            <w:vAlign w:val="center"/>
          </w:tcPr>
          <w:p>
            <w:pPr>
              <w:pStyle w:val="TableContents"/>
              <w:bidi w:val="0"/>
              <w:spacing w:before="0" w:after="0"/>
              <w:ind w:left="0" w:right="0" w:hanging="0"/>
              <w:jc w:val="center"/>
              <w:rPr/>
            </w:pPr>
            <w:r>
              <w:rPr/>
              <w:t>    </w:t>
            </w:r>
          </w:p>
        </w:tc>
        <w:tc>
          <w:tcPr>
            <w:tcW w:w="109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00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w:t>
            </w:r>
          </w:p>
        </w:tc>
        <w:tc>
          <w:tcPr>
            <w:tcW w:w="326" w:type="dxa"/>
            <w:tcBorders/>
            <w:vAlign w:val="center"/>
          </w:tcPr>
          <w:p>
            <w:pPr>
              <w:pStyle w:val="TableContents"/>
              <w:bidi w:val="0"/>
              <w:spacing w:before="0" w:after="0"/>
              <w:ind w:left="0" w:right="0" w:hanging="0"/>
              <w:jc w:val="center"/>
              <w:rPr/>
            </w:pPr>
            <w:r>
              <w:rPr/>
              <w:t>​</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vAlign w:val="center"/>
          </w:tcPr>
          <w:p>
            <w:pPr>
              <w:pStyle w:val="TableContents"/>
              <w:bidi w:val="0"/>
              <w:spacing w:before="0" w:after="0"/>
              <w:ind w:left="0" w:right="0" w:hanging="0"/>
              <w:jc w:val="center"/>
              <w:rPr/>
            </w:pPr>
            <w:r>
              <w:rPr/>
              <w:t>​</w:t>
            </w:r>
          </w:p>
        </w:tc>
        <w:tc>
          <w:tcPr>
            <w:tcW w:w="12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VIEs</w:t>
            </w:r>
          </w:p>
        </w:tc>
        <w:tc>
          <w:tcPr>
            <w:tcW w:w="326" w:type="dxa"/>
            <w:tcBorders/>
            <w:vAlign w:val="center"/>
          </w:tcPr>
          <w:p>
            <w:pPr>
              <w:pStyle w:val="TableContents"/>
              <w:bidi w:val="0"/>
              <w:spacing w:before="0" w:after="0"/>
              <w:ind w:left="0" w:right="0" w:hanging="0"/>
              <w:jc w:val="center"/>
              <w:rPr/>
            </w:pPr>
            <w:r>
              <w:rPr/>
              <w:t>​</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vAlign w:val="center"/>
          </w:tcPr>
          <w:p>
            <w:pPr>
              <w:pStyle w:val="TableContents"/>
              <w:bidi w:val="0"/>
              <w:spacing w:before="0" w:after="0"/>
              <w:ind w:left="0" w:right="0" w:hanging="0"/>
              <w:jc w:val="center"/>
              <w:rPr/>
            </w:pPr>
            <w:r>
              <w:rPr/>
              <w:t>​</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26" w:type="dxa"/>
            <w:tcBorders/>
            <w:vAlign w:val="center"/>
          </w:tcPr>
          <w:p>
            <w:pPr>
              <w:pStyle w:val="TableContents"/>
              <w:bidi w:val="0"/>
              <w:spacing w:before="0" w:after="0"/>
              <w:ind w:left="0" w:right="0" w:hanging="0"/>
              <w:jc w:val="center"/>
              <w:rPr/>
            </w:pPr>
            <w:r>
              <w:rPr/>
              <w:t>​</w:t>
            </w:r>
          </w:p>
        </w:tc>
        <w:tc>
          <w:tcPr>
            <w:tcW w:w="109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totals</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00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879" w:type="dxa"/>
            <w:gridSpan w:val="11"/>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(RMB in thousands)</w:t>
            </w:r>
          </w:p>
        </w:tc>
      </w:tr>
      <w:tr>
        <w:trPr/>
        <w:tc>
          <w:tcPr>
            <w:tcW w:w="2000"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98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8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8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8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097" w:type="dxa"/>
            <w:tcBorders/>
            <w:shd w:fill="CCEEFF" w:val="clear"/>
            <w:vAlign w:val="center"/>
          </w:tcPr>
          <w:p>
            <w:pPr>
              <w:pStyle w:val="TableContents"/>
              <w:bidi w:val="0"/>
              <w:spacing w:before="0" w:after="0"/>
              <w:ind w:left="0" w:right="0" w:hanging="0"/>
              <w:jc w:val="right"/>
              <w:rPr/>
            </w:pPr>
            <w:r>
              <w:rPr/>
              <w:t>  </w:t>
            </w:r>
          </w:p>
        </w:tc>
      </w:tr>
      <w:tr>
        <w:trPr/>
        <w:tc>
          <w:tcPr>
            <w:tcW w:w="2000"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(used in)/provided by transactions with third-parties</w:t>
            </w:r>
          </w:p>
        </w:tc>
        <w:tc>
          <w:tcPr>
            <w:tcW w:w="326" w:type="dxa"/>
            <w:tcBorders/>
            <w:vAlign w:val="center"/>
          </w:tcPr>
          <w:p>
            <w:pPr>
              <w:pStyle w:val="TableContents"/>
              <w:bidi w:val="0"/>
              <w:spacing w:before="0" w:after="0"/>
              <w:ind w:left="0" w:right="0" w:hanging="0"/>
              <w:jc w:val="left"/>
              <w:rPr/>
            </w:pPr>
            <w:r>
              <w:rPr/>
              <w:t> </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(117,844)</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221,977</w:t>
            </w:r>
          </w:p>
        </w:tc>
        <w:tc>
          <w:tcPr>
            <w:tcW w:w="32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(36,449,437)</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61,272,031</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24,926,727</w:t>
            </w:r>
          </w:p>
        </w:tc>
      </w:tr>
      <w:tr>
        <w:trPr/>
        <w:tc>
          <w:tcPr>
            <w:tcW w:w="200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provided by/ (used in) transactions with intra-Group companies related to technical consulting and related service</w:t>
            </w:r>
          </w:p>
        </w:tc>
        <w:tc>
          <w:tcPr>
            <w:tcW w:w="326" w:type="dxa"/>
            <w:tcBorders/>
            <w:shd w:fill="CCEEFF" w:val="clear"/>
            <w:vAlign w:val="center"/>
          </w:tcPr>
          <w:p>
            <w:pPr>
              <w:pStyle w:val="TableContents"/>
              <w:bidi w:val="0"/>
              <w:spacing w:before="0" w:after="0"/>
              <w:ind w:left="0" w:right="0" w:hanging="0"/>
              <w:jc w:val="left"/>
              <w:rPr/>
            </w:pPr>
            <w:r>
              <w:rPr/>
              <w:t> </w:t>
            </w:r>
          </w:p>
        </w:tc>
        <w:tc>
          <w:tcPr>
            <w:tcW w:w="9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1,070,594</w:t>
            </w:r>
          </w:p>
        </w:tc>
        <w:tc>
          <w:tcPr>
            <w:tcW w:w="32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58,368,958</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(59,439,552)</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7" w:type="dxa"/>
            <w:tcBorders/>
            <w:shd w:fill="CCEEFF" w:val="clear"/>
            <w:vAlign w:val="center"/>
          </w:tcPr>
          <w:p>
            <w:pPr>
              <w:pStyle w:val="TableContents"/>
              <w:bidi w:val="0"/>
              <w:spacing w:before="0" w:after="0"/>
              <w:ind w:left="0" w:right="0" w:hanging="0"/>
              <w:jc w:val="right"/>
              <w:rPr/>
            </w:pPr>
            <w:r>
              <w:rPr/>
              <w:t>—</w:t>
            </w:r>
          </w:p>
        </w:tc>
      </w:tr>
      <w:tr>
        <w:trPr/>
        <w:tc>
          <w:tcPr>
            <w:tcW w:w="2000" w:type="dxa"/>
            <w:tcBorders/>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Dividends received from subsidiaries and VIEs </w:t>
            </w:r>
            <w:r>
              <w:rPr>
                <w:rFonts w:ascii="Times New Roman;Times;serif" w:hAnsi="Times New Roman;Times;serif"/>
                <w:sz w:val="12"/>
              </w:rPr>
              <w:t>(5)</w:t>
            </w:r>
          </w:p>
        </w:tc>
        <w:tc>
          <w:tcPr>
            <w:tcW w:w="326" w:type="dxa"/>
            <w:tcBorders/>
            <w:vAlign w:val="center"/>
          </w:tcPr>
          <w:p>
            <w:pPr>
              <w:pStyle w:val="TableContents"/>
              <w:bidi w:val="0"/>
              <w:spacing w:before="0" w:after="0"/>
              <w:ind w:left="0" w:right="0" w:hanging="0"/>
              <w:jc w:val="left"/>
              <w:rPr/>
            </w:pPr>
            <w:r>
              <w:rPr/>
              <w:t> </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731,250</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6,510,526</w:t>
            </w:r>
          </w:p>
        </w:tc>
        <w:tc>
          <w:tcPr>
            <w:tcW w:w="32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(7,241,776)</w:t>
            </w:r>
          </w:p>
        </w:tc>
        <w:tc>
          <w:tcPr>
            <w:tcW w:w="326"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0"/>
              <w:ind w:left="0" w:right="0" w:hanging="0"/>
              <w:jc w:val="right"/>
              <w:rPr/>
            </w:pPr>
            <w:r>
              <w:rPr/>
              <w:t>—</w:t>
            </w:r>
          </w:p>
        </w:tc>
      </w:tr>
      <w:tr>
        <w:trPr/>
        <w:tc>
          <w:tcPr>
            <w:tcW w:w="200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(used in)/ provided by other transactions with intra-Group companies</w:t>
            </w:r>
          </w:p>
        </w:tc>
        <w:tc>
          <w:tcPr>
            <w:tcW w:w="326" w:type="dxa"/>
            <w:tcBorders/>
            <w:shd w:fill="CCEEFF" w:val="clear"/>
            <w:vAlign w:val="center"/>
          </w:tcPr>
          <w:p>
            <w:pPr>
              <w:pStyle w:val="TableContents"/>
              <w:bidi w:val="0"/>
              <w:spacing w:before="0" w:after="0"/>
              <w:ind w:left="0" w:right="0" w:hanging="0"/>
              <w:jc w:val="left"/>
              <w:rPr/>
            </w:pPr>
            <w:r>
              <w:rPr/>
              <w:t> </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(381)</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87,037</w:t>
            </w:r>
          </w:p>
        </w:tc>
        <w:tc>
          <w:tcPr>
            <w:tcW w:w="326" w:type="dxa"/>
            <w:tcBorders/>
            <w:shd w:fill="CCEEFF" w:val="clear"/>
            <w:vAlign w:val="center"/>
          </w:tcPr>
          <w:p>
            <w:pPr>
              <w:pStyle w:val="TableContents"/>
              <w:bidi w:val="0"/>
              <w:spacing w:before="0" w:after="0"/>
              <w:ind w:left="0" w:right="0" w:hanging="0"/>
              <w:jc w:val="left"/>
              <w:rPr/>
            </w:pPr>
            <w:r>
              <w:rPr/>
              <w:t>​</w:t>
            </w:r>
          </w:p>
        </w:tc>
        <w:tc>
          <w:tcPr>
            <w:tcW w:w="12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196,965</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(283,621)</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000"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provided by operating activities</w:t>
            </w:r>
          </w:p>
        </w:tc>
        <w:tc>
          <w:tcPr>
            <w:tcW w:w="326" w:type="dxa"/>
            <w:tcBorders/>
            <w:vAlign w:val="center"/>
          </w:tcPr>
          <w:p>
            <w:pPr>
              <w:pStyle w:val="TableContents"/>
              <w:bidi w:val="0"/>
              <w:spacing w:before="0" w:after="0"/>
              <w:ind w:left="0" w:right="0" w:hanging="0"/>
              <w:jc w:val="left"/>
              <w:rPr/>
            </w:pPr>
            <w:r>
              <w:rPr/>
              <w:t> </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613,025</w:t>
            </w:r>
          </w:p>
        </w:tc>
        <w:tc>
          <w:tcPr>
            <w:tcW w:w="326" w:type="dxa"/>
            <w:tcBorders/>
            <w:vAlign w:val="center"/>
          </w:tcPr>
          <w:p>
            <w:pPr>
              <w:pStyle w:val="TableContents"/>
              <w:bidi w:val="0"/>
              <w:spacing w:before="0" w:after="0"/>
              <w:ind w:left="0" w:right="0" w:hanging="0"/>
              <w:jc w:val="left"/>
              <w:rPr/>
            </w:pPr>
            <w:r>
              <w:rPr/>
              <w:t>​</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7,890,134</w:t>
            </w:r>
          </w:p>
        </w:tc>
        <w:tc>
          <w:tcPr>
            <w:tcW w:w="326" w:type="dxa"/>
            <w:tcBorders/>
            <w:vAlign w:val="center"/>
          </w:tcPr>
          <w:p>
            <w:pPr>
              <w:pStyle w:val="TableContents"/>
              <w:bidi w:val="0"/>
              <w:spacing w:before="0" w:after="0"/>
              <w:ind w:left="0" w:right="0" w:hanging="0"/>
              <w:jc w:val="left"/>
              <w:rPr/>
            </w:pPr>
            <w:r>
              <w:rPr/>
              <w:t>​</w:t>
            </w:r>
          </w:p>
        </w:tc>
        <w:tc>
          <w:tcPr>
            <w:tcW w:w="12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22,116,486</w:t>
            </w:r>
          </w:p>
        </w:tc>
        <w:tc>
          <w:tcPr>
            <w:tcW w:w="326" w:type="dxa"/>
            <w:tcBorders/>
            <w:vAlign w:val="center"/>
          </w:tcPr>
          <w:p>
            <w:pPr>
              <w:pStyle w:val="TableContents"/>
              <w:bidi w:val="0"/>
              <w:spacing w:before="0" w:after="0"/>
              <w:ind w:left="0" w:right="0" w:hanging="0"/>
              <w:jc w:val="left"/>
              <w:rPr/>
            </w:pPr>
            <w:r>
              <w:rPr/>
              <w:t>​</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1,548,858</w:t>
            </w:r>
          </w:p>
        </w:tc>
        <w:tc>
          <w:tcPr>
            <w:tcW w:w="326" w:type="dxa"/>
            <w:tcBorders/>
            <w:vAlign w:val="center"/>
          </w:tcPr>
          <w:p>
            <w:pPr>
              <w:pStyle w:val="TableContents"/>
              <w:bidi w:val="0"/>
              <w:spacing w:before="0" w:after="0"/>
              <w:ind w:left="0" w:right="0" w:hanging="0"/>
              <w:jc w:val="left"/>
              <w:rPr/>
            </w:pPr>
            <w:r>
              <w:rPr/>
              <w:t>​</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(7,241,776)</w:t>
            </w:r>
          </w:p>
        </w:tc>
        <w:tc>
          <w:tcPr>
            <w:tcW w:w="326" w:type="dxa"/>
            <w:tcBorders/>
            <w:vAlign w:val="center"/>
          </w:tcPr>
          <w:p>
            <w:pPr>
              <w:pStyle w:val="TableContents"/>
              <w:bidi w:val="0"/>
              <w:spacing w:before="0" w:after="0"/>
              <w:ind w:left="0" w:right="0" w:hanging="0"/>
              <w:jc w:val="left"/>
              <w:rPr/>
            </w:pPr>
            <w:r>
              <w:rPr/>
              <w:t>​</w:t>
            </w:r>
          </w:p>
        </w:tc>
        <w:tc>
          <w:tcPr>
            <w:tcW w:w="10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24,926,727</w:t>
            </w:r>
          </w:p>
        </w:tc>
      </w:tr>
      <w:tr>
        <w:trPr/>
        <w:tc>
          <w:tcPr>
            <w:tcW w:w="2000"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from investing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98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8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8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8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097" w:type="dxa"/>
            <w:tcBorders/>
            <w:shd w:fill="CCEEFF" w:val="clear"/>
            <w:vAlign w:val="center"/>
          </w:tcPr>
          <w:p>
            <w:pPr>
              <w:pStyle w:val="TableContents"/>
              <w:bidi w:val="0"/>
              <w:spacing w:before="0" w:after="0"/>
              <w:ind w:left="0" w:right="0" w:hanging="0"/>
              <w:jc w:val="right"/>
              <w:rPr/>
            </w:pPr>
            <w:r>
              <w:rPr/>
              <w:t>  </w:t>
            </w:r>
          </w:p>
        </w:tc>
      </w:tr>
      <w:tr>
        <w:trPr/>
        <w:tc>
          <w:tcPr>
            <w:tcW w:w="2000"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provided by/ (used in) transactions with third-parties</w:t>
            </w:r>
          </w:p>
        </w:tc>
        <w:tc>
          <w:tcPr>
            <w:tcW w:w="326" w:type="dxa"/>
            <w:tcBorders/>
            <w:vAlign w:val="center"/>
          </w:tcPr>
          <w:p>
            <w:pPr>
              <w:pStyle w:val="TableContents"/>
              <w:bidi w:val="0"/>
              <w:spacing w:before="0" w:after="0"/>
              <w:ind w:left="0" w:right="0" w:hanging="0"/>
              <w:jc w:val="left"/>
              <w:rPr/>
            </w:pPr>
            <w:r>
              <w:rPr/>
              <w:t> </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127,015</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4,315,478</w:t>
            </w:r>
          </w:p>
        </w:tc>
        <w:tc>
          <w:tcPr>
            <w:tcW w:w="32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(11,481,357)</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(39,430)</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(7,078,294)</w:t>
            </w:r>
          </w:p>
        </w:tc>
      </w:tr>
      <w:tr>
        <w:trPr/>
        <w:tc>
          <w:tcPr>
            <w:tcW w:w="2000"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Loans made to intra-Group companies </w:t>
            </w:r>
            <w:r>
              <w:rPr>
                <w:rFonts w:ascii="Times New Roman;Times;serif" w:hAnsi="Times New Roman;Times;serif"/>
                <w:sz w:val="12"/>
              </w:rPr>
              <w:t>(6)</w:t>
            </w:r>
          </w:p>
        </w:tc>
        <w:tc>
          <w:tcPr>
            <w:tcW w:w="326" w:type="dxa"/>
            <w:tcBorders/>
            <w:shd w:fill="CCEEFF" w:val="clear"/>
            <w:vAlign w:val="center"/>
          </w:tcPr>
          <w:p>
            <w:pPr>
              <w:pStyle w:val="TableContents"/>
              <w:bidi w:val="0"/>
              <w:spacing w:before="0" w:after="0"/>
              <w:ind w:left="0" w:right="0" w:hanging="0"/>
              <w:jc w:val="left"/>
              <w:rPr/>
            </w:pPr>
            <w:r>
              <w:rPr/>
              <w:t> </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(5,549,688)</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(21,611,930)</w:t>
            </w:r>
          </w:p>
        </w:tc>
        <w:tc>
          <w:tcPr>
            <w:tcW w:w="32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(783,842)</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27,945,460</w:t>
            </w:r>
          </w:p>
        </w:tc>
        <w:tc>
          <w:tcPr>
            <w:tcW w:w="326" w:type="dxa"/>
            <w:tcBorders/>
            <w:shd w:fill="CCEEFF" w:val="clear"/>
            <w:vAlign w:val="center"/>
          </w:tcPr>
          <w:p>
            <w:pPr>
              <w:pStyle w:val="TableContents"/>
              <w:bidi w:val="0"/>
              <w:spacing w:before="0" w:after="0"/>
              <w:ind w:left="0" w:right="0" w:hanging="0"/>
              <w:jc w:val="left"/>
              <w:rPr/>
            </w:pPr>
            <w:r>
              <w:rPr/>
              <w:t>​</w:t>
            </w:r>
          </w:p>
        </w:tc>
        <w:tc>
          <w:tcPr>
            <w:tcW w:w="1097" w:type="dxa"/>
            <w:tcBorders/>
            <w:shd w:fill="CCEEFF" w:val="clear"/>
            <w:vAlign w:val="center"/>
          </w:tcPr>
          <w:p>
            <w:pPr>
              <w:pStyle w:val="TableContents"/>
              <w:bidi w:val="0"/>
              <w:spacing w:before="0" w:after="0"/>
              <w:ind w:left="0" w:right="0" w:hanging="0"/>
              <w:jc w:val="right"/>
              <w:rPr/>
            </w:pPr>
            <w:r>
              <w:rPr/>
              <w:t>—</w:t>
            </w:r>
          </w:p>
        </w:tc>
      </w:tr>
      <w:tr>
        <w:trPr/>
        <w:tc>
          <w:tcPr>
            <w:tcW w:w="2000" w:type="dxa"/>
            <w:tcBorders/>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Loans repaid by intra-Group companies </w:t>
            </w:r>
            <w:r>
              <w:rPr>
                <w:rFonts w:ascii="Times New Roman;Times;serif" w:hAnsi="Times New Roman;Times;serif"/>
                <w:sz w:val="12"/>
              </w:rPr>
              <w:t>(6)</w:t>
            </w:r>
          </w:p>
        </w:tc>
        <w:tc>
          <w:tcPr>
            <w:tcW w:w="326" w:type="dxa"/>
            <w:tcBorders/>
            <w:vAlign w:val="center"/>
          </w:tcPr>
          <w:p>
            <w:pPr>
              <w:pStyle w:val="TableContents"/>
              <w:bidi w:val="0"/>
              <w:spacing w:before="0" w:after="0"/>
              <w:ind w:left="0" w:right="0" w:hanging="0"/>
              <w:jc w:val="left"/>
              <w:rPr/>
            </w:pPr>
            <w:r>
              <w:rPr/>
              <w:t> </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8,730,730</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6,749,175</w:t>
            </w:r>
          </w:p>
        </w:tc>
        <w:tc>
          <w:tcPr>
            <w:tcW w:w="32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272,944</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(15,752,849)</w:t>
            </w:r>
          </w:p>
        </w:tc>
        <w:tc>
          <w:tcPr>
            <w:tcW w:w="326"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0"/>
              <w:ind w:left="0" w:right="0" w:hanging="0"/>
              <w:jc w:val="right"/>
              <w:rPr/>
            </w:pPr>
            <w:r>
              <w:rPr/>
              <w:t>—</w:t>
            </w:r>
          </w:p>
        </w:tc>
      </w:tr>
      <w:tr>
        <w:trPr/>
        <w:tc>
          <w:tcPr>
            <w:tcW w:w="2000"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Other investing activities with intra-Group companies </w:t>
            </w:r>
            <w:r>
              <w:rPr>
                <w:rFonts w:ascii="Times New Roman;Times;serif" w:hAnsi="Times New Roman;Times;serif"/>
                <w:sz w:val="12"/>
              </w:rPr>
              <w:t>(7)</w:t>
            </w:r>
          </w:p>
        </w:tc>
        <w:tc>
          <w:tcPr>
            <w:tcW w:w="326" w:type="dxa"/>
            <w:tcBorders/>
            <w:shd w:fill="CCEEFF" w:val="clear"/>
            <w:vAlign w:val="center"/>
          </w:tcPr>
          <w:p>
            <w:pPr>
              <w:pStyle w:val="TableContents"/>
              <w:bidi w:val="0"/>
              <w:spacing w:before="0" w:after="0"/>
              <w:ind w:left="0" w:right="0" w:hanging="0"/>
              <w:jc w:val="left"/>
              <w:rPr/>
            </w:pPr>
            <w:r>
              <w:rPr/>
              <w:t> </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(1,307,026)</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(604,322)</w:t>
            </w:r>
          </w:p>
        </w:tc>
        <w:tc>
          <w:tcPr>
            <w:tcW w:w="326" w:type="dxa"/>
            <w:tcBorders/>
            <w:shd w:fill="CCEEFF" w:val="clear"/>
            <w:vAlign w:val="center"/>
          </w:tcPr>
          <w:p>
            <w:pPr>
              <w:pStyle w:val="TableContents"/>
              <w:bidi w:val="0"/>
              <w:spacing w:before="0" w:after="0"/>
              <w:ind w:left="0" w:right="0" w:hanging="0"/>
              <w:jc w:val="left"/>
              <w:rPr/>
            </w:pPr>
            <w:r>
              <w:rPr/>
              <w:t>​</w:t>
            </w:r>
          </w:p>
        </w:tc>
        <w:tc>
          <w:tcPr>
            <w:tcW w:w="12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(4,600)</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1,915,948</w:t>
            </w:r>
          </w:p>
        </w:tc>
        <w:tc>
          <w:tcPr>
            <w:tcW w:w="326" w:type="dxa"/>
            <w:tcBorders/>
            <w:shd w:fill="CCEEFF" w:val="clear"/>
            <w:vAlign w:val="center"/>
          </w:tcPr>
          <w:p>
            <w:pPr>
              <w:pStyle w:val="TableContents"/>
              <w:bidi w:val="0"/>
              <w:spacing w:before="0" w:after="0"/>
              <w:ind w:left="0" w:right="0" w:hanging="0"/>
              <w:jc w:val="left"/>
              <w:rPr/>
            </w:pPr>
            <w:r>
              <w:rPr/>
              <w:t>​</w:t>
            </w:r>
          </w:p>
        </w:tc>
        <w:tc>
          <w:tcPr>
            <w:tcW w:w="10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000"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provided by/ (used in) investing activities</w:t>
            </w:r>
          </w:p>
        </w:tc>
        <w:tc>
          <w:tcPr>
            <w:tcW w:w="326" w:type="dxa"/>
            <w:tcBorders/>
            <w:vAlign w:val="center"/>
          </w:tcPr>
          <w:p>
            <w:pPr>
              <w:pStyle w:val="TableContents"/>
              <w:bidi w:val="0"/>
              <w:spacing w:before="0" w:after="0"/>
              <w:ind w:left="0" w:right="0" w:hanging="0"/>
              <w:jc w:val="left"/>
              <w:rPr/>
            </w:pPr>
            <w:r>
              <w:rPr/>
              <w:t> </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2,001,031</w:t>
            </w:r>
          </w:p>
        </w:tc>
        <w:tc>
          <w:tcPr>
            <w:tcW w:w="326" w:type="dxa"/>
            <w:tcBorders/>
            <w:vAlign w:val="center"/>
          </w:tcPr>
          <w:p>
            <w:pPr>
              <w:pStyle w:val="TableContents"/>
              <w:bidi w:val="0"/>
              <w:spacing w:before="0" w:after="0"/>
              <w:ind w:left="0" w:right="0" w:hanging="0"/>
              <w:jc w:val="left"/>
              <w:rPr/>
            </w:pPr>
            <w:r>
              <w:rPr/>
              <w:t>​</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(11,151,599)</w:t>
            </w:r>
          </w:p>
        </w:tc>
        <w:tc>
          <w:tcPr>
            <w:tcW w:w="326" w:type="dxa"/>
            <w:tcBorders/>
            <w:vAlign w:val="center"/>
          </w:tcPr>
          <w:p>
            <w:pPr>
              <w:pStyle w:val="TableContents"/>
              <w:bidi w:val="0"/>
              <w:spacing w:before="0" w:after="0"/>
              <w:ind w:left="0" w:right="0" w:hanging="0"/>
              <w:jc w:val="left"/>
              <w:rPr/>
            </w:pPr>
            <w:r>
              <w:rPr/>
              <w:t>​</w:t>
            </w:r>
          </w:p>
        </w:tc>
        <w:tc>
          <w:tcPr>
            <w:tcW w:w="12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(11,996,855)</w:t>
            </w:r>
          </w:p>
        </w:tc>
        <w:tc>
          <w:tcPr>
            <w:tcW w:w="326" w:type="dxa"/>
            <w:tcBorders/>
            <w:vAlign w:val="center"/>
          </w:tcPr>
          <w:p>
            <w:pPr>
              <w:pStyle w:val="TableContents"/>
              <w:bidi w:val="0"/>
              <w:spacing w:before="0" w:after="0"/>
              <w:ind w:left="0" w:right="0" w:hanging="0"/>
              <w:jc w:val="left"/>
              <w:rPr/>
            </w:pPr>
            <w:r>
              <w:rPr/>
              <w:t>​</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(39,430)</w:t>
            </w:r>
          </w:p>
        </w:tc>
        <w:tc>
          <w:tcPr>
            <w:tcW w:w="326" w:type="dxa"/>
            <w:tcBorders/>
            <w:vAlign w:val="center"/>
          </w:tcPr>
          <w:p>
            <w:pPr>
              <w:pStyle w:val="TableContents"/>
              <w:bidi w:val="0"/>
              <w:spacing w:before="0" w:after="0"/>
              <w:ind w:left="0" w:right="0" w:hanging="0"/>
              <w:jc w:val="left"/>
              <w:rPr/>
            </w:pPr>
            <w:r>
              <w:rPr/>
              <w:t>​</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14,108,559</w:t>
            </w:r>
          </w:p>
        </w:tc>
        <w:tc>
          <w:tcPr>
            <w:tcW w:w="326" w:type="dxa"/>
            <w:tcBorders/>
            <w:vAlign w:val="center"/>
          </w:tcPr>
          <w:p>
            <w:pPr>
              <w:pStyle w:val="TableContents"/>
              <w:bidi w:val="0"/>
              <w:spacing w:before="0" w:after="0"/>
              <w:ind w:left="0" w:right="0" w:hanging="0"/>
              <w:jc w:val="left"/>
              <w:rPr/>
            </w:pPr>
            <w:r>
              <w:rPr/>
              <w:t>​</w:t>
            </w:r>
          </w:p>
        </w:tc>
        <w:tc>
          <w:tcPr>
            <w:tcW w:w="10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(7,078,294)</w:t>
            </w:r>
          </w:p>
        </w:tc>
      </w:tr>
      <w:tr>
        <w:trPr/>
        <w:tc>
          <w:tcPr>
            <w:tcW w:w="2000"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from financing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98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8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8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8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097" w:type="dxa"/>
            <w:tcBorders/>
            <w:shd w:fill="CCEEFF" w:val="clear"/>
            <w:vAlign w:val="center"/>
          </w:tcPr>
          <w:p>
            <w:pPr>
              <w:pStyle w:val="TableContents"/>
              <w:bidi w:val="0"/>
              <w:spacing w:before="0" w:after="0"/>
              <w:ind w:left="0" w:right="0" w:hanging="0"/>
              <w:jc w:val="right"/>
              <w:rPr/>
            </w:pPr>
            <w:r>
              <w:rPr/>
              <w:t>  </w:t>
            </w:r>
          </w:p>
        </w:tc>
      </w:tr>
      <w:tr>
        <w:trPr/>
        <w:tc>
          <w:tcPr>
            <w:tcW w:w="2000"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(used in)/provided by transactions with third-parties</w:t>
            </w:r>
          </w:p>
        </w:tc>
        <w:tc>
          <w:tcPr>
            <w:tcW w:w="326" w:type="dxa"/>
            <w:tcBorders/>
            <w:vAlign w:val="center"/>
          </w:tcPr>
          <w:p>
            <w:pPr>
              <w:pStyle w:val="TableContents"/>
              <w:bidi w:val="0"/>
              <w:spacing w:before="0" w:after="0"/>
              <w:ind w:left="0" w:right="0" w:hanging="0"/>
              <w:jc w:val="left"/>
              <w:rPr/>
            </w:pPr>
            <w:r>
              <w:rPr/>
              <w:t> </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(15,854,237)</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3,246,955</w:t>
            </w:r>
          </w:p>
        </w:tc>
        <w:tc>
          <w:tcPr>
            <w:tcW w:w="32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700,000</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(678,287)</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(12,585,569)</w:t>
            </w:r>
          </w:p>
        </w:tc>
      </w:tr>
      <w:tr>
        <w:trPr/>
        <w:tc>
          <w:tcPr>
            <w:tcW w:w="2000"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Cash dividend paid to intra-Group companies </w:t>
            </w:r>
            <w:r>
              <w:rPr>
                <w:rFonts w:ascii="Times New Roman;Times;serif" w:hAnsi="Times New Roman;Times;serif"/>
                <w:sz w:val="12"/>
              </w:rPr>
              <w:t>(5)</w:t>
            </w:r>
          </w:p>
        </w:tc>
        <w:tc>
          <w:tcPr>
            <w:tcW w:w="326" w:type="dxa"/>
            <w:tcBorders/>
            <w:shd w:fill="CCEEFF" w:val="clear"/>
            <w:vAlign w:val="center"/>
          </w:tcPr>
          <w:p>
            <w:pPr>
              <w:pStyle w:val="TableContents"/>
              <w:bidi w:val="0"/>
              <w:spacing w:before="0" w:after="0"/>
              <w:ind w:left="0" w:right="0" w:hanging="0"/>
              <w:jc w:val="left"/>
              <w:rPr/>
            </w:pPr>
            <w:r>
              <w:rPr/>
              <w:t> </w:t>
            </w:r>
          </w:p>
        </w:tc>
        <w:tc>
          <w:tcPr>
            <w:tcW w:w="9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(6,510,526)</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(731,250)</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7,241,776</w:t>
            </w:r>
          </w:p>
        </w:tc>
        <w:tc>
          <w:tcPr>
            <w:tcW w:w="326" w:type="dxa"/>
            <w:tcBorders/>
            <w:shd w:fill="CCEEFF" w:val="clear"/>
            <w:vAlign w:val="center"/>
          </w:tcPr>
          <w:p>
            <w:pPr>
              <w:pStyle w:val="TableContents"/>
              <w:bidi w:val="0"/>
              <w:spacing w:before="0" w:after="0"/>
              <w:ind w:left="0" w:right="0" w:hanging="0"/>
              <w:jc w:val="left"/>
              <w:rPr/>
            </w:pPr>
            <w:r>
              <w:rPr/>
              <w:t>​</w:t>
            </w:r>
          </w:p>
        </w:tc>
        <w:tc>
          <w:tcPr>
            <w:tcW w:w="1097" w:type="dxa"/>
            <w:tcBorders/>
            <w:shd w:fill="CCEEFF" w:val="clear"/>
            <w:vAlign w:val="center"/>
          </w:tcPr>
          <w:p>
            <w:pPr>
              <w:pStyle w:val="TableContents"/>
              <w:bidi w:val="0"/>
              <w:spacing w:before="0" w:after="0"/>
              <w:ind w:left="0" w:right="0" w:hanging="0"/>
              <w:jc w:val="right"/>
              <w:rPr/>
            </w:pPr>
            <w:r>
              <w:rPr/>
              <w:t>—</w:t>
            </w:r>
          </w:p>
        </w:tc>
      </w:tr>
      <w:tr>
        <w:trPr/>
        <w:tc>
          <w:tcPr>
            <w:tcW w:w="2000" w:type="dxa"/>
            <w:tcBorders/>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Loans received from intra-Group companies </w:t>
            </w:r>
            <w:r>
              <w:rPr>
                <w:rFonts w:ascii="Times New Roman;Times;serif" w:hAnsi="Times New Roman;Times;serif"/>
                <w:sz w:val="12"/>
              </w:rPr>
              <w:t>(6)</w:t>
            </w:r>
          </w:p>
        </w:tc>
        <w:tc>
          <w:tcPr>
            <w:tcW w:w="326" w:type="dxa"/>
            <w:tcBorders/>
            <w:vAlign w:val="center"/>
          </w:tcPr>
          <w:p>
            <w:pPr>
              <w:pStyle w:val="TableContents"/>
              <w:bidi w:val="0"/>
              <w:spacing w:before="0" w:after="0"/>
              <w:ind w:left="0" w:right="0" w:hanging="0"/>
              <w:jc w:val="left"/>
              <w:rPr/>
            </w:pPr>
            <w:r>
              <w:rPr/>
              <w:t> </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19,965,792</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6,137,790</w:t>
            </w:r>
          </w:p>
        </w:tc>
        <w:tc>
          <w:tcPr>
            <w:tcW w:w="32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1,646,137</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195,741</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(27,945,460)</w:t>
            </w:r>
          </w:p>
        </w:tc>
        <w:tc>
          <w:tcPr>
            <w:tcW w:w="326"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0"/>
              <w:ind w:left="0" w:right="0" w:hanging="0"/>
              <w:jc w:val="right"/>
              <w:rPr/>
            </w:pPr>
            <w:r>
              <w:rPr/>
              <w:t>—</w:t>
            </w:r>
          </w:p>
        </w:tc>
      </w:tr>
      <w:tr>
        <w:trPr/>
        <w:tc>
          <w:tcPr>
            <w:tcW w:w="2000"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Loans repaid to intra-Group companies </w:t>
            </w:r>
            <w:r>
              <w:rPr>
                <w:rFonts w:ascii="Times New Roman;Times;serif" w:hAnsi="Times New Roman;Times;serif"/>
                <w:sz w:val="12"/>
              </w:rPr>
              <w:t>(6)</w:t>
            </w:r>
          </w:p>
        </w:tc>
        <w:tc>
          <w:tcPr>
            <w:tcW w:w="326" w:type="dxa"/>
            <w:tcBorders/>
            <w:shd w:fill="CCEEFF" w:val="clear"/>
            <w:vAlign w:val="center"/>
          </w:tcPr>
          <w:p>
            <w:pPr>
              <w:pStyle w:val="TableContents"/>
              <w:bidi w:val="0"/>
              <w:spacing w:before="0" w:after="0"/>
              <w:ind w:left="0" w:right="0" w:hanging="0"/>
              <w:jc w:val="left"/>
              <w:rPr/>
            </w:pPr>
            <w:r>
              <w:rPr/>
              <w:t> </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(6,749,175)</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(8,916,374)</w:t>
            </w:r>
          </w:p>
        </w:tc>
        <w:tc>
          <w:tcPr>
            <w:tcW w:w="32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(87,300)</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15,752,849</w:t>
            </w:r>
          </w:p>
        </w:tc>
        <w:tc>
          <w:tcPr>
            <w:tcW w:w="326" w:type="dxa"/>
            <w:tcBorders/>
            <w:shd w:fill="CCEEFF" w:val="clear"/>
            <w:vAlign w:val="center"/>
          </w:tcPr>
          <w:p>
            <w:pPr>
              <w:pStyle w:val="TableContents"/>
              <w:bidi w:val="0"/>
              <w:spacing w:before="0" w:after="0"/>
              <w:ind w:left="0" w:right="0" w:hanging="0"/>
              <w:jc w:val="left"/>
              <w:rPr/>
            </w:pPr>
            <w:r>
              <w:rPr/>
              <w:t>​</w:t>
            </w:r>
          </w:p>
        </w:tc>
        <w:tc>
          <w:tcPr>
            <w:tcW w:w="1097" w:type="dxa"/>
            <w:tcBorders/>
            <w:shd w:fill="CCEEFF" w:val="clear"/>
            <w:vAlign w:val="center"/>
          </w:tcPr>
          <w:p>
            <w:pPr>
              <w:pStyle w:val="TableContents"/>
              <w:bidi w:val="0"/>
              <w:spacing w:before="0" w:after="0"/>
              <w:ind w:left="0" w:right="0" w:hanging="0"/>
              <w:jc w:val="right"/>
              <w:rPr/>
            </w:pPr>
            <w:r>
              <w:rPr/>
              <w:t>—</w:t>
            </w:r>
          </w:p>
        </w:tc>
      </w:tr>
      <w:tr>
        <w:trPr/>
        <w:tc>
          <w:tcPr>
            <w:tcW w:w="2000" w:type="dxa"/>
            <w:tcBorders/>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Other financing activities with intra-Group companies </w:t>
            </w:r>
            <w:r>
              <w:rPr>
                <w:rFonts w:ascii="Times New Roman;Times;serif" w:hAnsi="Times New Roman;Times;serif"/>
                <w:sz w:val="12"/>
              </w:rPr>
              <w:t>(7)</w:t>
            </w:r>
          </w:p>
        </w:tc>
        <w:tc>
          <w:tcPr>
            <w:tcW w:w="326" w:type="dxa"/>
            <w:tcBorders/>
            <w:vAlign w:val="center"/>
          </w:tcPr>
          <w:p>
            <w:pPr>
              <w:pStyle w:val="TableContents"/>
              <w:bidi w:val="0"/>
              <w:spacing w:before="0" w:after="0"/>
              <w:ind w:left="0" w:right="0" w:hanging="0"/>
              <w:jc w:val="left"/>
              <w:rPr/>
            </w:pPr>
            <w:r>
              <w:rPr/>
              <w:t> </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1,311,504</w:t>
            </w:r>
          </w:p>
        </w:tc>
        <w:tc>
          <w:tcPr>
            <w:tcW w:w="326" w:type="dxa"/>
            <w:tcBorders/>
            <w:vAlign w:val="center"/>
          </w:tcPr>
          <w:p>
            <w:pPr>
              <w:pStyle w:val="TableContents"/>
              <w:bidi w:val="0"/>
              <w:spacing w:before="0" w:after="0"/>
              <w:ind w:left="0" w:right="0" w:hanging="0"/>
              <w:jc w:val="left"/>
              <w:rPr/>
            </w:pPr>
            <w:r>
              <w:rPr/>
              <w:t>​</w:t>
            </w:r>
          </w:p>
        </w:tc>
        <w:tc>
          <w:tcPr>
            <w:tcW w:w="12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604,444</w:t>
            </w:r>
          </w:p>
        </w:tc>
        <w:tc>
          <w:tcPr>
            <w:tcW w:w="326" w:type="dxa"/>
            <w:tcBorders/>
            <w:vAlign w:val="center"/>
          </w:tcPr>
          <w:p>
            <w:pPr>
              <w:pStyle w:val="TableContents"/>
              <w:bidi w:val="0"/>
              <w:spacing w:before="0" w:after="0"/>
              <w:ind w:left="0" w:right="0" w:hanging="0"/>
              <w:jc w:val="left"/>
              <w:rPr/>
            </w:pPr>
            <w:r>
              <w:rPr/>
              <w:t>​</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(1,915,948)</w:t>
            </w:r>
          </w:p>
        </w:tc>
        <w:tc>
          <w:tcPr>
            <w:tcW w:w="326" w:type="dxa"/>
            <w:tcBorders/>
            <w:vAlign w:val="center"/>
          </w:tcPr>
          <w:p>
            <w:pPr>
              <w:pStyle w:val="TableContents"/>
              <w:bidi w:val="0"/>
              <w:spacing w:before="0" w:after="0"/>
              <w:ind w:left="0" w:right="0" w:hanging="0"/>
              <w:jc w:val="left"/>
              <w:rPr/>
            </w:pPr>
            <w:r>
              <w:rPr/>
              <w:t>​</w:t>
            </w:r>
          </w:p>
        </w:tc>
        <w:tc>
          <w:tcPr>
            <w:tcW w:w="109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000"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(used in)/ provided by financing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(2,637,620)</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1,779,875</w:t>
            </w:r>
          </w:p>
        </w:tc>
        <w:tc>
          <w:tcPr>
            <w:tcW w:w="326" w:type="dxa"/>
            <w:tcBorders/>
            <w:shd w:fill="CCEEFF" w:val="clear"/>
            <w:vAlign w:val="center"/>
          </w:tcPr>
          <w:p>
            <w:pPr>
              <w:pStyle w:val="TableContents"/>
              <w:bidi w:val="0"/>
              <w:spacing w:before="0" w:after="0"/>
              <w:ind w:left="0" w:right="0" w:hanging="0"/>
              <w:jc w:val="left"/>
              <w:rPr/>
            </w:pPr>
            <w:r>
              <w:rPr/>
              <w:t>​</w:t>
            </w:r>
          </w:p>
        </w:tc>
        <w:tc>
          <w:tcPr>
            <w:tcW w:w="12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(3,559,945)</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(1,301,096)</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(6,866,783)</w:t>
            </w:r>
          </w:p>
        </w:tc>
        <w:tc>
          <w:tcPr>
            <w:tcW w:w="326" w:type="dxa"/>
            <w:tcBorders/>
            <w:shd w:fill="CCEEFF" w:val="clear"/>
            <w:vAlign w:val="center"/>
          </w:tcPr>
          <w:p>
            <w:pPr>
              <w:pStyle w:val="TableContents"/>
              <w:bidi w:val="0"/>
              <w:spacing w:before="0" w:after="0"/>
              <w:ind w:left="0" w:right="0" w:hanging="0"/>
              <w:jc w:val="left"/>
              <w:rPr/>
            </w:pPr>
            <w:r>
              <w:rPr/>
              <w:t>​</w:t>
            </w:r>
          </w:p>
        </w:tc>
        <w:tc>
          <w:tcPr>
            <w:tcW w:w="10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(12,585,569)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000"/>
        <w:gridCol w:w="326"/>
        <w:gridCol w:w="984"/>
        <w:gridCol w:w="326"/>
        <w:gridCol w:w="984"/>
        <w:gridCol w:w="326"/>
        <w:gridCol w:w="1216"/>
        <w:gridCol w:w="326"/>
        <w:gridCol w:w="984"/>
        <w:gridCol w:w="326"/>
        <w:gridCol w:w="984"/>
        <w:gridCol w:w="326"/>
        <w:gridCol w:w="1097"/>
      </w:tblGrid>
      <w:tr>
        <w:trPr/>
        <w:tc>
          <w:tcPr>
            <w:tcW w:w="20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270000" cy="175260"/>
                      <wp:effectExtent l="0" t="0" r="0" b="0"/>
                      <wp:wrapNone/>
                      <wp:docPr id="216" name="Frame215"/>
                      <a:graphic xmlns:a="http://schemas.openxmlformats.org/drawingml/2006/main">
                        <a:graphicData uri="http://schemas.microsoft.com/office/word/2010/wordprocessingShape">
                          <wps:wsp>
                            <wps:cNvSpPr txBox="1"/>
                            <wps:spPr>
                              <a:xfrm>
                                <a:off x="0" y="0"/>
                                <a:ext cx="1270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07010" cy="175260"/>
                      <wp:effectExtent l="0" t="0" r="0" b="0"/>
                      <wp:wrapNone/>
                      <wp:docPr id="217" name="Frame2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24840" cy="175260"/>
                      <wp:effectExtent l="0" t="0" r="0" b="0"/>
                      <wp:wrapNone/>
                      <wp:docPr id="218" name="Frame217"/>
                      <a:graphic xmlns:a="http://schemas.openxmlformats.org/drawingml/2006/main">
                        <a:graphicData uri="http://schemas.microsoft.com/office/word/2010/wordprocessingShape">
                          <wps:wsp>
                            <wps:cNvSpPr txBox="1"/>
                            <wps:spPr>
                              <a:xfrm>
                                <a:off x="0" y="0"/>
                                <a:ext cx="624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07010" cy="175260"/>
                      <wp:effectExtent l="0" t="0" r="0" b="0"/>
                      <wp:wrapNone/>
                      <wp:docPr id="219" name="Frame2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24840" cy="175260"/>
                      <wp:effectExtent l="0" t="0" r="0" b="0"/>
                      <wp:wrapNone/>
                      <wp:docPr id="220" name="Frame219"/>
                      <a:graphic xmlns:a="http://schemas.openxmlformats.org/drawingml/2006/main">
                        <a:graphicData uri="http://schemas.microsoft.com/office/word/2010/wordprocessingShape">
                          <wps:wsp>
                            <wps:cNvSpPr txBox="1"/>
                            <wps:spPr>
                              <a:xfrm>
                                <a:off x="0" y="0"/>
                                <a:ext cx="624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07010" cy="175260"/>
                      <wp:effectExtent l="0" t="0" r="0" b="0"/>
                      <wp:wrapNone/>
                      <wp:docPr id="221" name="Frame2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772160" cy="175260"/>
                      <wp:effectExtent l="0" t="0" r="0" b="0"/>
                      <wp:wrapNone/>
                      <wp:docPr id="222" name="Frame221"/>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07010" cy="175260"/>
                      <wp:effectExtent l="0" t="0" r="0" b="0"/>
                      <wp:wrapNone/>
                      <wp:docPr id="223" name="Frame2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24840" cy="175260"/>
                      <wp:effectExtent l="0" t="0" r="0" b="0"/>
                      <wp:wrapNone/>
                      <wp:docPr id="224" name="Frame223"/>
                      <a:graphic xmlns:a="http://schemas.openxmlformats.org/drawingml/2006/main">
                        <a:graphicData uri="http://schemas.microsoft.com/office/word/2010/wordprocessingShape">
                          <wps:wsp>
                            <wps:cNvSpPr txBox="1"/>
                            <wps:spPr>
                              <a:xfrm>
                                <a:off x="0" y="0"/>
                                <a:ext cx="624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07010" cy="175260"/>
                      <wp:effectExtent l="0" t="0" r="0" b="0"/>
                      <wp:wrapNone/>
                      <wp:docPr id="225" name="Frame2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24840" cy="175260"/>
                      <wp:effectExtent l="0" t="0" r="0" b="0"/>
                      <wp:wrapNone/>
                      <wp:docPr id="226" name="Frame225"/>
                      <a:graphic xmlns:a="http://schemas.openxmlformats.org/drawingml/2006/main">
                        <a:graphicData uri="http://schemas.microsoft.com/office/word/2010/wordprocessingShape">
                          <wps:wsp>
                            <wps:cNvSpPr txBox="1"/>
                            <wps:spPr>
                              <a:xfrm>
                                <a:off x="0" y="0"/>
                                <a:ext cx="624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07010" cy="175260"/>
                      <wp:effectExtent l="0" t="0" r="0" b="0"/>
                      <wp:wrapNone/>
                      <wp:docPr id="227" name="Frame2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96595" cy="175260"/>
                      <wp:effectExtent l="0" t="0" r="0" b="0"/>
                      <wp:wrapNone/>
                      <wp:docPr id="228" name="Frame227"/>
                      <a:graphic xmlns:a="http://schemas.openxmlformats.org/drawingml/2006/main">
                        <a:graphicData uri="http://schemas.microsoft.com/office/word/2010/wordprocessingShape">
                          <wps:wsp>
                            <wps:cNvSpPr txBox="1"/>
                            <wps:spPr>
                              <a:xfrm>
                                <a:off x="0" y="0"/>
                                <a:ext cx="696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0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879"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2022</w:t>
            </w:r>
          </w:p>
        </w:tc>
      </w:tr>
      <w:tr>
        <w:trPr/>
        <w:tc>
          <w:tcPr>
            <w:tcW w:w="200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8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8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Primary </w:t>
            </w:r>
          </w:p>
        </w:tc>
        <w:tc>
          <w:tcPr>
            <w:tcW w:w="326" w:type="dxa"/>
            <w:tcBorders/>
            <w:vAlign w:val="center"/>
          </w:tcPr>
          <w:p>
            <w:pPr>
              <w:pStyle w:val="TableContents"/>
              <w:bidi w:val="0"/>
              <w:spacing w:before="0" w:after="0"/>
              <w:ind w:left="0" w:right="0" w:hanging="0"/>
              <w:jc w:val="center"/>
              <w:rPr/>
            </w:pPr>
            <w:r>
              <w:rPr/>
              <w:t>​</w:t>
            </w:r>
          </w:p>
        </w:tc>
        <w:tc>
          <w:tcPr>
            <w:tcW w:w="98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VIEs and </w:t>
            </w:r>
          </w:p>
        </w:tc>
        <w:tc>
          <w:tcPr>
            <w:tcW w:w="326" w:type="dxa"/>
            <w:tcBorders/>
            <w:vAlign w:val="center"/>
          </w:tcPr>
          <w:p>
            <w:pPr>
              <w:pStyle w:val="TableContents"/>
              <w:bidi w:val="0"/>
              <w:spacing w:before="0" w:after="0"/>
              <w:ind w:left="0" w:right="0" w:hanging="0"/>
              <w:jc w:val="center"/>
              <w:rPr/>
            </w:pPr>
            <w:r>
              <w:rPr/>
              <w:t>​</w:t>
            </w:r>
          </w:p>
        </w:tc>
        <w:tc>
          <w:tcPr>
            <w:tcW w:w="98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Eliminating</w:t>
            </w:r>
          </w:p>
        </w:tc>
        <w:tc>
          <w:tcPr>
            <w:tcW w:w="326" w:type="dxa"/>
            <w:tcBorders/>
            <w:vAlign w:val="center"/>
          </w:tcPr>
          <w:p>
            <w:pPr>
              <w:pStyle w:val="TableContents"/>
              <w:bidi w:val="0"/>
              <w:spacing w:before="0" w:after="0"/>
              <w:ind w:left="0" w:right="0" w:hanging="0"/>
              <w:jc w:val="center"/>
              <w:rPr/>
            </w:pPr>
            <w:r>
              <w:rPr/>
              <w:t>​</w:t>
            </w:r>
          </w:p>
        </w:tc>
        <w:tc>
          <w:tcPr>
            <w:tcW w:w="1097" w:type="dxa"/>
            <w:tcBorders/>
            <w:vAlign w:val="center"/>
          </w:tcPr>
          <w:p>
            <w:pPr>
              <w:pStyle w:val="TableContents"/>
              <w:bidi w:val="0"/>
              <w:spacing w:before="0" w:after="0"/>
              <w:ind w:left="0" w:right="0" w:hanging="0"/>
              <w:jc w:val="center"/>
              <w:rPr/>
            </w:pPr>
            <w:r>
              <w:rPr/>
              <w:t>​</w:t>
            </w:r>
          </w:p>
        </w:tc>
      </w:tr>
      <w:tr>
        <w:trPr/>
        <w:tc>
          <w:tcPr>
            <w:tcW w:w="200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8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NetEase,</w:t>
            </w:r>
          </w:p>
        </w:tc>
        <w:tc>
          <w:tcPr>
            <w:tcW w:w="326" w:type="dxa"/>
            <w:tcBorders/>
            <w:vAlign w:val="center"/>
          </w:tcPr>
          <w:p>
            <w:pPr>
              <w:pStyle w:val="TableContents"/>
              <w:bidi w:val="0"/>
              <w:spacing w:before="0" w:after="0"/>
              <w:ind w:left="0" w:right="0" w:hanging="0"/>
              <w:jc w:val="center"/>
              <w:rPr/>
            </w:pPr>
            <w:r>
              <w:rPr/>
              <w:t>    </w:t>
            </w:r>
          </w:p>
        </w:tc>
        <w:tc>
          <w:tcPr>
            <w:tcW w:w="98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 </w:t>
            </w:r>
          </w:p>
        </w:tc>
        <w:tc>
          <w:tcPr>
            <w:tcW w:w="326" w:type="dxa"/>
            <w:tcBorders/>
            <w:vAlign w:val="center"/>
          </w:tcPr>
          <w:p>
            <w:pPr>
              <w:pStyle w:val="TableContents"/>
              <w:bidi w:val="0"/>
              <w:spacing w:before="0" w:after="0"/>
              <w:ind w:left="0" w:right="0" w:hanging="0"/>
              <w:jc w:val="center"/>
              <w:rPr/>
            </w:pPr>
            <w:r>
              <w:rPr/>
              <w:t>    </w:t>
            </w:r>
          </w:p>
        </w:tc>
        <w:tc>
          <w:tcPr>
            <w:tcW w:w="12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Beneficiaries of</w:t>
            </w:r>
          </w:p>
        </w:tc>
        <w:tc>
          <w:tcPr>
            <w:tcW w:w="326" w:type="dxa"/>
            <w:tcBorders/>
            <w:vAlign w:val="center"/>
          </w:tcPr>
          <w:p>
            <w:pPr>
              <w:pStyle w:val="TableContents"/>
              <w:bidi w:val="0"/>
              <w:spacing w:before="0" w:after="0"/>
              <w:ind w:left="0" w:right="0" w:hanging="0"/>
              <w:jc w:val="center"/>
              <w:rPr/>
            </w:pPr>
            <w:r>
              <w:rPr/>
              <w:t>    </w:t>
            </w:r>
          </w:p>
        </w:tc>
        <w:tc>
          <w:tcPr>
            <w:tcW w:w="98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their</w:t>
            </w:r>
          </w:p>
        </w:tc>
        <w:tc>
          <w:tcPr>
            <w:tcW w:w="326" w:type="dxa"/>
            <w:tcBorders/>
            <w:vAlign w:val="center"/>
          </w:tcPr>
          <w:p>
            <w:pPr>
              <w:pStyle w:val="TableContents"/>
              <w:bidi w:val="0"/>
              <w:spacing w:before="0" w:after="0"/>
              <w:ind w:left="0" w:right="0" w:hanging="0"/>
              <w:jc w:val="center"/>
              <w:rPr/>
            </w:pPr>
            <w:r>
              <w:rPr/>
              <w:t>    </w:t>
            </w:r>
          </w:p>
        </w:tc>
        <w:tc>
          <w:tcPr>
            <w:tcW w:w="98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09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00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w:t>
            </w:r>
          </w:p>
        </w:tc>
        <w:tc>
          <w:tcPr>
            <w:tcW w:w="326" w:type="dxa"/>
            <w:tcBorders/>
            <w:vAlign w:val="center"/>
          </w:tcPr>
          <w:p>
            <w:pPr>
              <w:pStyle w:val="TableContents"/>
              <w:bidi w:val="0"/>
              <w:spacing w:before="0" w:after="0"/>
              <w:ind w:left="0" w:right="0" w:hanging="0"/>
              <w:jc w:val="center"/>
              <w:rPr/>
            </w:pPr>
            <w:r>
              <w:rPr/>
              <w:t>​</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vAlign w:val="center"/>
          </w:tcPr>
          <w:p>
            <w:pPr>
              <w:pStyle w:val="TableContents"/>
              <w:bidi w:val="0"/>
              <w:spacing w:before="0" w:after="0"/>
              <w:ind w:left="0" w:right="0" w:hanging="0"/>
              <w:jc w:val="center"/>
              <w:rPr/>
            </w:pPr>
            <w:r>
              <w:rPr/>
              <w:t>​</w:t>
            </w:r>
          </w:p>
        </w:tc>
        <w:tc>
          <w:tcPr>
            <w:tcW w:w="12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VIEs</w:t>
            </w:r>
          </w:p>
        </w:tc>
        <w:tc>
          <w:tcPr>
            <w:tcW w:w="326" w:type="dxa"/>
            <w:tcBorders/>
            <w:vAlign w:val="center"/>
          </w:tcPr>
          <w:p>
            <w:pPr>
              <w:pStyle w:val="TableContents"/>
              <w:bidi w:val="0"/>
              <w:spacing w:before="0" w:after="0"/>
              <w:ind w:left="0" w:right="0" w:hanging="0"/>
              <w:jc w:val="center"/>
              <w:rPr/>
            </w:pPr>
            <w:r>
              <w:rPr/>
              <w:t>​</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vAlign w:val="center"/>
          </w:tcPr>
          <w:p>
            <w:pPr>
              <w:pStyle w:val="TableContents"/>
              <w:bidi w:val="0"/>
              <w:spacing w:before="0" w:after="0"/>
              <w:ind w:left="0" w:right="0" w:hanging="0"/>
              <w:jc w:val="center"/>
              <w:rPr/>
            </w:pPr>
            <w:r>
              <w:rPr/>
              <w:t>​</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26" w:type="dxa"/>
            <w:tcBorders/>
            <w:vAlign w:val="center"/>
          </w:tcPr>
          <w:p>
            <w:pPr>
              <w:pStyle w:val="TableContents"/>
              <w:bidi w:val="0"/>
              <w:spacing w:before="0" w:after="0"/>
              <w:ind w:left="0" w:right="0" w:hanging="0"/>
              <w:jc w:val="center"/>
              <w:rPr/>
            </w:pPr>
            <w:r>
              <w:rPr/>
              <w:t>​</w:t>
            </w:r>
          </w:p>
        </w:tc>
        <w:tc>
          <w:tcPr>
            <w:tcW w:w="109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totals</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00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879" w:type="dxa"/>
            <w:gridSpan w:val="11"/>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(RMB in thousands)</w:t>
            </w:r>
          </w:p>
        </w:tc>
      </w:tr>
      <w:tr>
        <w:trPr/>
        <w:tc>
          <w:tcPr>
            <w:tcW w:w="2000"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98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8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8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8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097" w:type="dxa"/>
            <w:tcBorders/>
            <w:shd w:fill="CCEEFF" w:val="clear"/>
            <w:vAlign w:val="center"/>
          </w:tcPr>
          <w:p>
            <w:pPr>
              <w:pStyle w:val="TableContents"/>
              <w:bidi w:val="0"/>
              <w:spacing w:before="0" w:after="0"/>
              <w:ind w:left="0" w:right="0" w:hanging="0"/>
              <w:jc w:val="right"/>
              <w:rPr/>
            </w:pPr>
            <w:r>
              <w:rPr/>
              <w:t>  </w:t>
            </w:r>
          </w:p>
        </w:tc>
      </w:tr>
      <w:tr>
        <w:trPr/>
        <w:tc>
          <w:tcPr>
            <w:tcW w:w="2000"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(used in)/provided by transactions with third-parties</w:t>
            </w:r>
          </w:p>
        </w:tc>
        <w:tc>
          <w:tcPr>
            <w:tcW w:w="326" w:type="dxa"/>
            <w:tcBorders/>
            <w:vAlign w:val="center"/>
          </w:tcPr>
          <w:p>
            <w:pPr>
              <w:pStyle w:val="TableContents"/>
              <w:bidi w:val="0"/>
              <w:spacing w:before="0" w:after="0"/>
              <w:ind w:left="0" w:right="0" w:hanging="0"/>
              <w:jc w:val="left"/>
              <w:rPr/>
            </w:pPr>
            <w:r>
              <w:rPr/>
              <w:t> </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(255,519)</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707,587</w:t>
            </w:r>
          </w:p>
        </w:tc>
        <w:tc>
          <w:tcPr>
            <w:tcW w:w="32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(40,202,699)</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67,459,864</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27,709,233</w:t>
            </w:r>
          </w:p>
        </w:tc>
      </w:tr>
      <w:tr>
        <w:trPr/>
        <w:tc>
          <w:tcPr>
            <w:tcW w:w="200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provided by/ (used in) transactions with intra-Group companies related to technical consulting and related service</w:t>
            </w:r>
          </w:p>
        </w:tc>
        <w:tc>
          <w:tcPr>
            <w:tcW w:w="326" w:type="dxa"/>
            <w:tcBorders/>
            <w:shd w:fill="CCEEFF" w:val="clear"/>
            <w:vAlign w:val="center"/>
          </w:tcPr>
          <w:p>
            <w:pPr>
              <w:pStyle w:val="TableContents"/>
              <w:bidi w:val="0"/>
              <w:spacing w:before="0" w:after="0"/>
              <w:ind w:left="0" w:right="0" w:hanging="0"/>
              <w:jc w:val="left"/>
              <w:rPr/>
            </w:pPr>
            <w:r>
              <w:rPr/>
              <w:t> </w:t>
            </w:r>
          </w:p>
        </w:tc>
        <w:tc>
          <w:tcPr>
            <w:tcW w:w="9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820,545</w:t>
            </w:r>
          </w:p>
        </w:tc>
        <w:tc>
          <w:tcPr>
            <w:tcW w:w="32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66,150,273</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(66,970,818)</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7" w:type="dxa"/>
            <w:tcBorders/>
            <w:shd w:fill="CCEEFF" w:val="clear"/>
            <w:vAlign w:val="center"/>
          </w:tcPr>
          <w:p>
            <w:pPr>
              <w:pStyle w:val="TableContents"/>
              <w:bidi w:val="0"/>
              <w:spacing w:before="0" w:after="0"/>
              <w:ind w:left="0" w:right="0" w:hanging="0"/>
              <w:jc w:val="right"/>
              <w:rPr/>
            </w:pPr>
            <w:r>
              <w:rPr/>
              <w:t>—</w:t>
            </w:r>
          </w:p>
        </w:tc>
      </w:tr>
      <w:tr>
        <w:trPr/>
        <w:tc>
          <w:tcPr>
            <w:tcW w:w="2000" w:type="dxa"/>
            <w:tcBorders/>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Dividends received from subsidiaries and VIEs </w:t>
            </w:r>
            <w:r>
              <w:rPr>
                <w:rFonts w:ascii="Times New Roman;Times;serif" w:hAnsi="Times New Roman;Times;serif"/>
                <w:sz w:val="12"/>
              </w:rPr>
              <w:t>(5)</w:t>
            </w:r>
          </w:p>
        </w:tc>
        <w:tc>
          <w:tcPr>
            <w:tcW w:w="326" w:type="dxa"/>
            <w:tcBorders/>
            <w:vAlign w:val="center"/>
          </w:tcPr>
          <w:p>
            <w:pPr>
              <w:pStyle w:val="TableContents"/>
              <w:bidi w:val="0"/>
              <w:spacing w:before="0" w:after="0"/>
              <w:ind w:left="0" w:right="0" w:hanging="0"/>
              <w:jc w:val="left"/>
              <w:rPr/>
            </w:pPr>
            <w:r>
              <w:rPr/>
              <w:t> </w:t>
            </w:r>
          </w:p>
        </w:tc>
        <w:tc>
          <w:tcPr>
            <w:tcW w:w="98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29,094,971</w:t>
            </w:r>
          </w:p>
        </w:tc>
        <w:tc>
          <w:tcPr>
            <w:tcW w:w="32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(29,094,971)</w:t>
            </w:r>
          </w:p>
        </w:tc>
        <w:tc>
          <w:tcPr>
            <w:tcW w:w="326"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0"/>
              <w:ind w:left="0" w:right="0" w:hanging="0"/>
              <w:jc w:val="right"/>
              <w:rPr/>
            </w:pPr>
            <w:r>
              <w:rPr/>
              <w:t>—</w:t>
            </w:r>
          </w:p>
        </w:tc>
      </w:tr>
      <w:tr>
        <w:trPr/>
        <w:tc>
          <w:tcPr>
            <w:tcW w:w="200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provided by/ (used in) other transactions with intra-Group companies</w:t>
            </w:r>
          </w:p>
        </w:tc>
        <w:tc>
          <w:tcPr>
            <w:tcW w:w="326" w:type="dxa"/>
            <w:tcBorders/>
            <w:shd w:fill="CCEEFF" w:val="clear"/>
            <w:vAlign w:val="center"/>
          </w:tcPr>
          <w:p>
            <w:pPr>
              <w:pStyle w:val="TableContents"/>
              <w:bidi w:val="0"/>
              <w:spacing w:before="0" w:after="0"/>
              <w:ind w:left="0" w:right="0" w:hanging="0"/>
              <w:jc w:val="left"/>
              <w:rPr/>
            </w:pPr>
            <w:r>
              <w:rPr/>
              <w:t> </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2,893</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(3,478,205)</w:t>
            </w:r>
          </w:p>
        </w:tc>
        <w:tc>
          <w:tcPr>
            <w:tcW w:w="326" w:type="dxa"/>
            <w:tcBorders/>
            <w:shd w:fill="CCEEFF" w:val="clear"/>
            <w:vAlign w:val="center"/>
          </w:tcPr>
          <w:p>
            <w:pPr>
              <w:pStyle w:val="TableContents"/>
              <w:bidi w:val="0"/>
              <w:spacing w:before="0" w:after="0"/>
              <w:ind w:left="0" w:right="0" w:hanging="0"/>
              <w:jc w:val="left"/>
              <w:rPr/>
            </w:pPr>
            <w:r>
              <w:rPr/>
              <w:t>​</w:t>
            </w:r>
          </w:p>
        </w:tc>
        <w:tc>
          <w:tcPr>
            <w:tcW w:w="12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3,175,860</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299,452</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000"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(used in)/ provided by operating activities</w:t>
            </w:r>
          </w:p>
        </w:tc>
        <w:tc>
          <w:tcPr>
            <w:tcW w:w="326" w:type="dxa"/>
            <w:tcBorders/>
            <w:vAlign w:val="center"/>
          </w:tcPr>
          <w:p>
            <w:pPr>
              <w:pStyle w:val="TableContents"/>
              <w:bidi w:val="0"/>
              <w:spacing w:before="0" w:after="0"/>
              <w:ind w:left="0" w:right="0" w:hanging="0"/>
              <w:jc w:val="left"/>
              <w:rPr/>
            </w:pPr>
            <w:r>
              <w:rPr/>
              <w:t> </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(252,626)</w:t>
            </w:r>
          </w:p>
        </w:tc>
        <w:tc>
          <w:tcPr>
            <w:tcW w:w="326" w:type="dxa"/>
            <w:tcBorders/>
            <w:vAlign w:val="center"/>
          </w:tcPr>
          <w:p>
            <w:pPr>
              <w:pStyle w:val="TableContents"/>
              <w:bidi w:val="0"/>
              <w:spacing w:before="0" w:after="0"/>
              <w:ind w:left="0" w:right="0" w:hanging="0"/>
              <w:jc w:val="left"/>
              <w:rPr/>
            </w:pPr>
            <w:r>
              <w:rPr/>
              <w:t>​</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27,144,898</w:t>
            </w:r>
          </w:p>
        </w:tc>
        <w:tc>
          <w:tcPr>
            <w:tcW w:w="326" w:type="dxa"/>
            <w:tcBorders/>
            <w:vAlign w:val="center"/>
          </w:tcPr>
          <w:p>
            <w:pPr>
              <w:pStyle w:val="TableContents"/>
              <w:bidi w:val="0"/>
              <w:spacing w:before="0" w:after="0"/>
              <w:ind w:left="0" w:right="0" w:hanging="0"/>
              <w:jc w:val="left"/>
              <w:rPr/>
            </w:pPr>
            <w:r>
              <w:rPr/>
              <w:t>​</w:t>
            </w:r>
          </w:p>
        </w:tc>
        <w:tc>
          <w:tcPr>
            <w:tcW w:w="12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29,123,434</w:t>
            </w:r>
          </w:p>
        </w:tc>
        <w:tc>
          <w:tcPr>
            <w:tcW w:w="326" w:type="dxa"/>
            <w:tcBorders/>
            <w:vAlign w:val="center"/>
          </w:tcPr>
          <w:p>
            <w:pPr>
              <w:pStyle w:val="TableContents"/>
              <w:bidi w:val="0"/>
              <w:spacing w:before="0" w:after="0"/>
              <w:ind w:left="0" w:right="0" w:hanging="0"/>
              <w:jc w:val="left"/>
              <w:rPr/>
            </w:pPr>
            <w:r>
              <w:rPr/>
              <w:t>​</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788,498</w:t>
            </w:r>
          </w:p>
        </w:tc>
        <w:tc>
          <w:tcPr>
            <w:tcW w:w="326" w:type="dxa"/>
            <w:tcBorders/>
            <w:vAlign w:val="center"/>
          </w:tcPr>
          <w:p>
            <w:pPr>
              <w:pStyle w:val="TableContents"/>
              <w:bidi w:val="0"/>
              <w:spacing w:before="0" w:after="0"/>
              <w:ind w:left="0" w:right="0" w:hanging="0"/>
              <w:jc w:val="left"/>
              <w:rPr/>
            </w:pPr>
            <w:r>
              <w:rPr/>
              <w:t>​</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(29,094,971)</w:t>
            </w:r>
          </w:p>
        </w:tc>
        <w:tc>
          <w:tcPr>
            <w:tcW w:w="326" w:type="dxa"/>
            <w:tcBorders/>
            <w:vAlign w:val="center"/>
          </w:tcPr>
          <w:p>
            <w:pPr>
              <w:pStyle w:val="TableContents"/>
              <w:bidi w:val="0"/>
              <w:spacing w:before="0" w:after="0"/>
              <w:ind w:left="0" w:right="0" w:hanging="0"/>
              <w:jc w:val="left"/>
              <w:rPr/>
            </w:pPr>
            <w:r>
              <w:rPr/>
              <w:t>​</w:t>
            </w:r>
          </w:p>
        </w:tc>
        <w:tc>
          <w:tcPr>
            <w:tcW w:w="10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27,709,233</w:t>
            </w:r>
          </w:p>
        </w:tc>
      </w:tr>
      <w:tr>
        <w:trPr/>
        <w:tc>
          <w:tcPr>
            <w:tcW w:w="2000"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from investing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9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7" w:type="dxa"/>
            <w:tcBorders/>
            <w:shd w:fill="CCEEFF" w:val="clear"/>
            <w:vAlign w:val="center"/>
          </w:tcPr>
          <w:p>
            <w:pPr>
              <w:pStyle w:val="TableContents"/>
              <w:bidi w:val="0"/>
              <w:spacing w:before="0" w:after="0"/>
              <w:ind w:left="0" w:right="0" w:hanging="0"/>
              <w:jc w:val="right"/>
              <w:rPr/>
            </w:pPr>
            <w:r>
              <w:rPr/>
              <w:t>​</w:t>
            </w:r>
          </w:p>
        </w:tc>
      </w:tr>
      <w:tr>
        <w:trPr/>
        <w:tc>
          <w:tcPr>
            <w:tcW w:w="2000"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(used in)/provided by transactions with third-parties</w:t>
            </w:r>
          </w:p>
        </w:tc>
        <w:tc>
          <w:tcPr>
            <w:tcW w:w="326" w:type="dxa"/>
            <w:tcBorders/>
            <w:vAlign w:val="center"/>
          </w:tcPr>
          <w:p>
            <w:pPr>
              <w:pStyle w:val="TableContents"/>
              <w:bidi w:val="0"/>
              <w:spacing w:before="0" w:after="0"/>
              <w:ind w:left="0" w:right="0" w:hanging="0"/>
              <w:jc w:val="left"/>
              <w:rPr/>
            </w:pPr>
            <w:r>
              <w:rPr/>
              <w:t> </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(223)</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(10,434,166)</w:t>
            </w:r>
          </w:p>
        </w:tc>
        <w:tc>
          <w:tcPr>
            <w:tcW w:w="32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3,136,494</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(71,832)</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(7,369,727)</w:t>
            </w:r>
          </w:p>
        </w:tc>
      </w:tr>
      <w:tr>
        <w:trPr/>
        <w:tc>
          <w:tcPr>
            <w:tcW w:w="2000"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Loans made to intra-Group companies </w:t>
            </w:r>
            <w:r>
              <w:rPr>
                <w:rFonts w:ascii="Times New Roman;Times;serif" w:hAnsi="Times New Roman;Times;serif"/>
                <w:sz w:val="12"/>
              </w:rPr>
              <w:t>(6)</w:t>
            </w:r>
          </w:p>
        </w:tc>
        <w:tc>
          <w:tcPr>
            <w:tcW w:w="326" w:type="dxa"/>
            <w:tcBorders/>
            <w:shd w:fill="CCEEFF" w:val="clear"/>
            <w:vAlign w:val="center"/>
          </w:tcPr>
          <w:p>
            <w:pPr>
              <w:pStyle w:val="TableContents"/>
              <w:bidi w:val="0"/>
              <w:spacing w:before="0" w:after="0"/>
              <w:ind w:left="0" w:right="0" w:hanging="0"/>
              <w:jc w:val="left"/>
              <w:rPr/>
            </w:pPr>
            <w:r>
              <w:rPr/>
              <w:t> </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(6,013,061)</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(33,737,997)</w:t>
            </w:r>
          </w:p>
        </w:tc>
        <w:tc>
          <w:tcPr>
            <w:tcW w:w="32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(1,356,487)</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41,107,545</w:t>
            </w:r>
          </w:p>
        </w:tc>
        <w:tc>
          <w:tcPr>
            <w:tcW w:w="326" w:type="dxa"/>
            <w:tcBorders/>
            <w:shd w:fill="CCEEFF" w:val="clear"/>
            <w:vAlign w:val="center"/>
          </w:tcPr>
          <w:p>
            <w:pPr>
              <w:pStyle w:val="TableContents"/>
              <w:bidi w:val="0"/>
              <w:spacing w:before="0" w:after="0"/>
              <w:ind w:left="0" w:right="0" w:hanging="0"/>
              <w:jc w:val="left"/>
              <w:rPr/>
            </w:pPr>
            <w:r>
              <w:rPr/>
              <w:t>​</w:t>
            </w:r>
          </w:p>
        </w:tc>
        <w:tc>
          <w:tcPr>
            <w:tcW w:w="1097" w:type="dxa"/>
            <w:tcBorders/>
            <w:shd w:fill="CCEEFF" w:val="clear"/>
            <w:vAlign w:val="center"/>
          </w:tcPr>
          <w:p>
            <w:pPr>
              <w:pStyle w:val="TableContents"/>
              <w:bidi w:val="0"/>
              <w:spacing w:before="0" w:after="0"/>
              <w:ind w:left="0" w:right="0" w:hanging="0"/>
              <w:jc w:val="right"/>
              <w:rPr/>
            </w:pPr>
            <w:r>
              <w:rPr/>
              <w:t>—</w:t>
            </w:r>
          </w:p>
        </w:tc>
      </w:tr>
      <w:tr>
        <w:trPr/>
        <w:tc>
          <w:tcPr>
            <w:tcW w:w="2000" w:type="dxa"/>
            <w:tcBorders/>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Loans repaid by intra-Group companies </w:t>
            </w:r>
            <w:r>
              <w:rPr>
                <w:rFonts w:ascii="Times New Roman;Times;serif" w:hAnsi="Times New Roman;Times;serif"/>
                <w:sz w:val="12"/>
              </w:rPr>
              <w:t>(6)</w:t>
            </w:r>
          </w:p>
        </w:tc>
        <w:tc>
          <w:tcPr>
            <w:tcW w:w="326" w:type="dxa"/>
            <w:tcBorders/>
            <w:vAlign w:val="center"/>
          </w:tcPr>
          <w:p>
            <w:pPr>
              <w:pStyle w:val="TableContents"/>
              <w:bidi w:val="0"/>
              <w:spacing w:before="0" w:after="0"/>
              <w:ind w:left="0" w:right="0" w:hanging="0"/>
              <w:jc w:val="left"/>
              <w:rPr/>
            </w:pPr>
            <w:r>
              <w:rPr/>
              <w:t> </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2,501,060</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8,292,517</w:t>
            </w:r>
          </w:p>
        </w:tc>
        <w:tc>
          <w:tcPr>
            <w:tcW w:w="32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668,856</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(11,462,433)</w:t>
            </w:r>
          </w:p>
        </w:tc>
        <w:tc>
          <w:tcPr>
            <w:tcW w:w="326"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0"/>
              <w:ind w:left="0" w:right="0" w:hanging="0"/>
              <w:jc w:val="right"/>
              <w:rPr/>
            </w:pPr>
            <w:r>
              <w:rPr/>
              <w:t>—</w:t>
            </w:r>
          </w:p>
        </w:tc>
      </w:tr>
      <w:tr>
        <w:trPr/>
        <w:tc>
          <w:tcPr>
            <w:tcW w:w="2000"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Other investing activities with intra-Group companies </w:t>
            </w:r>
            <w:r>
              <w:rPr>
                <w:rFonts w:ascii="Times New Roman;Times;serif" w:hAnsi="Times New Roman;Times;serif"/>
                <w:sz w:val="12"/>
              </w:rPr>
              <w:t>(7)</w:t>
            </w:r>
          </w:p>
        </w:tc>
        <w:tc>
          <w:tcPr>
            <w:tcW w:w="326" w:type="dxa"/>
            <w:tcBorders/>
            <w:shd w:fill="CCEEFF" w:val="clear"/>
            <w:vAlign w:val="center"/>
          </w:tcPr>
          <w:p>
            <w:pPr>
              <w:pStyle w:val="TableContents"/>
              <w:bidi w:val="0"/>
              <w:spacing w:before="0" w:after="0"/>
              <w:ind w:left="0" w:right="0" w:hanging="0"/>
              <w:jc w:val="left"/>
              <w:rPr/>
            </w:pPr>
            <w:r>
              <w:rPr/>
              <w:t> </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(1,912)</w:t>
            </w:r>
          </w:p>
        </w:tc>
        <w:tc>
          <w:tcPr>
            <w:tcW w:w="326" w:type="dxa"/>
            <w:tcBorders/>
            <w:shd w:fill="CCEEFF" w:val="clear"/>
            <w:vAlign w:val="center"/>
          </w:tcPr>
          <w:p>
            <w:pPr>
              <w:pStyle w:val="TableContents"/>
              <w:bidi w:val="0"/>
              <w:spacing w:before="0" w:after="0"/>
              <w:ind w:left="0" w:right="0" w:hanging="0"/>
              <w:jc w:val="left"/>
              <w:rPr/>
            </w:pPr>
            <w:r>
              <w:rPr/>
              <w:t>​</w:t>
            </w:r>
          </w:p>
        </w:tc>
        <w:tc>
          <w:tcPr>
            <w:tcW w:w="12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(31,000)</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32,912</w:t>
            </w:r>
          </w:p>
        </w:tc>
        <w:tc>
          <w:tcPr>
            <w:tcW w:w="326" w:type="dxa"/>
            <w:tcBorders/>
            <w:shd w:fill="CCEEFF" w:val="clear"/>
            <w:vAlign w:val="center"/>
          </w:tcPr>
          <w:p>
            <w:pPr>
              <w:pStyle w:val="TableContents"/>
              <w:bidi w:val="0"/>
              <w:spacing w:before="0" w:after="0"/>
              <w:ind w:left="0" w:right="0" w:hanging="0"/>
              <w:jc w:val="left"/>
              <w:rPr/>
            </w:pPr>
            <w:r>
              <w:rPr/>
              <w:t>​</w:t>
            </w:r>
          </w:p>
        </w:tc>
        <w:tc>
          <w:tcPr>
            <w:tcW w:w="10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000"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(used in)/ provided by investing activities</w:t>
            </w:r>
          </w:p>
        </w:tc>
        <w:tc>
          <w:tcPr>
            <w:tcW w:w="326" w:type="dxa"/>
            <w:tcBorders/>
            <w:vAlign w:val="center"/>
          </w:tcPr>
          <w:p>
            <w:pPr>
              <w:pStyle w:val="TableContents"/>
              <w:bidi w:val="0"/>
              <w:spacing w:before="0" w:after="0"/>
              <w:ind w:left="0" w:right="0" w:hanging="0"/>
              <w:jc w:val="left"/>
              <w:rPr/>
            </w:pPr>
            <w:r>
              <w:rPr/>
              <w:t> </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(3,512,224)</w:t>
            </w:r>
          </w:p>
        </w:tc>
        <w:tc>
          <w:tcPr>
            <w:tcW w:w="326" w:type="dxa"/>
            <w:tcBorders/>
            <w:vAlign w:val="center"/>
          </w:tcPr>
          <w:p>
            <w:pPr>
              <w:pStyle w:val="TableContents"/>
              <w:bidi w:val="0"/>
              <w:spacing w:before="0" w:after="0"/>
              <w:ind w:left="0" w:right="0" w:hanging="0"/>
              <w:jc w:val="left"/>
              <w:rPr/>
            </w:pPr>
            <w:r>
              <w:rPr/>
              <w:t>​</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(35,881,558)</w:t>
            </w:r>
          </w:p>
        </w:tc>
        <w:tc>
          <w:tcPr>
            <w:tcW w:w="326" w:type="dxa"/>
            <w:tcBorders/>
            <w:vAlign w:val="center"/>
          </w:tcPr>
          <w:p>
            <w:pPr>
              <w:pStyle w:val="TableContents"/>
              <w:bidi w:val="0"/>
              <w:spacing w:before="0" w:after="0"/>
              <w:ind w:left="0" w:right="0" w:hanging="0"/>
              <w:jc w:val="left"/>
              <w:rPr/>
            </w:pPr>
            <w:r>
              <w:rPr/>
              <w:t>​</w:t>
            </w:r>
          </w:p>
        </w:tc>
        <w:tc>
          <w:tcPr>
            <w:tcW w:w="12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2,417,863</w:t>
            </w:r>
          </w:p>
        </w:tc>
        <w:tc>
          <w:tcPr>
            <w:tcW w:w="326" w:type="dxa"/>
            <w:tcBorders/>
            <w:vAlign w:val="center"/>
          </w:tcPr>
          <w:p>
            <w:pPr>
              <w:pStyle w:val="TableContents"/>
              <w:bidi w:val="0"/>
              <w:spacing w:before="0" w:after="0"/>
              <w:ind w:left="0" w:right="0" w:hanging="0"/>
              <w:jc w:val="left"/>
              <w:rPr/>
            </w:pPr>
            <w:r>
              <w:rPr/>
              <w:t>​</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(71,832)</w:t>
            </w:r>
          </w:p>
        </w:tc>
        <w:tc>
          <w:tcPr>
            <w:tcW w:w="326" w:type="dxa"/>
            <w:tcBorders/>
            <w:vAlign w:val="center"/>
          </w:tcPr>
          <w:p>
            <w:pPr>
              <w:pStyle w:val="TableContents"/>
              <w:bidi w:val="0"/>
              <w:spacing w:before="0" w:after="0"/>
              <w:ind w:left="0" w:right="0" w:hanging="0"/>
              <w:jc w:val="left"/>
              <w:rPr/>
            </w:pPr>
            <w:r>
              <w:rPr/>
              <w:t>​</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29,678,024</w:t>
            </w:r>
          </w:p>
        </w:tc>
        <w:tc>
          <w:tcPr>
            <w:tcW w:w="326" w:type="dxa"/>
            <w:tcBorders/>
            <w:vAlign w:val="center"/>
          </w:tcPr>
          <w:p>
            <w:pPr>
              <w:pStyle w:val="TableContents"/>
              <w:bidi w:val="0"/>
              <w:spacing w:before="0" w:after="0"/>
              <w:ind w:left="0" w:right="0" w:hanging="0"/>
              <w:jc w:val="left"/>
              <w:rPr/>
            </w:pPr>
            <w:r>
              <w:rPr/>
              <w:t>​</w:t>
            </w:r>
          </w:p>
        </w:tc>
        <w:tc>
          <w:tcPr>
            <w:tcW w:w="10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(7,369,727)</w:t>
            </w:r>
          </w:p>
        </w:tc>
      </w:tr>
      <w:tr>
        <w:trPr/>
        <w:tc>
          <w:tcPr>
            <w:tcW w:w="2000"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from financing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9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7" w:type="dxa"/>
            <w:tcBorders/>
            <w:shd w:fill="CCEEFF" w:val="clear"/>
            <w:vAlign w:val="center"/>
          </w:tcPr>
          <w:p>
            <w:pPr>
              <w:pStyle w:val="TableContents"/>
              <w:bidi w:val="0"/>
              <w:spacing w:before="0" w:after="0"/>
              <w:ind w:left="0" w:right="0" w:hanging="0"/>
              <w:jc w:val="right"/>
              <w:rPr/>
            </w:pPr>
            <w:r>
              <w:rPr/>
              <w:t>​</w:t>
            </w:r>
          </w:p>
        </w:tc>
      </w:tr>
      <w:tr>
        <w:trPr/>
        <w:tc>
          <w:tcPr>
            <w:tcW w:w="2000"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(used in)/provided by transactions with third-parties</w:t>
            </w:r>
          </w:p>
        </w:tc>
        <w:tc>
          <w:tcPr>
            <w:tcW w:w="326" w:type="dxa"/>
            <w:tcBorders/>
            <w:vAlign w:val="center"/>
          </w:tcPr>
          <w:p>
            <w:pPr>
              <w:pStyle w:val="TableContents"/>
              <w:bidi w:val="0"/>
              <w:spacing w:before="0" w:after="0"/>
              <w:ind w:left="0" w:right="0" w:hanging="0"/>
              <w:jc w:val="left"/>
              <w:rPr/>
            </w:pPr>
            <w:r>
              <w:rPr/>
              <w:t> </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(21,326,822)</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6,636,050</w:t>
            </w:r>
          </w:p>
        </w:tc>
        <w:tc>
          <w:tcPr>
            <w:tcW w:w="32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4,505,614</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(52,541)</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(10,237,699)</w:t>
            </w:r>
          </w:p>
        </w:tc>
      </w:tr>
      <w:tr>
        <w:trPr/>
        <w:tc>
          <w:tcPr>
            <w:tcW w:w="2000"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Cash dividend paid to intra-Group companies </w:t>
            </w:r>
            <w:r>
              <w:rPr>
                <w:rFonts w:ascii="Times New Roman;Times;serif" w:hAnsi="Times New Roman;Times;serif"/>
                <w:sz w:val="12"/>
              </w:rPr>
              <w:t>(5)</w:t>
            </w:r>
          </w:p>
        </w:tc>
        <w:tc>
          <w:tcPr>
            <w:tcW w:w="326" w:type="dxa"/>
            <w:tcBorders/>
            <w:shd w:fill="CCEEFF" w:val="clear"/>
            <w:vAlign w:val="center"/>
          </w:tcPr>
          <w:p>
            <w:pPr>
              <w:pStyle w:val="TableContents"/>
              <w:bidi w:val="0"/>
              <w:spacing w:before="0" w:after="0"/>
              <w:ind w:left="0" w:right="0" w:hanging="0"/>
              <w:jc w:val="left"/>
              <w:rPr/>
            </w:pPr>
            <w:r>
              <w:rPr/>
              <w:t> </w:t>
            </w:r>
          </w:p>
        </w:tc>
        <w:tc>
          <w:tcPr>
            <w:tcW w:w="9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(29,094,971)</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29,094,971</w:t>
            </w:r>
          </w:p>
        </w:tc>
        <w:tc>
          <w:tcPr>
            <w:tcW w:w="326" w:type="dxa"/>
            <w:tcBorders/>
            <w:shd w:fill="CCEEFF" w:val="clear"/>
            <w:vAlign w:val="center"/>
          </w:tcPr>
          <w:p>
            <w:pPr>
              <w:pStyle w:val="TableContents"/>
              <w:bidi w:val="0"/>
              <w:spacing w:before="0" w:after="0"/>
              <w:ind w:left="0" w:right="0" w:hanging="0"/>
              <w:jc w:val="left"/>
              <w:rPr/>
            </w:pPr>
            <w:r>
              <w:rPr/>
              <w:t>​</w:t>
            </w:r>
          </w:p>
        </w:tc>
        <w:tc>
          <w:tcPr>
            <w:tcW w:w="1097" w:type="dxa"/>
            <w:tcBorders/>
            <w:shd w:fill="CCEEFF" w:val="clear"/>
            <w:vAlign w:val="center"/>
          </w:tcPr>
          <w:p>
            <w:pPr>
              <w:pStyle w:val="TableContents"/>
              <w:bidi w:val="0"/>
              <w:spacing w:before="0" w:after="0"/>
              <w:ind w:left="0" w:right="0" w:hanging="0"/>
              <w:jc w:val="right"/>
              <w:rPr/>
            </w:pPr>
            <w:r>
              <w:rPr/>
              <w:t>—</w:t>
            </w:r>
          </w:p>
        </w:tc>
      </w:tr>
      <w:tr>
        <w:trPr/>
        <w:tc>
          <w:tcPr>
            <w:tcW w:w="2000" w:type="dxa"/>
            <w:tcBorders/>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Loans received from intra-Group companies </w:t>
            </w:r>
            <w:r>
              <w:rPr>
                <w:rFonts w:ascii="Times New Roman;Times;serif" w:hAnsi="Times New Roman;Times;serif"/>
                <w:sz w:val="12"/>
              </w:rPr>
              <w:t>(6)</w:t>
            </w:r>
          </w:p>
        </w:tc>
        <w:tc>
          <w:tcPr>
            <w:tcW w:w="326" w:type="dxa"/>
            <w:tcBorders/>
            <w:vAlign w:val="center"/>
          </w:tcPr>
          <w:p>
            <w:pPr>
              <w:pStyle w:val="TableContents"/>
              <w:bidi w:val="0"/>
              <w:spacing w:before="0" w:after="0"/>
              <w:ind w:left="0" w:right="0" w:hanging="0"/>
              <w:jc w:val="left"/>
              <w:rPr/>
            </w:pPr>
            <w:r>
              <w:rPr/>
              <w:t> </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33,461,057</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7,168,199</w:t>
            </w:r>
          </w:p>
        </w:tc>
        <w:tc>
          <w:tcPr>
            <w:tcW w:w="32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276,940</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201,349</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(41,107,545)</w:t>
            </w:r>
          </w:p>
        </w:tc>
        <w:tc>
          <w:tcPr>
            <w:tcW w:w="326"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0"/>
              <w:ind w:left="0" w:right="0" w:hanging="0"/>
              <w:jc w:val="right"/>
              <w:rPr/>
            </w:pPr>
            <w:r>
              <w:rPr/>
              <w:t>—</w:t>
            </w:r>
          </w:p>
        </w:tc>
      </w:tr>
      <w:tr>
        <w:trPr/>
        <w:tc>
          <w:tcPr>
            <w:tcW w:w="2000"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Loans repaid to intra-Group companies </w:t>
            </w:r>
            <w:r>
              <w:rPr>
                <w:rFonts w:ascii="Times New Roman;Times;serif" w:hAnsi="Times New Roman;Times;serif"/>
                <w:sz w:val="12"/>
              </w:rPr>
              <w:t>(6)</w:t>
            </w:r>
          </w:p>
        </w:tc>
        <w:tc>
          <w:tcPr>
            <w:tcW w:w="326" w:type="dxa"/>
            <w:tcBorders/>
            <w:shd w:fill="CCEEFF" w:val="clear"/>
            <w:vAlign w:val="center"/>
          </w:tcPr>
          <w:p>
            <w:pPr>
              <w:pStyle w:val="TableContents"/>
              <w:bidi w:val="0"/>
              <w:spacing w:before="0" w:after="0"/>
              <w:ind w:left="0" w:right="0" w:hanging="0"/>
              <w:jc w:val="left"/>
              <w:rPr/>
            </w:pPr>
            <w:r>
              <w:rPr/>
              <w:t> </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(8,292,517)</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(2,862,847)</w:t>
            </w:r>
          </w:p>
        </w:tc>
        <w:tc>
          <w:tcPr>
            <w:tcW w:w="32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(272)</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(306,797)</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11,462,433</w:t>
            </w:r>
          </w:p>
        </w:tc>
        <w:tc>
          <w:tcPr>
            <w:tcW w:w="326" w:type="dxa"/>
            <w:tcBorders/>
            <w:shd w:fill="CCEEFF" w:val="clear"/>
            <w:vAlign w:val="center"/>
          </w:tcPr>
          <w:p>
            <w:pPr>
              <w:pStyle w:val="TableContents"/>
              <w:bidi w:val="0"/>
              <w:spacing w:before="0" w:after="0"/>
              <w:ind w:left="0" w:right="0" w:hanging="0"/>
              <w:jc w:val="left"/>
              <w:rPr/>
            </w:pPr>
            <w:r>
              <w:rPr/>
              <w:t>​</w:t>
            </w:r>
          </w:p>
        </w:tc>
        <w:tc>
          <w:tcPr>
            <w:tcW w:w="1097" w:type="dxa"/>
            <w:tcBorders/>
            <w:shd w:fill="CCEEFF" w:val="clear"/>
            <w:vAlign w:val="center"/>
          </w:tcPr>
          <w:p>
            <w:pPr>
              <w:pStyle w:val="TableContents"/>
              <w:bidi w:val="0"/>
              <w:spacing w:before="0" w:after="0"/>
              <w:ind w:left="0" w:right="0" w:hanging="0"/>
              <w:jc w:val="right"/>
              <w:rPr/>
            </w:pPr>
            <w:r>
              <w:rPr/>
              <w:t>—</w:t>
            </w:r>
          </w:p>
        </w:tc>
      </w:tr>
      <w:tr>
        <w:trPr/>
        <w:tc>
          <w:tcPr>
            <w:tcW w:w="2000" w:type="dxa"/>
            <w:tcBorders/>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Other financing activities with intra-Group companies </w:t>
            </w:r>
            <w:r>
              <w:rPr>
                <w:rFonts w:ascii="Times New Roman;Times;serif" w:hAnsi="Times New Roman;Times;serif"/>
                <w:sz w:val="12"/>
              </w:rPr>
              <w:t>(7)</w:t>
            </w:r>
          </w:p>
        </w:tc>
        <w:tc>
          <w:tcPr>
            <w:tcW w:w="326" w:type="dxa"/>
            <w:tcBorders/>
            <w:vAlign w:val="center"/>
          </w:tcPr>
          <w:p>
            <w:pPr>
              <w:pStyle w:val="TableContents"/>
              <w:bidi w:val="0"/>
              <w:spacing w:before="0" w:after="0"/>
              <w:ind w:left="0" w:right="0" w:hanging="0"/>
              <w:jc w:val="left"/>
              <w:rPr/>
            </w:pPr>
            <w:r>
              <w:rPr/>
              <w:t> </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31,000</w:t>
            </w:r>
          </w:p>
        </w:tc>
        <w:tc>
          <w:tcPr>
            <w:tcW w:w="326" w:type="dxa"/>
            <w:tcBorders/>
            <w:vAlign w:val="center"/>
          </w:tcPr>
          <w:p>
            <w:pPr>
              <w:pStyle w:val="TableContents"/>
              <w:bidi w:val="0"/>
              <w:spacing w:before="0" w:after="0"/>
              <w:ind w:left="0" w:right="0" w:hanging="0"/>
              <w:jc w:val="left"/>
              <w:rPr/>
            </w:pPr>
            <w:r>
              <w:rPr/>
              <w:t>​</w:t>
            </w:r>
          </w:p>
        </w:tc>
        <w:tc>
          <w:tcPr>
            <w:tcW w:w="12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1,912</w:t>
            </w:r>
          </w:p>
        </w:tc>
        <w:tc>
          <w:tcPr>
            <w:tcW w:w="326" w:type="dxa"/>
            <w:tcBorders/>
            <w:vAlign w:val="center"/>
          </w:tcPr>
          <w:p>
            <w:pPr>
              <w:pStyle w:val="TableContents"/>
              <w:bidi w:val="0"/>
              <w:spacing w:before="0" w:after="0"/>
              <w:ind w:left="0" w:right="0" w:hanging="0"/>
              <w:jc w:val="left"/>
              <w:rPr/>
            </w:pPr>
            <w:r>
              <w:rPr/>
              <w:t>​</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(32,912)</w:t>
            </w:r>
          </w:p>
        </w:tc>
        <w:tc>
          <w:tcPr>
            <w:tcW w:w="326" w:type="dxa"/>
            <w:tcBorders/>
            <w:vAlign w:val="center"/>
          </w:tcPr>
          <w:p>
            <w:pPr>
              <w:pStyle w:val="TableContents"/>
              <w:bidi w:val="0"/>
              <w:spacing w:before="0" w:after="0"/>
              <w:ind w:left="0" w:right="0" w:hanging="0"/>
              <w:jc w:val="left"/>
              <w:rPr/>
            </w:pPr>
            <w:r>
              <w:rPr/>
              <w:t>​</w:t>
            </w:r>
          </w:p>
        </w:tc>
        <w:tc>
          <w:tcPr>
            <w:tcW w:w="109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000"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provided by/(used in) financing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3,841,718</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10,972,402</w:t>
            </w:r>
          </w:p>
        </w:tc>
        <w:tc>
          <w:tcPr>
            <w:tcW w:w="326" w:type="dxa"/>
            <w:tcBorders/>
            <w:shd w:fill="CCEEFF" w:val="clear"/>
            <w:vAlign w:val="center"/>
          </w:tcPr>
          <w:p>
            <w:pPr>
              <w:pStyle w:val="TableContents"/>
              <w:bidi w:val="0"/>
              <w:spacing w:before="0" w:after="0"/>
              <w:ind w:left="0" w:right="0" w:hanging="0"/>
              <w:jc w:val="left"/>
              <w:rPr/>
            </w:pPr>
            <w:r>
              <w:rPr/>
              <w:t>​</w:t>
            </w:r>
          </w:p>
        </w:tc>
        <w:tc>
          <w:tcPr>
            <w:tcW w:w="12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(24,310,777)</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(157,989)</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(583,053)</w:t>
            </w:r>
          </w:p>
        </w:tc>
        <w:tc>
          <w:tcPr>
            <w:tcW w:w="326" w:type="dxa"/>
            <w:tcBorders/>
            <w:shd w:fill="CCEEFF" w:val="clear"/>
            <w:vAlign w:val="center"/>
          </w:tcPr>
          <w:p>
            <w:pPr>
              <w:pStyle w:val="TableContents"/>
              <w:bidi w:val="0"/>
              <w:spacing w:before="0" w:after="0"/>
              <w:ind w:left="0" w:right="0" w:hanging="0"/>
              <w:jc w:val="left"/>
              <w:rPr/>
            </w:pPr>
            <w:r>
              <w:rPr/>
              <w:t>​</w:t>
            </w:r>
          </w:p>
        </w:tc>
        <w:tc>
          <w:tcPr>
            <w:tcW w:w="10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(10,237,699)</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000"/>
        <w:gridCol w:w="326"/>
        <w:gridCol w:w="984"/>
        <w:gridCol w:w="326"/>
        <w:gridCol w:w="984"/>
        <w:gridCol w:w="326"/>
        <w:gridCol w:w="1216"/>
        <w:gridCol w:w="326"/>
        <w:gridCol w:w="984"/>
        <w:gridCol w:w="326"/>
        <w:gridCol w:w="984"/>
        <w:gridCol w:w="326"/>
        <w:gridCol w:w="1097"/>
      </w:tblGrid>
      <w:tr>
        <w:trPr/>
        <w:tc>
          <w:tcPr>
            <w:tcW w:w="20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270000" cy="175260"/>
                      <wp:effectExtent l="0" t="0" r="0" b="0"/>
                      <wp:wrapNone/>
                      <wp:docPr id="229" name="Frame228"/>
                      <a:graphic xmlns:a="http://schemas.openxmlformats.org/drawingml/2006/main">
                        <a:graphicData uri="http://schemas.microsoft.com/office/word/2010/wordprocessingShape">
                          <wps:wsp>
                            <wps:cNvSpPr txBox="1"/>
                            <wps:spPr>
                              <a:xfrm>
                                <a:off x="0" y="0"/>
                                <a:ext cx="1270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07010" cy="175260"/>
                      <wp:effectExtent l="0" t="0" r="0" b="0"/>
                      <wp:wrapNone/>
                      <wp:docPr id="230" name="Frame2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24840" cy="175260"/>
                      <wp:effectExtent l="0" t="0" r="0" b="0"/>
                      <wp:wrapNone/>
                      <wp:docPr id="231" name="Frame230"/>
                      <a:graphic xmlns:a="http://schemas.openxmlformats.org/drawingml/2006/main">
                        <a:graphicData uri="http://schemas.microsoft.com/office/word/2010/wordprocessingShape">
                          <wps:wsp>
                            <wps:cNvSpPr txBox="1"/>
                            <wps:spPr>
                              <a:xfrm>
                                <a:off x="0" y="0"/>
                                <a:ext cx="624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07010" cy="175260"/>
                      <wp:effectExtent l="0" t="0" r="0" b="0"/>
                      <wp:wrapNone/>
                      <wp:docPr id="232" name="Frame2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24840" cy="175260"/>
                      <wp:effectExtent l="0" t="0" r="0" b="0"/>
                      <wp:wrapNone/>
                      <wp:docPr id="233" name="Frame232"/>
                      <a:graphic xmlns:a="http://schemas.openxmlformats.org/drawingml/2006/main">
                        <a:graphicData uri="http://schemas.microsoft.com/office/word/2010/wordprocessingShape">
                          <wps:wsp>
                            <wps:cNvSpPr txBox="1"/>
                            <wps:spPr>
                              <a:xfrm>
                                <a:off x="0" y="0"/>
                                <a:ext cx="624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07010" cy="175260"/>
                      <wp:effectExtent l="0" t="0" r="0" b="0"/>
                      <wp:wrapNone/>
                      <wp:docPr id="234" name="Frame2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772160" cy="175260"/>
                      <wp:effectExtent l="0" t="0" r="0" b="0"/>
                      <wp:wrapNone/>
                      <wp:docPr id="235" name="Frame234"/>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07010" cy="175260"/>
                      <wp:effectExtent l="0" t="0" r="0" b="0"/>
                      <wp:wrapNone/>
                      <wp:docPr id="236" name="Frame2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24840" cy="175260"/>
                      <wp:effectExtent l="0" t="0" r="0" b="0"/>
                      <wp:wrapNone/>
                      <wp:docPr id="237" name="Frame236"/>
                      <a:graphic xmlns:a="http://schemas.openxmlformats.org/drawingml/2006/main">
                        <a:graphicData uri="http://schemas.microsoft.com/office/word/2010/wordprocessingShape">
                          <wps:wsp>
                            <wps:cNvSpPr txBox="1"/>
                            <wps:spPr>
                              <a:xfrm>
                                <a:off x="0" y="0"/>
                                <a:ext cx="624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07010" cy="175260"/>
                      <wp:effectExtent l="0" t="0" r="0" b="0"/>
                      <wp:wrapNone/>
                      <wp:docPr id="238" name="Frame2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24840" cy="175260"/>
                      <wp:effectExtent l="0" t="0" r="0" b="0"/>
                      <wp:wrapNone/>
                      <wp:docPr id="239" name="Frame238"/>
                      <a:graphic xmlns:a="http://schemas.openxmlformats.org/drawingml/2006/main">
                        <a:graphicData uri="http://schemas.microsoft.com/office/word/2010/wordprocessingShape">
                          <wps:wsp>
                            <wps:cNvSpPr txBox="1"/>
                            <wps:spPr>
                              <a:xfrm>
                                <a:off x="0" y="0"/>
                                <a:ext cx="624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07010" cy="175260"/>
                      <wp:effectExtent l="0" t="0" r="0" b="0"/>
                      <wp:wrapNone/>
                      <wp:docPr id="240" name="Frame2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96595" cy="175260"/>
                      <wp:effectExtent l="0" t="0" r="0" b="0"/>
                      <wp:wrapNone/>
                      <wp:docPr id="241" name="Frame240"/>
                      <a:graphic xmlns:a="http://schemas.openxmlformats.org/drawingml/2006/main">
                        <a:graphicData uri="http://schemas.microsoft.com/office/word/2010/wordprocessingShape">
                          <wps:wsp>
                            <wps:cNvSpPr txBox="1"/>
                            <wps:spPr>
                              <a:xfrm>
                                <a:off x="0" y="0"/>
                                <a:ext cx="696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0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879"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2023</w:t>
            </w:r>
          </w:p>
        </w:tc>
      </w:tr>
      <w:tr>
        <w:trPr/>
        <w:tc>
          <w:tcPr>
            <w:tcW w:w="200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8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8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Primary </w:t>
            </w:r>
          </w:p>
        </w:tc>
        <w:tc>
          <w:tcPr>
            <w:tcW w:w="326" w:type="dxa"/>
            <w:tcBorders/>
            <w:vAlign w:val="center"/>
          </w:tcPr>
          <w:p>
            <w:pPr>
              <w:pStyle w:val="TableContents"/>
              <w:bidi w:val="0"/>
              <w:spacing w:before="0" w:after="0"/>
              <w:ind w:left="0" w:right="0" w:hanging="0"/>
              <w:jc w:val="center"/>
              <w:rPr/>
            </w:pPr>
            <w:r>
              <w:rPr/>
              <w:t>​</w:t>
            </w:r>
          </w:p>
        </w:tc>
        <w:tc>
          <w:tcPr>
            <w:tcW w:w="98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VIEs and </w:t>
            </w:r>
          </w:p>
        </w:tc>
        <w:tc>
          <w:tcPr>
            <w:tcW w:w="326" w:type="dxa"/>
            <w:tcBorders/>
            <w:vAlign w:val="center"/>
          </w:tcPr>
          <w:p>
            <w:pPr>
              <w:pStyle w:val="TableContents"/>
              <w:bidi w:val="0"/>
              <w:spacing w:before="0" w:after="0"/>
              <w:ind w:left="0" w:right="0" w:hanging="0"/>
              <w:jc w:val="center"/>
              <w:rPr/>
            </w:pPr>
            <w:r>
              <w:rPr/>
              <w:t>​</w:t>
            </w:r>
          </w:p>
        </w:tc>
        <w:tc>
          <w:tcPr>
            <w:tcW w:w="98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97" w:type="dxa"/>
            <w:tcBorders/>
            <w:vAlign w:val="center"/>
          </w:tcPr>
          <w:p>
            <w:pPr>
              <w:pStyle w:val="TableContents"/>
              <w:bidi w:val="0"/>
              <w:spacing w:before="0" w:after="0"/>
              <w:ind w:left="0" w:right="0" w:hanging="0"/>
              <w:jc w:val="center"/>
              <w:rPr/>
            </w:pPr>
            <w:r>
              <w:rPr/>
              <w:t>​</w:t>
            </w:r>
          </w:p>
        </w:tc>
      </w:tr>
      <w:tr>
        <w:trPr/>
        <w:tc>
          <w:tcPr>
            <w:tcW w:w="200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8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NetEase,</w:t>
            </w:r>
          </w:p>
        </w:tc>
        <w:tc>
          <w:tcPr>
            <w:tcW w:w="326" w:type="dxa"/>
            <w:tcBorders/>
            <w:vAlign w:val="center"/>
          </w:tcPr>
          <w:p>
            <w:pPr>
              <w:pStyle w:val="TableContents"/>
              <w:bidi w:val="0"/>
              <w:spacing w:before="0" w:after="0"/>
              <w:ind w:left="0" w:right="0" w:hanging="0"/>
              <w:jc w:val="center"/>
              <w:rPr/>
            </w:pPr>
            <w:r>
              <w:rPr/>
              <w:t>    </w:t>
            </w:r>
          </w:p>
        </w:tc>
        <w:tc>
          <w:tcPr>
            <w:tcW w:w="98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 </w:t>
            </w:r>
          </w:p>
        </w:tc>
        <w:tc>
          <w:tcPr>
            <w:tcW w:w="326" w:type="dxa"/>
            <w:tcBorders/>
            <w:vAlign w:val="center"/>
          </w:tcPr>
          <w:p>
            <w:pPr>
              <w:pStyle w:val="TableContents"/>
              <w:bidi w:val="0"/>
              <w:spacing w:before="0" w:after="0"/>
              <w:ind w:left="0" w:right="0" w:hanging="0"/>
              <w:jc w:val="center"/>
              <w:rPr/>
            </w:pPr>
            <w:r>
              <w:rPr/>
              <w:t>    </w:t>
            </w:r>
          </w:p>
        </w:tc>
        <w:tc>
          <w:tcPr>
            <w:tcW w:w="12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Beneficiaries of</w:t>
            </w:r>
          </w:p>
        </w:tc>
        <w:tc>
          <w:tcPr>
            <w:tcW w:w="326" w:type="dxa"/>
            <w:tcBorders/>
            <w:vAlign w:val="center"/>
          </w:tcPr>
          <w:p>
            <w:pPr>
              <w:pStyle w:val="TableContents"/>
              <w:bidi w:val="0"/>
              <w:spacing w:before="0" w:after="0"/>
              <w:ind w:left="0" w:right="0" w:hanging="0"/>
              <w:jc w:val="center"/>
              <w:rPr/>
            </w:pPr>
            <w:r>
              <w:rPr/>
              <w:t>    </w:t>
            </w:r>
          </w:p>
        </w:tc>
        <w:tc>
          <w:tcPr>
            <w:tcW w:w="98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their</w:t>
            </w:r>
          </w:p>
        </w:tc>
        <w:tc>
          <w:tcPr>
            <w:tcW w:w="326" w:type="dxa"/>
            <w:tcBorders/>
            <w:vAlign w:val="center"/>
          </w:tcPr>
          <w:p>
            <w:pPr>
              <w:pStyle w:val="TableContents"/>
              <w:bidi w:val="0"/>
              <w:spacing w:before="0" w:after="0"/>
              <w:ind w:left="0" w:right="0" w:hanging="0"/>
              <w:jc w:val="center"/>
              <w:rPr/>
            </w:pPr>
            <w:r>
              <w:rPr/>
              <w:t>    </w:t>
            </w:r>
          </w:p>
        </w:tc>
        <w:tc>
          <w:tcPr>
            <w:tcW w:w="98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Eliminating</w:t>
            </w:r>
          </w:p>
        </w:tc>
        <w:tc>
          <w:tcPr>
            <w:tcW w:w="326" w:type="dxa"/>
            <w:tcBorders/>
            <w:vAlign w:val="center"/>
          </w:tcPr>
          <w:p>
            <w:pPr>
              <w:pStyle w:val="TableContents"/>
              <w:bidi w:val="0"/>
              <w:spacing w:before="0" w:after="0"/>
              <w:ind w:left="0" w:right="0" w:hanging="0"/>
              <w:jc w:val="center"/>
              <w:rPr/>
            </w:pPr>
            <w:r>
              <w:rPr/>
              <w:t>    </w:t>
            </w:r>
          </w:p>
        </w:tc>
        <w:tc>
          <w:tcPr>
            <w:tcW w:w="109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00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w:t>
            </w:r>
          </w:p>
        </w:tc>
        <w:tc>
          <w:tcPr>
            <w:tcW w:w="326" w:type="dxa"/>
            <w:tcBorders/>
            <w:vAlign w:val="center"/>
          </w:tcPr>
          <w:p>
            <w:pPr>
              <w:pStyle w:val="TableContents"/>
              <w:bidi w:val="0"/>
              <w:spacing w:before="0" w:after="0"/>
              <w:ind w:left="0" w:right="0" w:hanging="0"/>
              <w:jc w:val="center"/>
              <w:rPr/>
            </w:pPr>
            <w:r>
              <w:rPr/>
              <w:t>​</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vAlign w:val="center"/>
          </w:tcPr>
          <w:p>
            <w:pPr>
              <w:pStyle w:val="TableContents"/>
              <w:bidi w:val="0"/>
              <w:spacing w:before="0" w:after="0"/>
              <w:ind w:left="0" w:right="0" w:hanging="0"/>
              <w:jc w:val="center"/>
              <w:rPr/>
            </w:pPr>
            <w:r>
              <w:rPr/>
              <w:t>​</w:t>
            </w:r>
          </w:p>
        </w:tc>
        <w:tc>
          <w:tcPr>
            <w:tcW w:w="12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VIEs</w:t>
            </w:r>
          </w:p>
        </w:tc>
        <w:tc>
          <w:tcPr>
            <w:tcW w:w="326" w:type="dxa"/>
            <w:tcBorders/>
            <w:vAlign w:val="center"/>
          </w:tcPr>
          <w:p>
            <w:pPr>
              <w:pStyle w:val="TableContents"/>
              <w:bidi w:val="0"/>
              <w:spacing w:before="0" w:after="0"/>
              <w:ind w:left="0" w:right="0" w:hanging="0"/>
              <w:jc w:val="center"/>
              <w:rPr/>
            </w:pPr>
            <w:r>
              <w:rPr/>
              <w:t>​</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vAlign w:val="center"/>
          </w:tcPr>
          <w:p>
            <w:pPr>
              <w:pStyle w:val="TableContents"/>
              <w:bidi w:val="0"/>
              <w:spacing w:before="0" w:after="0"/>
              <w:ind w:left="0" w:right="0" w:hanging="0"/>
              <w:jc w:val="center"/>
              <w:rPr/>
            </w:pPr>
            <w:r>
              <w:rPr/>
              <w:t>​</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26" w:type="dxa"/>
            <w:tcBorders/>
            <w:vAlign w:val="center"/>
          </w:tcPr>
          <w:p>
            <w:pPr>
              <w:pStyle w:val="TableContents"/>
              <w:bidi w:val="0"/>
              <w:spacing w:before="0" w:after="0"/>
              <w:ind w:left="0" w:right="0" w:hanging="0"/>
              <w:jc w:val="center"/>
              <w:rPr/>
            </w:pPr>
            <w:r>
              <w:rPr/>
              <w:t>​</w:t>
            </w:r>
          </w:p>
        </w:tc>
        <w:tc>
          <w:tcPr>
            <w:tcW w:w="109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totals</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00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879" w:type="dxa"/>
            <w:gridSpan w:val="11"/>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(RMB in thousands)</w:t>
            </w:r>
          </w:p>
        </w:tc>
      </w:tr>
      <w:tr>
        <w:trPr/>
        <w:tc>
          <w:tcPr>
            <w:tcW w:w="2000"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98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8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8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8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097" w:type="dxa"/>
            <w:tcBorders/>
            <w:shd w:fill="CCEEFF" w:val="clear"/>
            <w:vAlign w:val="center"/>
          </w:tcPr>
          <w:p>
            <w:pPr>
              <w:pStyle w:val="TableContents"/>
              <w:bidi w:val="0"/>
              <w:spacing w:before="0" w:after="0"/>
              <w:ind w:left="0" w:right="0" w:hanging="0"/>
              <w:jc w:val="right"/>
              <w:rPr/>
            </w:pPr>
            <w:r>
              <w:rPr/>
              <w:t>  </w:t>
            </w:r>
          </w:p>
        </w:tc>
      </w:tr>
      <w:tr>
        <w:trPr/>
        <w:tc>
          <w:tcPr>
            <w:tcW w:w="2000"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(used in)/provided by transactions with third-parties</w:t>
            </w:r>
          </w:p>
        </w:tc>
        <w:tc>
          <w:tcPr>
            <w:tcW w:w="326" w:type="dxa"/>
            <w:tcBorders/>
            <w:vAlign w:val="center"/>
          </w:tcPr>
          <w:p>
            <w:pPr>
              <w:pStyle w:val="TableContents"/>
              <w:bidi w:val="0"/>
              <w:spacing w:before="0" w:after="0"/>
              <w:ind w:left="0" w:right="0" w:hanging="0"/>
              <w:jc w:val="left"/>
              <w:rPr/>
            </w:pPr>
            <w:r>
              <w:rPr/>
              <w:t> </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(354,694)</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475,946</w:t>
            </w:r>
          </w:p>
        </w:tc>
        <w:tc>
          <w:tcPr>
            <w:tcW w:w="32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(37,115,437)</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72,325,460</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35,331,275</w:t>
            </w:r>
          </w:p>
        </w:tc>
      </w:tr>
      <w:tr>
        <w:trPr/>
        <w:tc>
          <w:tcPr>
            <w:tcW w:w="200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provided by/ (used in) transactions with intra-Group companies related to technical consulting and related service</w:t>
            </w:r>
          </w:p>
        </w:tc>
        <w:tc>
          <w:tcPr>
            <w:tcW w:w="326" w:type="dxa"/>
            <w:tcBorders/>
            <w:shd w:fill="CCEEFF" w:val="clear"/>
            <w:vAlign w:val="center"/>
          </w:tcPr>
          <w:p>
            <w:pPr>
              <w:pStyle w:val="TableContents"/>
              <w:bidi w:val="0"/>
              <w:spacing w:before="0" w:after="0"/>
              <w:ind w:left="0" w:right="0" w:hanging="0"/>
              <w:jc w:val="left"/>
              <w:rPr/>
            </w:pPr>
            <w:r>
              <w:rPr/>
              <w:t> </w:t>
            </w:r>
          </w:p>
        </w:tc>
        <w:tc>
          <w:tcPr>
            <w:tcW w:w="9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411,369</w:t>
            </w:r>
          </w:p>
        </w:tc>
        <w:tc>
          <w:tcPr>
            <w:tcW w:w="32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72,887,298</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(73,298,667)</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7" w:type="dxa"/>
            <w:tcBorders/>
            <w:shd w:fill="CCEEFF" w:val="clear"/>
            <w:vAlign w:val="center"/>
          </w:tcPr>
          <w:p>
            <w:pPr>
              <w:pStyle w:val="TableContents"/>
              <w:bidi w:val="0"/>
              <w:spacing w:before="0" w:after="0"/>
              <w:ind w:left="0" w:right="0" w:hanging="0"/>
              <w:jc w:val="right"/>
              <w:rPr/>
            </w:pPr>
            <w:r>
              <w:rPr/>
              <w:t>—</w:t>
            </w:r>
          </w:p>
        </w:tc>
      </w:tr>
      <w:tr>
        <w:trPr/>
        <w:tc>
          <w:tcPr>
            <w:tcW w:w="2000" w:type="dxa"/>
            <w:tcBorders/>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Dividends received from subsidiaries and VIEs </w:t>
            </w:r>
            <w:r>
              <w:rPr>
                <w:rFonts w:ascii="Times New Roman;Times;serif" w:hAnsi="Times New Roman;Times;serif"/>
                <w:sz w:val="12"/>
              </w:rPr>
              <w:t>(5)</w:t>
            </w:r>
          </w:p>
        </w:tc>
        <w:tc>
          <w:tcPr>
            <w:tcW w:w="326" w:type="dxa"/>
            <w:tcBorders/>
            <w:vAlign w:val="center"/>
          </w:tcPr>
          <w:p>
            <w:pPr>
              <w:pStyle w:val="TableContents"/>
              <w:bidi w:val="0"/>
              <w:spacing w:before="0" w:after="0"/>
              <w:ind w:left="0" w:right="0" w:hanging="0"/>
              <w:jc w:val="left"/>
              <w:rPr/>
            </w:pPr>
            <w:r>
              <w:rPr/>
              <w:t> </w:t>
            </w:r>
          </w:p>
        </w:tc>
        <w:tc>
          <w:tcPr>
            <w:tcW w:w="98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26,455,948</w:t>
            </w:r>
          </w:p>
        </w:tc>
        <w:tc>
          <w:tcPr>
            <w:tcW w:w="32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(26,455,948)</w:t>
            </w:r>
          </w:p>
        </w:tc>
        <w:tc>
          <w:tcPr>
            <w:tcW w:w="326"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0"/>
              <w:ind w:left="0" w:right="0" w:hanging="0"/>
              <w:jc w:val="right"/>
              <w:rPr/>
            </w:pPr>
            <w:r>
              <w:rPr/>
              <w:t>—</w:t>
            </w:r>
          </w:p>
        </w:tc>
      </w:tr>
      <w:tr>
        <w:trPr/>
        <w:tc>
          <w:tcPr>
            <w:tcW w:w="200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provided by/ (used in) other transactions with intra-Group companies</w:t>
            </w:r>
          </w:p>
        </w:tc>
        <w:tc>
          <w:tcPr>
            <w:tcW w:w="326" w:type="dxa"/>
            <w:tcBorders/>
            <w:shd w:fill="CCEEFF" w:val="clear"/>
            <w:vAlign w:val="center"/>
          </w:tcPr>
          <w:p>
            <w:pPr>
              <w:pStyle w:val="TableContents"/>
              <w:bidi w:val="0"/>
              <w:spacing w:before="0" w:after="0"/>
              <w:ind w:left="0" w:right="0" w:hanging="0"/>
              <w:jc w:val="left"/>
              <w:rPr/>
            </w:pPr>
            <w:r>
              <w:rPr/>
              <w:t> </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476</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(502,444)</w:t>
            </w:r>
          </w:p>
        </w:tc>
        <w:tc>
          <w:tcPr>
            <w:tcW w:w="326" w:type="dxa"/>
            <w:tcBorders/>
            <w:shd w:fill="CCEEFF" w:val="clear"/>
            <w:vAlign w:val="center"/>
          </w:tcPr>
          <w:p>
            <w:pPr>
              <w:pStyle w:val="TableContents"/>
              <w:bidi w:val="0"/>
              <w:spacing w:before="0" w:after="0"/>
              <w:ind w:left="0" w:right="0" w:hanging="0"/>
              <w:jc w:val="left"/>
              <w:rPr/>
            </w:pPr>
            <w:r>
              <w:rPr/>
              <w:t>​</w:t>
            </w:r>
          </w:p>
        </w:tc>
        <w:tc>
          <w:tcPr>
            <w:tcW w:w="12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(137,577)</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639,545</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000"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(used in)/ provided by operating activities</w:t>
            </w:r>
          </w:p>
        </w:tc>
        <w:tc>
          <w:tcPr>
            <w:tcW w:w="326" w:type="dxa"/>
            <w:tcBorders/>
            <w:vAlign w:val="center"/>
          </w:tcPr>
          <w:p>
            <w:pPr>
              <w:pStyle w:val="TableContents"/>
              <w:bidi w:val="0"/>
              <w:spacing w:before="0" w:after="0"/>
              <w:ind w:left="0" w:right="0" w:hanging="0"/>
              <w:jc w:val="left"/>
              <w:rPr/>
            </w:pPr>
            <w:r>
              <w:rPr/>
              <w:t> </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(354,218)</w:t>
            </w:r>
          </w:p>
        </w:tc>
        <w:tc>
          <w:tcPr>
            <w:tcW w:w="326" w:type="dxa"/>
            <w:tcBorders/>
            <w:vAlign w:val="center"/>
          </w:tcPr>
          <w:p>
            <w:pPr>
              <w:pStyle w:val="TableContents"/>
              <w:bidi w:val="0"/>
              <w:spacing w:before="0" w:after="0"/>
              <w:ind w:left="0" w:right="0" w:hanging="0"/>
              <w:jc w:val="left"/>
              <w:rPr/>
            </w:pPr>
            <w:r>
              <w:rPr/>
              <w:t>​</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26,840,819</w:t>
            </w:r>
          </w:p>
        </w:tc>
        <w:tc>
          <w:tcPr>
            <w:tcW w:w="326" w:type="dxa"/>
            <w:tcBorders/>
            <w:vAlign w:val="center"/>
          </w:tcPr>
          <w:p>
            <w:pPr>
              <w:pStyle w:val="TableContents"/>
              <w:bidi w:val="0"/>
              <w:spacing w:before="0" w:after="0"/>
              <w:ind w:left="0" w:right="0" w:hanging="0"/>
              <w:jc w:val="left"/>
              <w:rPr/>
            </w:pPr>
            <w:r>
              <w:rPr/>
              <w:t>​</w:t>
            </w:r>
          </w:p>
        </w:tc>
        <w:tc>
          <w:tcPr>
            <w:tcW w:w="12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35,634,284</w:t>
            </w:r>
          </w:p>
        </w:tc>
        <w:tc>
          <w:tcPr>
            <w:tcW w:w="326" w:type="dxa"/>
            <w:tcBorders/>
            <w:vAlign w:val="center"/>
          </w:tcPr>
          <w:p>
            <w:pPr>
              <w:pStyle w:val="TableContents"/>
              <w:bidi w:val="0"/>
              <w:spacing w:before="0" w:after="0"/>
              <w:ind w:left="0" w:right="0" w:hanging="0"/>
              <w:jc w:val="left"/>
              <w:rPr/>
            </w:pPr>
            <w:r>
              <w:rPr/>
              <w:t>​</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(333,662)</w:t>
            </w:r>
          </w:p>
        </w:tc>
        <w:tc>
          <w:tcPr>
            <w:tcW w:w="326" w:type="dxa"/>
            <w:tcBorders/>
            <w:vAlign w:val="center"/>
          </w:tcPr>
          <w:p>
            <w:pPr>
              <w:pStyle w:val="TableContents"/>
              <w:bidi w:val="0"/>
              <w:spacing w:before="0" w:after="0"/>
              <w:ind w:left="0" w:right="0" w:hanging="0"/>
              <w:jc w:val="left"/>
              <w:rPr/>
            </w:pPr>
            <w:r>
              <w:rPr/>
              <w:t>​</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(26,455,948)</w:t>
            </w:r>
          </w:p>
        </w:tc>
        <w:tc>
          <w:tcPr>
            <w:tcW w:w="326" w:type="dxa"/>
            <w:tcBorders/>
            <w:vAlign w:val="center"/>
          </w:tcPr>
          <w:p>
            <w:pPr>
              <w:pStyle w:val="TableContents"/>
              <w:bidi w:val="0"/>
              <w:spacing w:before="0" w:after="0"/>
              <w:ind w:left="0" w:right="0" w:hanging="0"/>
              <w:jc w:val="left"/>
              <w:rPr/>
            </w:pPr>
            <w:r>
              <w:rPr/>
              <w:t>​</w:t>
            </w:r>
          </w:p>
        </w:tc>
        <w:tc>
          <w:tcPr>
            <w:tcW w:w="10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35,331,275</w:t>
            </w:r>
          </w:p>
        </w:tc>
      </w:tr>
      <w:tr>
        <w:trPr/>
        <w:tc>
          <w:tcPr>
            <w:tcW w:w="2000"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from investing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9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7" w:type="dxa"/>
            <w:tcBorders/>
            <w:shd w:fill="CCEEFF" w:val="clear"/>
            <w:vAlign w:val="center"/>
          </w:tcPr>
          <w:p>
            <w:pPr>
              <w:pStyle w:val="TableContents"/>
              <w:bidi w:val="0"/>
              <w:spacing w:before="0" w:after="0"/>
              <w:ind w:left="0" w:right="0" w:hanging="0"/>
              <w:jc w:val="right"/>
              <w:rPr/>
            </w:pPr>
            <w:r>
              <w:rPr/>
              <w:t>​</w:t>
            </w:r>
          </w:p>
        </w:tc>
      </w:tr>
      <w:tr>
        <w:trPr/>
        <w:tc>
          <w:tcPr>
            <w:tcW w:w="2000"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used in transactions with third-parties</w:t>
            </w:r>
          </w:p>
        </w:tc>
        <w:tc>
          <w:tcPr>
            <w:tcW w:w="326" w:type="dxa"/>
            <w:tcBorders/>
            <w:vAlign w:val="center"/>
          </w:tcPr>
          <w:p>
            <w:pPr>
              <w:pStyle w:val="TableContents"/>
              <w:bidi w:val="0"/>
              <w:spacing w:before="0" w:after="0"/>
              <w:ind w:left="0" w:right="0" w:hanging="0"/>
              <w:jc w:val="left"/>
              <w:rPr/>
            </w:pPr>
            <w:r>
              <w:rPr/>
              <w:t> </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(589)</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(3,584,348)</w:t>
            </w:r>
          </w:p>
        </w:tc>
        <w:tc>
          <w:tcPr>
            <w:tcW w:w="32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(13,375,849)</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(82,645)</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(17,043,431)</w:t>
            </w:r>
          </w:p>
        </w:tc>
      </w:tr>
      <w:tr>
        <w:trPr/>
        <w:tc>
          <w:tcPr>
            <w:tcW w:w="2000"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Loans made to intra-Group companies </w:t>
            </w:r>
            <w:r>
              <w:rPr>
                <w:rFonts w:ascii="Times New Roman;Times;serif" w:hAnsi="Times New Roman;Times;serif"/>
                <w:sz w:val="12"/>
              </w:rPr>
              <w:t>(6)</w:t>
            </w:r>
          </w:p>
        </w:tc>
        <w:tc>
          <w:tcPr>
            <w:tcW w:w="326" w:type="dxa"/>
            <w:tcBorders/>
            <w:shd w:fill="CCEEFF" w:val="clear"/>
            <w:vAlign w:val="center"/>
          </w:tcPr>
          <w:p>
            <w:pPr>
              <w:pStyle w:val="TableContents"/>
              <w:bidi w:val="0"/>
              <w:spacing w:before="0" w:after="0"/>
              <w:ind w:left="0" w:right="0" w:hanging="0"/>
              <w:jc w:val="left"/>
              <w:rPr/>
            </w:pPr>
            <w:r>
              <w:rPr/>
              <w:t> </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(5,100,814)</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(32,331,958)</w:t>
            </w:r>
          </w:p>
        </w:tc>
        <w:tc>
          <w:tcPr>
            <w:tcW w:w="32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(13,748,357)</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51,181,129</w:t>
            </w:r>
          </w:p>
        </w:tc>
        <w:tc>
          <w:tcPr>
            <w:tcW w:w="326" w:type="dxa"/>
            <w:tcBorders/>
            <w:shd w:fill="CCEEFF" w:val="clear"/>
            <w:vAlign w:val="center"/>
          </w:tcPr>
          <w:p>
            <w:pPr>
              <w:pStyle w:val="TableContents"/>
              <w:bidi w:val="0"/>
              <w:spacing w:before="0" w:after="0"/>
              <w:ind w:left="0" w:right="0" w:hanging="0"/>
              <w:jc w:val="left"/>
              <w:rPr/>
            </w:pPr>
            <w:r>
              <w:rPr/>
              <w:t>​</w:t>
            </w:r>
          </w:p>
        </w:tc>
        <w:tc>
          <w:tcPr>
            <w:tcW w:w="1097" w:type="dxa"/>
            <w:tcBorders/>
            <w:shd w:fill="CCEEFF" w:val="clear"/>
            <w:vAlign w:val="center"/>
          </w:tcPr>
          <w:p>
            <w:pPr>
              <w:pStyle w:val="TableContents"/>
              <w:bidi w:val="0"/>
              <w:spacing w:before="0" w:after="0"/>
              <w:ind w:left="0" w:right="0" w:hanging="0"/>
              <w:jc w:val="right"/>
              <w:rPr/>
            </w:pPr>
            <w:r>
              <w:rPr/>
              <w:t>—</w:t>
            </w:r>
          </w:p>
        </w:tc>
      </w:tr>
      <w:tr>
        <w:trPr/>
        <w:tc>
          <w:tcPr>
            <w:tcW w:w="2000" w:type="dxa"/>
            <w:tcBorders/>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Loans repaid by intra-Group companies </w:t>
            </w:r>
            <w:r>
              <w:rPr>
                <w:rFonts w:ascii="Times New Roman;Times;serif" w:hAnsi="Times New Roman;Times;serif"/>
                <w:sz w:val="12"/>
              </w:rPr>
              <w:t>(6)</w:t>
            </w:r>
          </w:p>
        </w:tc>
        <w:tc>
          <w:tcPr>
            <w:tcW w:w="326" w:type="dxa"/>
            <w:tcBorders/>
            <w:vAlign w:val="center"/>
          </w:tcPr>
          <w:p>
            <w:pPr>
              <w:pStyle w:val="TableContents"/>
              <w:bidi w:val="0"/>
              <w:spacing w:before="0" w:after="0"/>
              <w:ind w:left="0" w:right="0" w:hanging="0"/>
              <w:jc w:val="left"/>
              <w:rPr/>
            </w:pPr>
            <w:r>
              <w:rPr/>
              <w:t> </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246,020</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7,004,819</w:t>
            </w:r>
          </w:p>
        </w:tc>
        <w:tc>
          <w:tcPr>
            <w:tcW w:w="32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1,200,611</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(8,451,450)</w:t>
            </w:r>
          </w:p>
        </w:tc>
        <w:tc>
          <w:tcPr>
            <w:tcW w:w="326"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0"/>
              <w:ind w:left="0" w:right="0" w:hanging="0"/>
              <w:jc w:val="right"/>
              <w:rPr/>
            </w:pPr>
            <w:r>
              <w:rPr/>
              <w:t>—</w:t>
            </w:r>
          </w:p>
        </w:tc>
      </w:tr>
      <w:tr>
        <w:trPr/>
        <w:tc>
          <w:tcPr>
            <w:tcW w:w="2000"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Other investing activities with intra-Group companies </w:t>
            </w:r>
            <w:r>
              <w:rPr>
                <w:rFonts w:ascii="Times New Roman;Times;serif" w:hAnsi="Times New Roman;Times;serif"/>
                <w:sz w:val="12"/>
              </w:rPr>
              <w:t>(7)</w:t>
            </w:r>
          </w:p>
        </w:tc>
        <w:tc>
          <w:tcPr>
            <w:tcW w:w="326" w:type="dxa"/>
            <w:tcBorders/>
            <w:shd w:fill="CCEEFF" w:val="clear"/>
            <w:vAlign w:val="center"/>
          </w:tcPr>
          <w:p>
            <w:pPr>
              <w:pStyle w:val="TableContents"/>
              <w:bidi w:val="0"/>
              <w:spacing w:before="0" w:after="0"/>
              <w:ind w:left="0" w:right="0" w:hanging="0"/>
              <w:jc w:val="left"/>
              <w:rPr/>
            </w:pPr>
            <w:r>
              <w:rPr/>
              <w:t> </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(347,375)</w:t>
            </w:r>
          </w:p>
        </w:tc>
        <w:tc>
          <w:tcPr>
            <w:tcW w:w="326" w:type="dxa"/>
            <w:tcBorders/>
            <w:shd w:fill="CCEEFF" w:val="clear"/>
            <w:vAlign w:val="center"/>
          </w:tcPr>
          <w:p>
            <w:pPr>
              <w:pStyle w:val="TableContents"/>
              <w:bidi w:val="0"/>
              <w:spacing w:before="0" w:after="0"/>
              <w:ind w:left="0" w:right="0" w:hanging="0"/>
              <w:jc w:val="left"/>
              <w:rPr/>
            </w:pPr>
            <w:r>
              <w:rPr/>
              <w:t>​</w:t>
            </w:r>
          </w:p>
        </w:tc>
        <w:tc>
          <w:tcPr>
            <w:tcW w:w="12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(17,100)</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364,475</w:t>
            </w:r>
          </w:p>
        </w:tc>
        <w:tc>
          <w:tcPr>
            <w:tcW w:w="326" w:type="dxa"/>
            <w:tcBorders/>
            <w:shd w:fill="CCEEFF" w:val="clear"/>
            <w:vAlign w:val="center"/>
          </w:tcPr>
          <w:p>
            <w:pPr>
              <w:pStyle w:val="TableContents"/>
              <w:bidi w:val="0"/>
              <w:spacing w:before="0" w:after="0"/>
              <w:ind w:left="0" w:right="0" w:hanging="0"/>
              <w:jc w:val="left"/>
              <w:rPr/>
            </w:pPr>
            <w:r>
              <w:rPr/>
              <w:t>​</w:t>
            </w:r>
          </w:p>
        </w:tc>
        <w:tc>
          <w:tcPr>
            <w:tcW w:w="10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000"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(used in)/ provided by investing activities</w:t>
            </w:r>
          </w:p>
        </w:tc>
        <w:tc>
          <w:tcPr>
            <w:tcW w:w="326" w:type="dxa"/>
            <w:tcBorders/>
            <w:vAlign w:val="center"/>
          </w:tcPr>
          <w:p>
            <w:pPr>
              <w:pStyle w:val="TableContents"/>
              <w:bidi w:val="0"/>
              <w:spacing w:before="0" w:after="0"/>
              <w:ind w:left="0" w:right="0" w:hanging="0"/>
              <w:jc w:val="left"/>
              <w:rPr/>
            </w:pPr>
            <w:r>
              <w:rPr/>
              <w:t> </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(4,855,383)</w:t>
            </w:r>
          </w:p>
        </w:tc>
        <w:tc>
          <w:tcPr>
            <w:tcW w:w="326" w:type="dxa"/>
            <w:tcBorders/>
            <w:vAlign w:val="center"/>
          </w:tcPr>
          <w:p>
            <w:pPr>
              <w:pStyle w:val="TableContents"/>
              <w:bidi w:val="0"/>
              <w:spacing w:before="0" w:after="0"/>
              <w:ind w:left="0" w:right="0" w:hanging="0"/>
              <w:jc w:val="left"/>
              <w:rPr/>
            </w:pPr>
            <w:r>
              <w:rPr/>
              <w:t>​</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(29,258,862)</w:t>
            </w:r>
          </w:p>
        </w:tc>
        <w:tc>
          <w:tcPr>
            <w:tcW w:w="326" w:type="dxa"/>
            <w:tcBorders/>
            <w:vAlign w:val="center"/>
          </w:tcPr>
          <w:p>
            <w:pPr>
              <w:pStyle w:val="TableContents"/>
              <w:bidi w:val="0"/>
              <w:spacing w:before="0" w:after="0"/>
              <w:ind w:left="0" w:right="0" w:hanging="0"/>
              <w:jc w:val="left"/>
              <w:rPr/>
            </w:pPr>
            <w:r>
              <w:rPr/>
              <w:t>​</w:t>
            </w:r>
          </w:p>
        </w:tc>
        <w:tc>
          <w:tcPr>
            <w:tcW w:w="12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(25,940,695)</w:t>
            </w:r>
          </w:p>
        </w:tc>
        <w:tc>
          <w:tcPr>
            <w:tcW w:w="326" w:type="dxa"/>
            <w:tcBorders/>
            <w:vAlign w:val="center"/>
          </w:tcPr>
          <w:p>
            <w:pPr>
              <w:pStyle w:val="TableContents"/>
              <w:bidi w:val="0"/>
              <w:spacing w:before="0" w:after="0"/>
              <w:ind w:left="0" w:right="0" w:hanging="0"/>
              <w:jc w:val="left"/>
              <w:rPr/>
            </w:pPr>
            <w:r>
              <w:rPr/>
              <w:t>​</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(82,645)</w:t>
            </w:r>
          </w:p>
        </w:tc>
        <w:tc>
          <w:tcPr>
            <w:tcW w:w="326" w:type="dxa"/>
            <w:tcBorders/>
            <w:vAlign w:val="center"/>
          </w:tcPr>
          <w:p>
            <w:pPr>
              <w:pStyle w:val="TableContents"/>
              <w:bidi w:val="0"/>
              <w:spacing w:before="0" w:after="0"/>
              <w:ind w:left="0" w:right="0" w:hanging="0"/>
              <w:jc w:val="left"/>
              <w:rPr/>
            </w:pPr>
            <w:r>
              <w:rPr/>
              <w:t>​</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43,094,154</w:t>
            </w:r>
          </w:p>
        </w:tc>
        <w:tc>
          <w:tcPr>
            <w:tcW w:w="326" w:type="dxa"/>
            <w:tcBorders/>
            <w:vAlign w:val="center"/>
          </w:tcPr>
          <w:p>
            <w:pPr>
              <w:pStyle w:val="TableContents"/>
              <w:bidi w:val="0"/>
              <w:spacing w:before="0" w:after="0"/>
              <w:ind w:left="0" w:right="0" w:hanging="0"/>
              <w:jc w:val="left"/>
              <w:rPr/>
            </w:pPr>
            <w:r>
              <w:rPr/>
              <w:t>​</w:t>
            </w:r>
          </w:p>
        </w:tc>
        <w:tc>
          <w:tcPr>
            <w:tcW w:w="10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(17,043,431)</w:t>
            </w:r>
          </w:p>
        </w:tc>
      </w:tr>
      <w:tr>
        <w:trPr/>
        <w:tc>
          <w:tcPr>
            <w:tcW w:w="2000"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from financing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9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7" w:type="dxa"/>
            <w:tcBorders/>
            <w:shd w:fill="CCEEFF" w:val="clear"/>
            <w:vAlign w:val="center"/>
          </w:tcPr>
          <w:p>
            <w:pPr>
              <w:pStyle w:val="TableContents"/>
              <w:bidi w:val="0"/>
              <w:spacing w:before="0" w:after="0"/>
              <w:ind w:left="0" w:right="0" w:hanging="0"/>
              <w:jc w:val="right"/>
              <w:rPr/>
            </w:pPr>
            <w:r>
              <w:rPr/>
              <w:t>​</w:t>
            </w:r>
          </w:p>
        </w:tc>
      </w:tr>
      <w:tr>
        <w:trPr/>
        <w:tc>
          <w:tcPr>
            <w:tcW w:w="2000"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(used in)/provided by transactions with third-parties</w:t>
            </w:r>
          </w:p>
        </w:tc>
        <w:tc>
          <w:tcPr>
            <w:tcW w:w="326" w:type="dxa"/>
            <w:tcBorders/>
            <w:vAlign w:val="center"/>
          </w:tcPr>
          <w:p>
            <w:pPr>
              <w:pStyle w:val="TableContents"/>
              <w:bidi w:val="0"/>
              <w:spacing w:before="0" w:after="0"/>
              <w:ind w:left="0" w:right="0" w:hanging="0"/>
              <w:jc w:val="left"/>
              <w:rPr/>
            </w:pPr>
            <w:r>
              <w:rPr/>
              <w:t> </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(19,980,650)</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(6,357,771)</w:t>
            </w:r>
          </w:p>
        </w:tc>
        <w:tc>
          <w:tcPr>
            <w:tcW w:w="32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4,855,694</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15,673</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(21,467,054)</w:t>
            </w:r>
          </w:p>
        </w:tc>
      </w:tr>
      <w:tr>
        <w:trPr/>
        <w:tc>
          <w:tcPr>
            <w:tcW w:w="2000"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Cash dividend paid to intra-Group companies </w:t>
            </w:r>
            <w:r>
              <w:rPr>
                <w:rFonts w:ascii="Times New Roman;Times;serif" w:hAnsi="Times New Roman;Times;serif"/>
                <w:sz w:val="12"/>
              </w:rPr>
              <w:t>(5)</w:t>
            </w:r>
          </w:p>
        </w:tc>
        <w:tc>
          <w:tcPr>
            <w:tcW w:w="326" w:type="dxa"/>
            <w:tcBorders/>
            <w:shd w:fill="CCEEFF" w:val="clear"/>
            <w:vAlign w:val="center"/>
          </w:tcPr>
          <w:p>
            <w:pPr>
              <w:pStyle w:val="TableContents"/>
              <w:bidi w:val="0"/>
              <w:spacing w:before="0" w:after="0"/>
              <w:ind w:left="0" w:right="0" w:hanging="0"/>
              <w:jc w:val="left"/>
              <w:rPr/>
            </w:pPr>
            <w:r>
              <w:rPr/>
              <w:t> </w:t>
            </w:r>
          </w:p>
        </w:tc>
        <w:tc>
          <w:tcPr>
            <w:tcW w:w="9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(26,455,948)</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26,455,948</w:t>
            </w:r>
          </w:p>
        </w:tc>
        <w:tc>
          <w:tcPr>
            <w:tcW w:w="326" w:type="dxa"/>
            <w:tcBorders/>
            <w:shd w:fill="CCEEFF" w:val="clear"/>
            <w:vAlign w:val="center"/>
          </w:tcPr>
          <w:p>
            <w:pPr>
              <w:pStyle w:val="TableContents"/>
              <w:bidi w:val="0"/>
              <w:spacing w:before="0" w:after="0"/>
              <w:ind w:left="0" w:right="0" w:hanging="0"/>
              <w:jc w:val="left"/>
              <w:rPr/>
            </w:pPr>
            <w:r>
              <w:rPr/>
              <w:t>​</w:t>
            </w:r>
          </w:p>
        </w:tc>
        <w:tc>
          <w:tcPr>
            <w:tcW w:w="1097" w:type="dxa"/>
            <w:tcBorders/>
            <w:shd w:fill="CCEEFF" w:val="clear"/>
            <w:vAlign w:val="center"/>
          </w:tcPr>
          <w:p>
            <w:pPr>
              <w:pStyle w:val="TableContents"/>
              <w:bidi w:val="0"/>
              <w:spacing w:before="0" w:after="0"/>
              <w:ind w:left="0" w:right="0" w:hanging="0"/>
              <w:jc w:val="right"/>
              <w:rPr/>
            </w:pPr>
            <w:r>
              <w:rPr/>
              <w:t>—</w:t>
            </w:r>
          </w:p>
        </w:tc>
      </w:tr>
      <w:tr>
        <w:trPr/>
        <w:tc>
          <w:tcPr>
            <w:tcW w:w="2000" w:type="dxa"/>
            <w:tcBorders/>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Loans received from intra-Group companies </w:t>
            </w:r>
            <w:r>
              <w:rPr>
                <w:rFonts w:ascii="Times New Roman;Times;serif" w:hAnsi="Times New Roman;Times;serif"/>
                <w:sz w:val="12"/>
              </w:rPr>
              <w:t>(6)</w:t>
            </w:r>
          </w:p>
        </w:tc>
        <w:tc>
          <w:tcPr>
            <w:tcW w:w="326" w:type="dxa"/>
            <w:tcBorders/>
            <w:vAlign w:val="center"/>
          </w:tcPr>
          <w:p>
            <w:pPr>
              <w:pStyle w:val="TableContents"/>
              <w:bidi w:val="0"/>
              <w:spacing w:before="0" w:after="0"/>
              <w:ind w:left="0" w:right="0" w:hanging="0"/>
              <w:jc w:val="left"/>
              <w:rPr/>
            </w:pPr>
            <w:r>
              <w:rPr/>
              <w:t> </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32,327,958</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18,639,436</w:t>
            </w:r>
          </w:p>
        </w:tc>
        <w:tc>
          <w:tcPr>
            <w:tcW w:w="32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4,000</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209,735</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(51,181,129)</w:t>
            </w:r>
          </w:p>
        </w:tc>
        <w:tc>
          <w:tcPr>
            <w:tcW w:w="326"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0"/>
              <w:ind w:left="0" w:right="0" w:hanging="0"/>
              <w:jc w:val="right"/>
              <w:rPr/>
            </w:pPr>
            <w:r>
              <w:rPr/>
              <w:t>—</w:t>
            </w:r>
          </w:p>
        </w:tc>
      </w:tr>
      <w:tr>
        <w:trPr/>
        <w:tc>
          <w:tcPr>
            <w:tcW w:w="2000"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Loans repaid to intra-Group companies </w:t>
            </w:r>
            <w:r>
              <w:rPr>
                <w:rFonts w:ascii="Times New Roman;Times;serif" w:hAnsi="Times New Roman;Times;serif"/>
                <w:sz w:val="12"/>
              </w:rPr>
              <w:t>(6)</w:t>
            </w:r>
          </w:p>
        </w:tc>
        <w:tc>
          <w:tcPr>
            <w:tcW w:w="326" w:type="dxa"/>
            <w:tcBorders/>
            <w:shd w:fill="CCEEFF" w:val="clear"/>
            <w:vAlign w:val="center"/>
          </w:tcPr>
          <w:p>
            <w:pPr>
              <w:pStyle w:val="TableContents"/>
              <w:bidi w:val="0"/>
              <w:spacing w:before="0" w:after="0"/>
              <w:ind w:left="0" w:right="0" w:hanging="0"/>
              <w:jc w:val="left"/>
              <w:rPr/>
            </w:pPr>
            <w:r>
              <w:rPr/>
              <w:t> </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(7,004,819)</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(1,184,057)</w:t>
            </w:r>
          </w:p>
        </w:tc>
        <w:tc>
          <w:tcPr>
            <w:tcW w:w="32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(262,574)</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8,451,450</w:t>
            </w:r>
          </w:p>
        </w:tc>
        <w:tc>
          <w:tcPr>
            <w:tcW w:w="326" w:type="dxa"/>
            <w:tcBorders/>
            <w:shd w:fill="CCEEFF" w:val="clear"/>
            <w:vAlign w:val="center"/>
          </w:tcPr>
          <w:p>
            <w:pPr>
              <w:pStyle w:val="TableContents"/>
              <w:bidi w:val="0"/>
              <w:spacing w:before="0" w:after="0"/>
              <w:ind w:left="0" w:right="0" w:hanging="0"/>
              <w:jc w:val="left"/>
              <w:rPr/>
            </w:pPr>
            <w:r>
              <w:rPr/>
              <w:t>​</w:t>
            </w:r>
          </w:p>
        </w:tc>
        <w:tc>
          <w:tcPr>
            <w:tcW w:w="1097" w:type="dxa"/>
            <w:tcBorders/>
            <w:shd w:fill="CCEEFF" w:val="clear"/>
            <w:vAlign w:val="center"/>
          </w:tcPr>
          <w:p>
            <w:pPr>
              <w:pStyle w:val="TableContents"/>
              <w:bidi w:val="0"/>
              <w:spacing w:before="0" w:after="0"/>
              <w:ind w:left="0" w:right="0" w:hanging="0"/>
              <w:jc w:val="right"/>
              <w:rPr/>
            </w:pPr>
            <w:r>
              <w:rPr/>
              <w:t>—</w:t>
            </w:r>
          </w:p>
        </w:tc>
      </w:tr>
      <w:tr>
        <w:trPr/>
        <w:tc>
          <w:tcPr>
            <w:tcW w:w="2000" w:type="dxa"/>
            <w:tcBorders/>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Other financing activities with intra-Group companies </w:t>
            </w:r>
            <w:r>
              <w:rPr>
                <w:rFonts w:ascii="Times New Roman;Times;serif" w:hAnsi="Times New Roman;Times;serif"/>
                <w:sz w:val="12"/>
              </w:rPr>
              <w:t>(7)</w:t>
            </w:r>
          </w:p>
        </w:tc>
        <w:tc>
          <w:tcPr>
            <w:tcW w:w="326" w:type="dxa"/>
            <w:tcBorders/>
            <w:vAlign w:val="center"/>
          </w:tcPr>
          <w:p>
            <w:pPr>
              <w:pStyle w:val="TableContents"/>
              <w:bidi w:val="0"/>
              <w:spacing w:before="0" w:after="0"/>
              <w:ind w:left="0" w:right="0" w:hanging="0"/>
              <w:jc w:val="left"/>
              <w:rPr/>
            </w:pPr>
            <w:r>
              <w:rPr/>
              <w:t> </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17,100</w:t>
            </w:r>
          </w:p>
        </w:tc>
        <w:tc>
          <w:tcPr>
            <w:tcW w:w="326" w:type="dxa"/>
            <w:tcBorders/>
            <w:vAlign w:val="center"/>
          </w:tcPr>
          <w:p>
            <w:pPr>
              <w:pStyle w:val="TableContents"/>
              <w:bidi w:val="0"/>
              <w:spacing w:before="0" w:after="0"/>
              <w:ind w:left="0" w:right="0" w:hanging="0"/>
              <w:jc w:val="left"/>
              <w:rPr/>
            </w:pPr>
            <w:r>
              <w:rPr/>
              <w:t>​</w:t>
            </w:r>
          </w:p>
        </w:tc>
        <w:tc>
          <w:tcPr>
            <w:tcW w:w="12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347,375</w:t>
            </w:r>
          </w:p>
        </w:tc>
        <w:tc>
          <w:tcPr>
            <w:tcW w:w="326" w:type="dxa"/>
            <w:tcBorders/>
            <w:vAlign w:val="center"/>
          </w:tcPr>
          <w:p>
            <w:pPr>
              <w:pStyle w:val="TableContents"/>
              <w:bidi w:val="0"/>
              <w:spacing w:before="0" w:after="0"/>
              <w:ind w:left="0" w:right="0" w:hanging="0"/>
              <w:jc w:val="left"/>
              <w:rPr/>
            </w:pPr>
            <w:r>
              <w:rPr/>
              <w:t>​</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(364,475)</w:t>
            </w:r>
          </w:p>
        </w:tc>
        <w:tc>
          <w:tcPr>
            <w:tcW w:w="326" w:type="dxa"/>
            <w:tcBorders/>
            <w:vAlign w:val="center"/>
          </w:tcPr>
          <w:p>
            <w:pPr>
              <w:pStyle w:val="TableContents"/>
              <w:bidi w:val="0"/>
              <w:spacing w:before="0" w:after="0"/>
              <w:ind w:left="0" w:right="0" w:hanging="0"/>
              <w:jc w:val="left"/>
              <w:rPr/>
            </w:pPr>
            <w:r>
              <w:rPr/>
              <w:t>​</w:t>
            </w:r>
          </w:p>
        </w:tc>
        <w:tc>
          <w:tcPr>
            <w:tcW w:w="109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000"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provided by/(used in) financing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5,342,489</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11,114,708</w:t>
            </w:r>
          </w:p>
        </w:tc>
        <w:tc>
          <w:tcPr>
            <w:tcW w:w="326" w:type="dxa"/>
            <w:tcBorders/>
            <w:shd w:fill="CCEEFF" w:val="clear"/>
            <w:vAlign w:val="center"/>
          </w:tcPr>
          <w:p>
            <w:pPr>
              <w:pStyle w:val="TableContents"/>
              <w:bidi w:val="0"/>
              <w:spacing w:before="0" w:after="0"/>
              <w:ind w:left="0" w:right="0" w:hanging="0"/>
              <w:jc w:val="left"/>
              <w:rPr/>
            </w:pPr>
            <w:r>
              <w:rPr/>
              <w:t>​</w:t>
            </w:r>
          </w:p>
        </w:tc>
        <w:tc>
          <w:tcPr>
            <w:tcW w:w="12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(21,248,879)</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(37,166)</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(16,638,206)</w:t>
            </w:r>
          </w:p>
        </w:tc>
        <w:tc>
          <w:tcPr>
            <w:tcW w:w="326" w:type="dxa"/>
            <w:tcBorders/>
            <w:shd w:fill="CCEEFF" w:val="clear"/>
            <w:vAlign w:val="center"/>
          </w:tcPr>
          <w:p>
            <w:pPr>
              <w:pStyle w:val="TableContents"/>
              <w:bidi w:val="0"/>
              <w:spacing w:before="0" w:after="0"/>
              <w:ind w:left="0" w:right="0" w:hanging="0"/>
              <w:jc w:val="left"/>
              <w:rPr/>
            </w:pPr>
            <w:r>
              <w:rPr/>
              <w:t>​</w:t>
            </w:r>
          </w:p>
        </w:tc>
        <w:tc>
          <w:tcPr>
            <w:tcW w:w="10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(21,467,054)</w:t>
            </w:r>
          </w:p>
        </w:tc>
      </w:tr>
    </w:tbl>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Note:</w:t>
      </w:r>
    </w:p>
    <w:tbl>
      <w:tblPr>
        <w:tblW w:w="10205" w:type="dxa"/>
        <w:jc w:val="left"/>
        <w:tblInd w:w="0" w:type="dxa"/>
        <w:tblLayout w:type="fixed"/>
        <w:tblCellMar>
          <w:top w:w="28" w:type="dxa"/>
          <w:left w:w="28" w:type="dxa"/>
          <w:bottom w:w="28" w:type="dxa"/>
          <w:right w:w="28" w:type="dxa"/>
        </w:tblCellMar>
      </w:tblPr>
      <w:tblGrid>
        <w:gridCol w:w="124"/>
        <w:gridCol w:w="315"/>
        <w:gridCol w:w="9766"/>
      </w:tblGrid>
      <w:tr>
        <w:trPr/>
        <w:tc>
          <w:tcPr>
            <w:tcW w:w="124" w:type="dxa"/>
            <w:tcBorders/>
            <w:vAlign w:val="center"/>
          </w:tcPr>
          <w:p>
            <w:pPr>
              <w:pStyle w:val="TableContents"/>
              <w:bidi w:val="0"/>
              <w:spacing w:before="0" w:after="283"/>
              <w:jc w:val="left"/>
              <w:rPr>
                <w:sz w:val="4"/>
                <w:szCs w:val="4"/>
              </w:rPr>
            </w:pPr>
            <w:r>
              <w:rPr>
                <w:sz w:val="4"/>
                <w:szCs w:val="4"/>
              </w:rPr>
            </w:r>
          </w:p>
        </w:tc>
        <w:tc>
          <w:tcPr>
            <w:tcW w:w="31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represents the elimination of intercompany balances among NetEase, Inc., other subsidiaries, primary beneficiary of VIEs, and VIEs and their subsidiaries.</w:t>
            </w:r>
          </w:p>
        </w:tc>
      </w:tr>
    </w:tbl>
    <w:tbl>
      <w:tblPr>
        <w:tblW w:w="10205" w:type="dxa"/>
        <w:jc w:val="left"/>
        <w:tblInd w:w="0" w:type="dxa"/>
        <w:tblLayout w:type="fixed"/>
        <w:tblCellMar>
          <w:top w:w="28" w:type="dxa"/>
          <w:left w:w="28" w:type="dxa"/>
          <w:bottom w:w="28" w:type="dxa"/>
          <w:right w:w="28" w:type="dxa"/>
        </w:tblCellMar>
      </w:tblPr>
      <w:tblGrid>
        <w:gridCol w:w="124"/>
        <w:gridCol w:w="318"/>
        <w:gridCol w:w="9763"/>
      </w:tblGrid>
      <w:tr>
        <w:trPr/>
        <w:tc>
          <w:tcPr>
            <w:tcW w:w="124" w:type="dxa"/>
            <w:tcBorders/>
            <w:vAlign w:val="center"/>
          </w:tcPr>
          <w:p>
            <w:pPr>
              <w:pStyle w:val="TableContents"/>
              <w:bidi w:val="0"/>
              <w:spacing w:before="0" w:after="283"/>
              <w:jc w:val="left"/>
              <w:rPr>
                <w:sz w:val="4"/>
                <w:szCs w:val="4"/>
              </w:rPr>
            </w:pPr>
            <w:r>
              <w:rPr>
                <w:sz w:val="4"/>
                <w:szCs w:val="4"/>
              </w:rPr>
            </w:r>
          </w:p>
        </w:tc>
        <w:tc>
          <w:tcPr>
            <w:tcW w:w="31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76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represents the elimination of the investments among NetEase, Inc., other subsidiaries, primary beneficiary of VIEs, and VIEs and their subsidiaries.</w:t>
            </w:r>
          </w:p>
        </w:tc>
      </w:tr>
    </w:tbl>
    <w:tbl>
      <w:tblPr>
        <w:tblW w:w="10205" w:type="dxa"/>
        <w:jc w:val="left"/>
        <w:tblInd w:w="0" w:type="dxa"/>
        <w:tblLayout w:type="fixed"/>
        <w:tblCellMar>
          <w:top w:w="28" w:type="dxa"/>
          <w:left w:w="28" w:type="dxa"/>
          <w:bottom w:w="28" w:type="dxa"/>
          <w:right w:w="28" w:type="dxa"/>
        </w:tblCellMar>
      </w:tblPr>
      <w:tblGrid>
        <w:gridCol w:w="124"/>
        <w:gridCol w:w="328"/>
        <w:gridCol w:w="9753"/>
      </w:tblGrid>
      <w:tr>
        <w:trPr/>
        <w:tc>
          <w:tcPr>
            <w:tcW w:w="124" w:type="dxa"/>
            <w:tcBorders/>
            <w:vAlign w:val="center"/>
          </w:tcPr>
          <w:p>
            <w:pPr>
              <w:pStyle w:val="TableContents"/>
              <w:bidi w:val="0"/>
              <w:spacing w:before="0" w:after="283"/>
              <w:jc w:val="left"/>
              <w:rPr>
                <w:sz w:val="4"/>
                <w:szCs w:val="4"/>
              </w:rPr>
            </w:pPr>
            <w:r>
              <w:rPr>
                <w:sz w:val="4"/>
                <w:szCs w:val="4"/>
              </w:rPr>
            </w:r>
          </w:p>
        </w:tc>
        <w:tc>
          <w:tcPr>
            <w:tcW w:w="32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75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represents the elimination of the intercompany technical consulting and related service charges at the consolidation level.</w:t>
            </w:r>
          </w:p>
        </w:tc>
      </w:tr>
    </w:tbl>
    <w:tbl>
      <w:tblPr>
        <w:tblW w:w="7971" w:type="dxa"/>
        <w:jc w:val="left"/>
        <w:tblInd w:w="0" w:type="dxa"/>
        <w:tblLayout w:type="fixed"/>
        <w:tblCellMar>
          <w:top w:w="28" w:type="dxa"/>
          <w:left w:w="28" w:type="dxa"/>
          <w:bottom w:w="28" w:type="dxa"/>
          <w:right w:w="28" w:type="dxa"/>
        </w:tblCellMar>
      </w:tblPr>
      <w:tblGrid>
        <w:gridCol w:w="124"/>
        <w:gridCol w:w="331"/>
        <w:gridCol w:w="751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7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represents the elimination of the other intercompany activities at the consolidation level.</w:t>
            </w:r>
          </w:p>
        </w:tc>
      </w:tr>
    </w:tbl>
    <w:tbl>
      <w:tblPr>
        <w:tblW w:w="7146" w:type="dxa"/>
        <w:jc w:val="left"/>
        <w:tblInd w:w="0" w:type="dxa"/>
        <w:tblLayout w:type="fixed"/>
        <w:tblCellMar>
          <w:top w:w="28" w:type="dxa"/>
          <w:left w:w="28" w:type="dxa"/>
          <w:bottom w:w="28" w:type="dxa"/>
          <w:right w:w="28" w:type="dxa"/>
        </w:tblCellMar>
      </w:tblPr>
      <w:tblGrid>
        <w:gridCol w:w="124"/>
        <w:gridCol w:w="331"/>
        <w:gridCol w:w="669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66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represents the elimination of the dividends payment at the consolidation level.</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311"/>
        <w:gridCol w:w="9770"/>
      </w:tblGrid>
      <w:tr>
        <w:trPr/>
        <w:tc>
          <w:tcPr>
            <w:tcW w:w="124" w:type="dxa"/>
            <w:tcBorders/>
            <w:vAlign w:val="center"/>
          </w:tcPr>
          <w:p>
            <w:pPr>
              <w:pStyle w:val="TableContents"/>
              <w:bidi w:val="0"/>
              <w:spacing w:before="0" w:after="283"/>
              <w:jc w:val="left"/>
              <w:rPr>
                <w:sz w:val="4"/>
                <w:szCs w:val="4"/>
              </w:rPr>
            </w:pPr>
            <w:r>
              <w:rPr>
                <w:sz w:val="4"/>
                <w:szCs w:val="4"/>
              </w:rPr>
            </w:r>
          </w:p>
        </w:tc>
        <w:tc>
          <w:tcPr>
            <w:tcW w:w="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77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represents the elimination of intra-Group loans related cash activities among NetEase, Inc., other subsidiaries, primary beneficiary of VIEs, and VIEs and their subsidiaries.</w:t>
            </w:r>
          </w:p>
        </w:tc>
      </w:tr>
    </w:tbl>
    <w:tbl>
      <w:tblPr>
        <w:tblW w:w="10205" w:type="dxa"/>
        <w:jc w:val="left"/>
        <w:tblInd w:w="0" w:type="dxa"/>
        <w:tblLayout w:type="fixed"/>
        <w:tblCellMar>
          <w:top w:w="28" w:type="dxa"/>
          <w:left w:w="28" w:type="dxa"/>
          <w:bottom w:w="28" w:type="dxa"/>
          <w:right w:w="28" w:type="dxa"/>
        </w:tblCellMar>
      </w:tblPr>
      <w:tblGrid>
        <w:gridCol w:w="124"/>
        <w:gridCol w:w="311"/>
        <w:gridCol w:w="9770"/>
      </w:tblGrid>
      <w:tr>
        <w:trPr/>
        <w:tc>
          <w:tcPr>
            <w:tcW w:w="124" w:type="dxa"/>
            <w:tcBorders/>
            <w:vAlign w:val="center"/>
          </w:tcPr>
          <w:p>
            <w:pPr>
              <w:pStyle w:val="TableContents"/>
              <w:bidi w:val="0"/>
              <w:spacing w:before="0" w:after="283"/>
              <w:jc w:val="left"/>
              <w:rPr>
                <w:sz w:val="4"/>
                <w:szCs w:val="4"/>
              </w:rPr>
            </w:pPr>
            <w:r>
              <w:rPr>
                <w:sz w:val="4"/>
                <w:szCs w:val="4"/>
              </w:rPr>
            </w:r>
          </w:p>
        </w:tc>
        <w:tc>
          <w:tcPr>
            <w:tcW w:w="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77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represents the elimination of other investing and financing activities among NetEase, Inc., other subsidiaries, primary beneficiary of VIEs, and VIEs and their subsidiaries.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Restrictions on Foreign Exchange and the Ability to Transfer Cash between Entities, Across Borders and to U.S. Investors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NetEase, Inc.’s ability to pay dividends, if any, to its shareholders and ADS holders and to service any debt it may incur will depend upon dividends paid by our China mainland subsidiaries. See “—Management of Capital Resources” above.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if certain procedural requirements are satisfied, the payment of current account items, including profit distributions and trade and service-related foreign exchange transactions, can be made in foreign currencies without prior approval from SAFE or its local branches. However, where RMB is to be converted into foreign currency and remitted out of China to pay capital expenses, such as the repayment of loans denominated in foreign currencies, approval from or registration with competent government authorities or its authorized banks is required. The PRC government may take measures at its discretion from time to time to restrict access to foreign currencies for current account or capital account transactions. If the foreign exchange regulatory system prevents us from obtaining sufficient foreign currencies to satisfy our foreign currency demands, we may not be able to pay dividends in foreign currencies to our offshore intermediary holding companies or ultimate parent company, and therefore, our shareholders or investors in our ADSs. Further, we cannot assure you that new regulations or policies will not be promulgated in the future, which may further restrict the remittance of RMB into or out of the PRC. We cannot assure you, in light of the restrictions in place, or any amendment to be made from time to time, that our current or future China mainland subsidiaries will be able to satisfy their respective payment obligations that are denominated in foreign currencies, including the remittance of dividends outside of the PRC. If any of our subsidiaries incurs debt on its own behalf in the future, the instruments governing such debt may restrict its ability to pay dividends. In addition, our China mainland subsidiaries are required to make appropriations to certain statutory reserve funds, which are not distributable as cash dividends except in the event of a solvent liquidation of the companies.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PRC and United States federal income tax consideration of an investment in the ADSs, see Item 10.E. “Additional Information—Taxation.”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Research and Development, Patents and Licenses, etc.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that an integral part of our future success will depend on our ability to develop and enhance our services. Our product development efforts and strategies consist of incorporating new technologies from third parties as well as continuing to develop our own proprietary technology.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utilized and will continue to utilize the products and services of third parties to enhance our platform of technologies and services to provide competitive and diverse online game, education and other innovative services to our users. In addition, we plan to continue to expand our technologies, products and services and registered user base through diverse online community products and services developed internally, particularly with respect to our games and related value-added services. We will seek to continually improve and enhance our existing services to respond to rapidly evolving competitive and technological conditions. For the years 2021, 2022 and 2023, we spent RMB14.1 billion, RMB15.0 billion and RMB16.5 billion (US$2.3 billion), respectively, on R&amp;D activities.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b/>
          <w:sz w:val="20"/>
        </w:rPr>
        <w:t xml:space="preserve">Trend Information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Other than as described elsewhere in this annual report, we are not aware of any trends, uncertainties, demands, commitments or events that are reasonably likely to have a material adverse effect on our revenue, income from continuing operations, profitability, liquidity or capital resources, or that would cause our reported financial information not necessarily to be indicative of future operation results or financial condition.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E.</w:t>
      </w:r>
      <w:r>
        <w:rPr>
          <w:rFonts w:ascii="Times New Roman;Times;serif" w:hAnsi="Times New Roman;Times;serif"/>
          <w:b/>
          <w:sz w:val="20"/>
        </w:rPr>
        <w:t xml:space="preserve">Critical Accounting Estimates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preparation of our consolidated financial statements requires our management to make estimates and assumptions that affect the amounts reported in the consolidated financial statements, which have been prepared in accordance with U.S. GAAP. Our management periodically re-evaluates these estimates and assumptions based on historical experience and other factors, including expectations of future events that they believe to be reasonable under the circumstances. Actual results may differ significantly from those estimates and assumptions. We have identified the following accounting policies and estimates as the most critical to an understanding of our financial position and results of operations, because the application of these policies requires significant and complex management estimates, assumptions and judgment, and the reporting of materially different amounts could result if different estimates or assumptions were used or different judgments were made.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consider an accounting estimate to be critical if: (1) the accounting estimate requires us to make assumptions about matters that were highly uncertain at the time the accounting estimate was made, and (2) changes in the estimate that are reasonably likely to occur from period to period, or use of different estimates that we reasonably could have used in the current period, would have a material impact on our financial condition or results of operations. There are other items within our financial statements that require estimation but are not deemed critical, as defined above. Changes in estimates used in these and other items could have a material impact on our financial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a detailed discussion of our significant accounting policies and related judgments, please see “Notes to the Consolidated Financial Statements—Note 2 Principal Accounting Policies.” You should read the following description of critical accounting estimates in conjunction with our consolidated financial statements and other disclosures included in this annual report.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Estimate of Average Playing Period of Paying Players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operate mobile games and PC games. We are the principal of substantially all games we operate, including both in-house developed games and licensed games. As all these games are hosted on our servers, we have the pricing discretion, and are responsible for the sale and marketing of the games as well as any related customer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Most of our game revenues are generated from the sale of in-game virtual items and revenues of certain online games in-game virtual items are recognized ratably over the respective estimated average playing period of paying players in these games.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Nature of Estimates Required – average playing period of paying players. The average playing period of paying player is subjected to period assessment. Considering the events or circumstances may change that indicate the change of the estimate, we assessed the average playing period of paying player on a quarterly basis. We make a qualitative and quantitative assessment to determine the average playing period of paying players for each game. If a qualitative and quantitative assessment identifies the change of the average playing period of paying players based on newly available paying players information, we may prospectively apply the change of estimate.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Assumptions Used. Changes in assumptions or estimates can materially affect average playing period of paying players and, therefore, can affect the test results. The following are key assumptions we use in making the average playing period of paying player for each game: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Players’ churn rates. A churn rate is calculated starting from the point-in-time when related in-game virtual items are delivered to the paying players’ accounts and track populations of paying players who made their initial purchases during the interval period, or the Cohort. Then, we track the number of paying players from each Cohort who left subsequent to their initial purchase. We make assumptions about the future players’ churn rate to the ending point of a paying player’s lifespan beyond the date for which we observed and extrapolate the actual observed churn rate to arrive at an estimated weighted average playing period for paying players of the selected games.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Similarities between new games and existing games. We make assumption regarding similarities between new games and existing games with sufficient historical data. These assumptions include, but not limited to types of games and characteristics of targeted players.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connection with our periodic reviews of the estimate, the assumptions are evaluated accordingly considering historical players’ churn rates, similarities between new games and existing games and management judgment. Updates to these assumptions will impact the estimate of average playing period of paying players and the revenue recognized accordingly. If the estimate of average playing period of paying players is extended, the revenue will be recognized over a longer period and vice versa. See Note 2(c)(i) of the Notes to the Consolidated Financial Statements for more information.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Impairment of Long-term Investments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For investments in common stock or in-substance commons stocks issued by privately-held companies over which we did not have significant influence, and investments in privately-held companies’ shares that are not common stock or in-substance common stocks, as these securities do not have readily determinable fair value, we measure these investments at cost, less impairment, if any, plus or minus changes resulting from observable price changes in orderly transactions for the same or a similar investment in the same issuer(referred to as Measurement Alternative).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Investments in common stock or in-substance common stock of investees and limited-partnership investments in which we are in a position to exercise significant influence by participating in, but not controlling or jointly controlling, the financial and operating policies are accounted for using the equity method.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Nature of Estimates Required – Impairment assessment of equity method investments and long-term equity investments without readily determinable fair values.</w:t>
      </w:r>
      <w:r>
        <w:rPr>
          <w:rFonts w:ascii="Times New Roman;Times;serif" w:hAnsi="Times New Roman;Times;serif"/>
          <w:sz w:val="20"/>
        </w:rPr>
        <w:t xml:space="preserve"> We regularly evaluate the impairment of the investments in equity method investments and privately-held companies without readily determinable fair value periodically or when events or circumstances indicate that the carrying amount may not be recoverable. For equity method investments, we consider an investment impaired when events or circumstances suggest the carrying amount may not be recoverable. For equity investments without readily determinable fair value for which we have elected to use the measurement alternative, we make a qualitative assessment of whether the investment is impaired periodically, or when events or circumstances indicate that the carrying amount may not be recoverable, applying significant judgement in considering various events and factors.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Assumptions and Approach Used – Impairment assessment.</w:t>
      </w:r>
      <w:r>
        <w:rPr>
          <w:rFonts w:ascii="Times New Roman;Times;serif" w:hAnsi="Times New Roman;Times;serif"/>
          <w:sz w:val="20"/>
        </w:rPr>
        <w:t xml:space="preserve"> The approach we used to assess investment impairment are based on assumptions and management judgement in considering various factors and events. The events or circumstances and factors we consider for the impairment assessment including a) significant deterioration in the earnings performance, credit rating, asset quality, or business prospects of the investees; b) significant adverse change in the regulatory, economic, or technological environment of the investees; c) significant adverse change in the general market condition of either the geographical area or the industry in which the investees operate; d) bona fide offer to purchase, an offer by the investee to sell, or a completed auction process for the same or similar investment for an amount less than the carrying amount of that investment; e) factors that raise significant concerns about the investees’ ability to continue as a going concern; f) factors that raise significant concerns about the performance of new products and g) valuation methods and key estimates in the determination of the impairment amounts. Many of the factors used in assessing performance and financial position of the investee are outside the control of management, and these assumptions and judgement may change in future periods.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Assumptions and Approach Used – Fair value of the investees.</w:t>
      </w:r>
      <w:r>
        <w:rPr>
          <w:rFonts w:ascii="Times New Roman;Times;serif" w:hAnsi="Times New Roman;Times;serif"/>
          <w:sz w:val="20"/>
        </w:rPr>
        <w:t xml:space="preserve"> If the assessment indicates that there’s impairment indicator, we estimate the investment’s fair value in accordance with the principles of ASC 820. We measure the fair value of the investees considering the severity and duration of the impairment indicator and the existence of any positive or mitigating factors or based on income approach or market approach.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Income approach uses cash flow projections. Inherent in the investees’ development of cash flow projections are assumptions and estimates derived from a review of the investees’ operating results, business plan forecasts, expected growth rates, and cost of capital, similar to those a market participant would use to assess fair value. We also make certain assumptions about future economic conditions and other data. Many of the factors used in assessing fair value are outside the control of management, and these assumptions and estimates may change in future periods.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market approach is another method for measuring the fair value of the investment which relies on the market value (i.e., market capitalization) of companies that are engaged in the same or similar investment of investees being evaluated. In addition, to the extent available we also consider third-party valuations that were prepared for other business purposes.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Assumptions used in Income Approach:</w:t>
      </w:r>
      <w:r>
        <w:rPr>
          <w:rFonts w:ascii="Times New Roman;Times;serif" w:hAnsi="Times New Roman;Times;serif"/>
          <w:sz w:val="20"/>
        </w:rPr>
        <w:t xml:space="preserve"> The following are key assumptions we use in making cash flow projections: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Business projections.</w:t>
            </w:r>
            <w:r>
              <w:rPr>
                <w:caps w:val="false"/>
                <w:smallCaps w:val="false"/>
              </w:rPr>
              <w:t xml:space="preserve"> </w:t>
            </w:r>
            <w:r>
              <w:rPr>
                <w:rFonts w:ascii="Times New Roman;Times;serif" w:hAnsi="Times New Roman;Times;serif"/>
                <w:b w:val="false"/>
                <w:i w:val="false"/>
                <w:caps w:val="false"/>
                <w:smallCaps w:val="false"/>
                <w:sz w:val="20"/>
              </w:rPr>
              <w:t>We make assumptions about the investees’ business in the marketplace. These assumptions drive our planning assumptions for each revenue streams. We also make assumptions about cost levels (e.g., capacity utilization, cost performance). These projections are derived using investees’ business plan forecasts.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Long-term growth rate.</w:t>
            </w:r>
            <w:r>
              <w:rPr>
                <w:caps w:val="false"/>
                <w:smallCaps w:val="false"/>
              </w:rPr>
              <w:t xml:space="preserve"> </w:t>
            </w:r>
            <w:r>
              <w:rPr>
                <w:rFonts w:ascii="Times New Roman;Times;serif" w:hAnsi="Times New Roman;Times;serif"/>
                <w:b w:val="false"/>
                <w:i w:val="false"/>
                <w:caps w:val="false"/>
                <w:smallCaps w:val="false"/>
                <w:sz w:val="20"/>
              </w:rPr>
              <w:t>A growth rate is used to calculate the terminal value of the business and is added to the present value of the debt-free interim cash flows. The growth rate is the expected rate at which the investees’ business unit’s earnings stream is projected to grow beyond the planning period.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Discount rate.</w:t>
            </w:r>
            <w:r>
              <w:rPr>
                <w:caps w:val="false"/>
                <w:smallCaps w:val="false"/>
              </w:rPr>
              <w:t xml:space="preserve"> </w:t>
            </w:r>
            <w:r>
              <w:rPr>
                <w:rFonts w:ascii="Times New Roman;Times;serif" w:hAnsi="Times New Roman;Times;serif"/>
                <w:b w:val="false"/>
                <w:i w:val="false"/>
                <w:caps w:val="false"/>
                <w:smallCaps w:val="false"/>
                <w:sz w:val="20"/>
              </w:rPr>
              <w:t>When measuring possible impairment, future cash flows are discounted at a rate that is consistent with a weighted-average cost of capital that we anticipate a potential market participant would use. Weighted-average cost of capital is an estimate of the overall risk-adjusted pre-tax rate of return expected by equity and debt holders of a business enterprise.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Economic projections.</w:t>
            </w:r>
            <w:r>
              <w:rPr>
                <w:caps w:val="false"/>
                <w:smallCaps w:val="false"/>
              </w:rPr>
              <w:t xml:space="preserve"> </w:t>
            </w:r>
            <w:r>
              <w:rPr>
                <w:rFonts w:ascii="Times New Roman;Times;serif" w:hAnsi="Times New Roman;Times;serif"/>
                <w:b w:val="false"/>
                <w:i w:val="false"/>
                <w:caps w:val="false"/>
                <w:smallCaps w:val="false"/>
                <w:sz w:val="20"/>
              </w:rPr>
              <w:t>Assumptions regarding general economic conditions are included in and affect our assumptions regarding industry sales and pricing estimates for the investees’ business. These macroeconomic assumptions include, but are not limited to, regulatory, economic, or technological development, inflation, interest rates, customer preference, and foreign currency exchange rates.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i/>
          <w:sz w:val="20"/>
        </w:rPr>
        <w:t xml:space="preserve">Assumptions used in Market Approach: </w:t>
      </w:r>
      <w:r>
        <w:rPr>
          <w:rFonts w:ascii="Times New Roman;Times;serif" w:hAnsi="Times New Roman;Times;serif"/>
          <w:sz w:val="20"/>
        </w:rPr>
        <w:t>The following are key assumptions we use in market approach:</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Selection of comparable companies and multiples.</w:t>
            </w:r>
            <w:r>
              <w:rPr>
                <w:caps w:val="false"/>
                <w:smallCaps w:val="false"/>
              </w:rPr>
              <w:t xml:space="preserve"> </w:t>
            </w:r>
            <w:r>
              <w:rPr>
                <w:rFonts w:ascii="Times New Roman;Times;serif" w:hAnsi="Times New Roman;Times;serif"/>
                <w:b w:val="false"/>
                <w:i w:val="false"/>
                <w:caps w:val="false"/>
                <w:smallCaps w:val="false"/>
                <w:sz w:val="20"/>
              </w:rPr>
              <w:t xml:space="preserve">We make selection of listed comparable companies and appropriate multiples by taking into account of the main businesses, the scale and the business performance, development stage, product mix, financial position of these companies and the investees.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Timing and probabilities of different scenarios.</w:t>
            </w:r>
            <w:r>
              <w:rPr>
                <w:caps w:val="false"/>
                <w:smallCaps w:val="false"/>
              </w:rPr>
              <w:t xml:space="preserve"> </w:t>
            </w:r>
            <w:r>
              <w:rPr>
                <w:rFonts w:ascii="Times New Roman;Times;serif" w:hAnsi="Times New Roman;Times;serif"/>
                <w:b w:val="false"/>
                <w:i w:val="false"/>
                <w:caps w:val="false"/>
                <w:smallCaps w:val="false"/>
                <w:sz w:val="20"/>
              </w:rPr>
              <w:t xml:space="preserve">Timing and probabilities of different scenarios such as redemption, liquidation and IPO are based on our best estimate.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Estimated volatility rate.</w:t>
            </w:r>
            <w:r>
              <w:rPr>
                <w:caps w:val="false"/>
                <w:smallCaps w:val="false"/>
              </w:rPr>
              <w:t xml:space="preserve"> </w:t>
            </w:r>
            <w:r>
              <w:rPr>
                <w:rFonts w:ascii="Times New Roman;Times;serif" w:hAnsi="Times New Roman;Times;serif"/>
                <w:b w:val="false"/>
                <w:i w:val="false"/>
                <w:caps w:val="false"/>
                <w:smallCaps w:val="false"/>
                <w:sz w:val="20"/>
              </w:rPr>
              <w:t>Estimated volatility rate was estimated based on annualized standard deviation of the daily return embedded in historical stock prices of comparable companies with a time horizon close to the expected term.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Risk-free rate.</w:t>
            </w:r>
            <w:r>
              <w:rPr>
                <w:caps w:val="false"/>
                <w:smallCaps w:val="false"/>
              </w:rPr>
              <w:t xml:space="preserve"> </w:t>
            </w:r>
            <w:r>
              <w:rPr>
                <w:rFonts w:ascii="Times New Roman;Times;serif" w:hAnsi="Times New Roman;Times;serif"/>
                <w:b w:val="false"/>
                <w:i w:val="false"/>
                <w:caps w:val="false"/>
                <w:smallCaps w:val="false"/>
                <w:sz w:val="20"/>
              </w:rPr>
              <w:t>We determined the risk-free rate based on the interest rate of different government bonds with a time horizon close to expected term. The selections of government bonds are made mainly based on the financing currency of the investee and the country where the main operation of the investee take place.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Discount for lack of marketability. </w:t>
            </w:r>
            <w:r>
              <w:rPr>
                <w:rFonts w:ascii="Times New Roman;Times;serif" w:hAnsi="Times New Roman;Times;serif"/>
                <w:b w:val="false"/>
                <w:i w:val="false"/>
                <w:caps w:val="false"/>
                <w:smallCaps w:val="false"/>
                <w:sz w:val="20"/>
              </w:rPr>
              <w:t>The discount for lack of marketability, or the DLOM, was estimated based on the option-pricing method. Under this method, the cost of put option, which can hedge the price change before the privately held share can be sold, was considered as a basis to determine the lack of marketability discount.</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For equity method investments, we recognize the impairment charge in the consolidated statements of operations and comprehensive income for a decline in value that is determined to be other than temporary. For long-term equity investments without readily determinable fair values, we record an impairment in the consolidated statements of operations and comprehensive income to the extent the carrying amount exceeds the fair value. To make judgements as to whether a decline in value of equity method investments was other than temporary, we mainly consider the length of time and the extent to which the market value has been less than cost and the financial condition and near-term prospects of the investee.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Changes in assumptions or estimates can materially affect the fair value measurement of the investment and, therefore, can affect the test results. For the year ended December 31, 2023, totally RMB274.2 million investment impairment were charged. See Note 11 of Notes to the Consolidated Financial Statements for more information.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6" w:name="Item6DirectorsSeniorManagementandEmploye"/>
      <w:bookmarkStart w:id="77" w:name="_8eee765f_6930_444a_95f6_70b6bef98dd5"/>
      <w:bookmarkEnd w:id="76"/>
      <w:bookmarkEnd w:id="77"/>
      <w:r>
        <w:rPr>
          <w:rFonts w:ascii="Times New Roman;Times;serif" w:hAnsi="Times New Roman;Times;serif"/>
          <w:b/>
          <w:sz w:val="20"/>
        </w:rPr>
        <w:t>Item 6.   Directors, Senior Management and Employees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           Directors and Senior Management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names of our directors and executive officers, their ages as of March 31, 2024 and the principal positions with NetEase held by them are as follows:</w:t>
      </w:r>
    </w:p>
    <w:p>
      <w:pPr>
        <w:pStyle w:val="TextBody"/>
        <w:bidi w:val="0"/>
        <w:spacing w:before="0" w:after="0"/>
        <w:ind w:left="0" w:right="0" w:hanging="0"/>
        <w:jc w:val="left"/>
        <w:rPr/>
      </w:pPr>
      <w:r>
        <w:rPr/>
        <w:t>​</w:t>
      </w:r>
    </w:p>
    <w:tbl>
      <w:tblPr>
        <w:tblW w:w="6295" w:type="dxa"/>
        <w:jc w:val="left"/>
        <w:tblInd w:w="0" w:type="dxa"/>
        <w:tblLayout w:type="fixed"/>
        <w:tblCellMar>
          <w:top w:w="0" w:type="dxa"/>
          <w:left w:w="0" w:type="dxa"/>
          <w:bottom w:w="0" w:type="dxa"/>
          <w:right w:w="0" w:type="dxa"/>
        </w:tblCellMar>
      </w:tblPr>
      <w:tblGrid>
        <w:gridCol w:w="2131"/>
        <w:gridCol w:w="326"/>
        <w:gridCol w:w="391"/>
        <w:gridCol w:w="326"/>
        <w:gridCol w:w="3121"/>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353185" cy="29210"/>
                      <wp:effectExtent l="0" t="0" r="0" b="0"/>
                      <wp:wrapNone/>
                      <wp:docPr id="242" name="Frame241"/>
                      <a:graphic xmlns:a="http://schemas.openxmlformats.org/drawingml/2006/main">
                        <a:graphicData uri="http://schemas.microsoft.com/office/word/2010/wordprocessingShape">
                          <wps:wsp>
                            <wps:cNvSpPr txBox="1"/>
                            <wps:spPr>
                              <a:xfrm>
                                <a:off x="0" y="0"/>
                                <a:ext cx="13531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07010" cy="29210"/>
                      <wp:effectExtent l="0" t="0" r="0" b="0"/>
                      <wp:wrapNone/>
                      <wp:docPr id="243" name="Frame242"/>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48285" cy="29210"/>
                      <wp:effectExtent l="0" t="0" r="0" b="0"/>
                      <wp:wrapNone/>
                      <wp:docPr id="244" name="Frame243"/>
                      <a:graphic xmlns:a="http://schemas.openxmlformats.org/drawingml/2006/main">
                        <a:graphicData uri="http://schemas.microsoft.com/office/word/2010/wordprocessingShape">
                          <wps:wsp>
                            <wps:cNvSpPr txBox="1"/>
                            <wps:spPr>
                              <a:xfrm>
                                <a:off x="0" y="0"/>
                                <a:ext cx="2482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07010" cy="29210"/>
                      <wp:effectExtent l="0" t="0" r="0" b="0"/>
                      <wp:wrapNone/>
                      <wp:docPr id="245" name="Frame244"/>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981835" cy="29210"/>
                      <wp:effectExtent l="0" t="0" r="0" b="0"/>
                      <wp:wrapNone/>
                      <wp:docPr id="246" name="Frame245"/>
                      <a:graphic xmlns:a="http://schemas.openxmlformats.org/drawingml/2006/main">
                        <a:graphicData uri="http://schemas.microsoft.com/office/word/2010/wordprocessingShape">
                          <wps:wsp>
                            <wps:cNvSpPr txBox="1"/>
                            <wps:spPr>
                              <a:xfrm>
                                <a:off x="0" y="0"/>
                                <a:ext cx="19818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1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Age</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1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Position</w:t>
            </w:r>
          </w:p>
        </w:tc>
      </w:tr>
      <w:tr>
        <w:trPr/>
        <w:tc>
          <w:tcPr>
            <w:tcW w:w="213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William Lei Ding</w:t>
            </w:r>
          </w:p>
        </w:tc>
        <w:tc>
          <w:tcPr>
            <w:tcW w:w="326" w:type="dxa"/>
            <w:tcBorders/>
            <w:shd w:fill="CCEEFF" w:val="clear"/>
            <w:vAlign w:val="center"/>
          </w:tcPr>
          <w:p>
            <w:pPr>
              <w:pStyle w:val="TableContents"/>
              <w:bidi w:val="0"/>
              <w:spacing w:before="0" w:after="0"/>
              <w:ind w:left="0" w:right="0" w:hanging="0"/>
              <w:jc w:val="left"/>
              <w:rPr/>
            </w:pPr>
            <w:r>
              <w:rPr/>
              <w:t>​</w:t>
            </w:r>
          </w:p>
        </w:tc>
        <w:tc>
          <w:tcPr>
            <w:tcW w:w="391"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52</w:t>
            </w:r>
          </w:p>
        </w:tc>
        <w:tc>
          <w:tcPr>
            <w:tcW w:w="326" w:type="dxa"/>
            <w:tcBorders/>
            <w:shd w:fill="CCEEFF" w:val="clear"/>
            <w:vAlign w:val="center"/>
          </w:tcPr>
          <w:p>
            <w:pPr>
              <w:pStyle w:val="TableContents"/>
              <w:bidi w:val="0"/>
              <w:spacing w:before="0" w:after="0"/>
              <w:ind w:left="0" w:right="0" w:hanging="0"/>
              <w:jc w:val="left"/>
              <w:rPr/>
            </w:pPr>
            <w:r>
              <w:rPr/>
              <w:t>​</w:t>
            </w:r>
          </w:p>
        </w:tc>
        <w:tc>
          <w:tcPr>
            <w:tcW w:w="312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 and Chief Executive Officer</w:t>
            </w:r>
          </w:p>
        </w:tc>
      </w:tr>
      <w:tr>
        <w:trPr/>
        <w:tc>
          <w:tcPr>
            <w:tcW w:w="213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Alice Yu-Fen Cheng </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62</w:t>
            </w:r>
          </w:p>
        </w:tc>
        <w:tc>
          <w:tcPr>
            <w:tcW w:w="326" w:type="dxa"/>
            <w:tcBorders/>
            <w:vAlign w:val="center"/>
          </w:tcPr>
          <w:p>
            <w:pPr>
              <w:pStyle w:val="TableContents"/>
              <w:bidi w:val="0"/>
              <w:spacing w:before="0" w:after="0"/>
              <w:ind w:left="0" w:right="0" w:hanging="0"/>
              <w:jc w:val="left"/>
              <w:rPr/>
            </w:pPr>
            <w:r>
              <w:rPr/>
              <w:t>​</w:t>
            </w:r>
          </w:p>
        </w:tc>
        <w:tc>
          <w:tcPr>
            <w:tcW w:w="31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Independent Director</w:t>
            </w:r>
          </w:p>
        </w:tc>
      </w:tr>
      <w:tr>
        <w:trPr/>
        <w:tc>
          <w:tcPr>
            <w:tcW w:w="213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Grace Hui Tang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64</w:t>
            </w:r>
          </w:p>
        </w:tc>
        <w:tc>
          <w:tcPr>
            <w:tcW w:w="326" w:type="dxa"/>
            <w:tcBorders/>
            <w:shd w:fill="CCEEFF" w:val="clear"/>
            <w:vAlign w:val="center"/>
          </w:tcPr>
          <w:p>
            <w:pPr>
              <w:pStyle w:val="TableContents"/>
              <w:bidi w:val="0"/>
              <w:spacing w:before="0" w:after="0"/>
              <w:ind w:left="0" w:right="0" w:hanging="0"/>
              <w:jc w:val="left"/>
              <w:rPr/>
            </w:pPr>
            <w:r>
              <w:rPr/>
              <w:t>​</w:t>
            </w:r>
          </w:p>
        </w:tc>
        <w:tc>
          <w:tcPr>
            <w:tcW w:w="31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Independent Director</w:t>
            </w:r>
          </w:p>
        </w:tc>
      </w:tr>
      <w:tr>
        <w:trPr/>
        <w:tc>
          <w:tcPr>
            <w:tcW w:w="213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Joseph Tze Kay Tong </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61</w:t>
            </w:r>
          </w:p>
        </w:tc>
        <w:tc>
          <w:tcPr>
            <w:tcW w:w="326" w:type="dxa"/>
            <w:tcBorders/>
            <w:vAlign w:val="center"/>
          </w:tcPr>
          <w:p>
            <w:pPr>
              <w:pStyle w:val="TableContents"/>
              <w:bidi w:val="0"/>
              <w:spacing w:before="0" w:after="0"/>
              <w:ind w:left="0" w:right="0" w:hanging="0"/>
              <w:jc w:val="left"/>
              <w:rPr/>
            </w:pPr>
            <w:r>
              <w:rPr/>
              <w:t>​</w:t>
            </w:r>
          </w:p>
        </w:tc>
        <w:tc>
          <w:tcPr>
            <w:tcW w:w="31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Independent Director</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Michael Man Kit Leung </w:t>
            </w:r>
          </w:p>
        </w:tc>
        <w:tc>
          <w:tcPr>
            <w:tcW w:w="32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70</w:t>
            </w:r>
          </w:p>
        </w:tc>
        <w:tc>
          <w:tcPr>
            <w:tcW w:w="326" w:type="dxa"/>
            <w:tcBorders/>
            <w:shd w:fill="CCEEFF" w:val="clear"/>
            <w:vAlign w:val="center"/>
          </w:tcPr>
          <w:p>
            <w:pPr>
              <w:pStyle w:val="TableContents"/>
              <w:bidi w:val="0"/>
              <w:spacing w:before="0" w:after="0"/>
              <w:ind w:left="0" w:right="0" w:hanging="0"/>
              <w:jc w:val="left"/>
              <w:rPr/>
            </w:pPr>
            <w:r>
              <w:rPr/>
              <w:t>​</w:t>
            </w:r>
          </w:p>
        </w:tc>
        <w:tc>
          <w:tcPr>
            <w:tcW w:w="31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Independent Director</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Yingfeng Ding</w:t>
            </w:r>
          </w:p>
        </w:tc>
        <w:tc>
          <w:tcPr>
            <w:tcW w:w="32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52</w:t>
            </w:r>
          </w:p>
        </w:tc>
        <w:tc>
          <w:tcPr>
            <w:tcW w:w="326" w:type="dxa"/>
            <w:tcBorders/>
            <w:vAlign w:val="center"/>
          </w:tcPr>
          <w:p>
            <w:pPr>
              <w:pStyle w:val="TableContents"/>
              <w:bidi w:val="0"/>
              <w:spacing w:before="0" w:after="0"/>
              <w:ind w:left="0" w:right="0" w:hanging="0"/>
              <w:jc w:val="left"/>
              <w:rPr/>
            </w:pPr>
            <w:r>
              <w:rPr/>
              <w:t>​</w:t>
            </w:r>
          </w:p>
        </w:tc>
        <w:tc>
          <w:tcPr>
            <w:tcW w:w="31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Paul W. Boltz, Jr.</w:t>
            </w:r>
          </w:p>
        </w:tc>
        <w:tc>
          <w:tcPr>
            <w:tcW w:w="32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54</w:t>
            </w:r>
          </w:p>
        </w:tc>
        <w:tc>
          <w:tcPr>
            <w:tcW w:w="326" w:type="dxa"/>
            <w:tcBorders/>
            <w:shd w:fill="CCEEFF" w:val="clear"/>
            <w:vAlign w:val="center"/>
          </w:tcPr>
          <w:p>
            <w:pPr>
              <w:pStyle w:val="TableContents"/>
              <w:bidi w:val="0"/>
              <w:spacing w:before="0" w:after="0"/>
              <w:ind w:left="0" w:right="0" w:hanging="0"/>
              <w:jc w:val="left"/>
              <w:rPr/>
            </w:pPr>
            <w:r>
              <w:rPr/>
              <w:t>​</w:t>
            </w:r>
          </w:p>
        </w:tc>
        <w:tc>
          <w:tcPr>
            <w:tcW w:w="31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Counsel</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Sarah Ying Li</w:t>
            </w:r>
          </w:p>
        </w:tc>
        <w:tc>
          <w:tcPr>
            <w:tcW w:w="32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c>
          <w:tcPr>
            <w:tcW w:w="326" w:type="dxa"/>
            <w:tcBorders/>
            <w:vAlign w:val="center"/>
          </w:tcPr>
          <w:p>
            <w:pPr>
              <w:pStyle w:val="TableContents"/>
              <w:bidi w:val="0"/>
              <w:spacing w:before="0" w:after="0"/>
              <w:ind w:left="0" w:right="0" w:hanging="0"/>
              <w:jc w:val="left"/>
              <w:rPr/>
            </w:pPr>
            <w:r>
              <w:rPr/>
              <w:t>​</w:t>
            </w:r>
          </w:p>
        </w:tc>
        <w:tc>
          <w:tcPr>
            <w:tcW w:w="31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Head of Financial Reporting</w:t>
            </w:r>
          </w:p>
        </w:tc>
      </w:tr>
    </w:tbl>
    <w:tbl>
      <w:tblPr>
        <w:tblW w:w="10205" w:type="dxa"/>
        <w:jc w:val="left"/>
        <w:tblInd w:w="0" w:type="dxa"/>
        <w:tblLayout w:type="fixed"/>
        <w:tblCellMar>
          <w:top w:w="0" w:type="dxa"/>
          <w:left w:w="0" w:type="dxa"/>
          <w:bottom w:w="0" w:type="dxa"/>
          <w:right w:w="0" w:type="dxa"/>
        </w:tblCellMar>
      </w:tblPr>
      <w:tblGrid>
        <w:gridCol w:w="330"/>
        <w:gridCol w:w="9875"/>
      </w:tblGrid>
      <w:tr>
        <w:trPr/>
        <w:tc>
          <w:tcPr>
            <w:tcW w:w="3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98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Alice Cheng, Grace Tang and Joseph Tong are members of the audit, compensation, nominating and environmental, social and governance (ESG) committee.</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Biographical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Lei Ding</w:t>
      </w:r>
      <w:r>
        <w:rPr>
          <w:rFonts w:ascii="Times New Roman;Times;serif" w:hAnsi="Times New Roman;Times;serif"/>
          <w:sz w:val="20"/>
        </w:rPr>
        <w:t xml:space="preserve">, also known as </w:t>
      </w:r>
      <w:r>
        <w:rPr>
          <w:rFonts w:ascii="Times New Roman;Times;serif" w:hAnsi="Times New Roman;Times;serif"/>
          <w:i/>
          <w:sz w:val="20"/>
        </w:rPr>
        <w:t>William Lei Ding,</w:t>
      </w:r>
      <w:r>
        <w:rPr>
          <w:rFonts w:ascii="Times New Roman;Times;serif" w:hAnsi="Times New Roman;Times;serif"/>
          <w:sz w:val="20"/>
        </w:rPr>
        <w:t xml:space="preserve"> our founder, has served as a director of our company since July 1999 and as Chief Executive Officer for the NetEase group since November 2005. From March 2001 until November 2005, Mr. Ding served as our chief architect, and from June 2001 until September 2001, he served as our acting chief executive officer and acting chief operating officer. From July 1999 until March 2001, Mr. Ding served as co-chief technology officer, and from July 1999 until April 2000, he also served as our interim chief executive officer. Mr. Ding holds a Bachelor of Science degree in Communication Technology from the University of Electronic Science and Technology of China.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Alice Yu-Fen Cheng</w:t>
      </w:r>
      <w:r>
        <w:rPr>
          <w:rFonts w:ascii="Times New Roman;Times;serif" w:hAnsi="Times New Roman;Times;serif"/>
          <w:sz w:val="20"/>
        </w:rPr>
        <w:t xml:space="preserve">, also known as </w:t>
      </w:r>
      <w:r>
        <w:rPr>
          <w:rFonts w:ascii="Times New Roman;Times;serif" w:hAnsi="Times New Roman;Times;serif"/>
          <w:i/>
          <w:sz w:val="20"/>
        </w:rPr>
        <w:t>Alice Cheng</w:t>
      </w:r>
      <w:r>
        <w:rPr>
          <w:rFonts w:ascii="Times New Roman;Times;serif" w:hAnsi="Times New Roman;Times;serif"/>
          <w:sz w:val="20"/>
        </w:rPr>
        <w:t>, has served as a director of our company since June 2007. Ms. Cheng has also served as a non-executive director of J&amp;T Global Express Limited since May 2020 and as a member of its audit committee since the company listed on the Hong Kong Stock Exchange in October 2023 (HKEX: 1519). From 2005 to 2021, Ms. Cheng served as the chief financial officer of BBK Electronics Corp., Ltd., a PRC-based manufacturer of audio-visual equipment. From 2010 to 2013, Ms. Cheng served as a supervisor of Wistron Information Technology Corporation in Taiwan, an information technology company with operations in Taiwan, China and Japan. From 2002 to 2005, Ms. Cheng served as financial controller of Wistron Corporation, a Taiwanese original design manufacturer of notebook computers and other electronics. Prior to that, Ms. Cheng held various positions with Acer Inc., a Taiwanese computer manufacturer, culminating in the position of financial controller. Ms. Cheng received a Bachelor of Accounting from the Chinese Culture University in Taiwan in 1983 and a Master of Business Administration from the Thunderbird School of Global Management in Arizona in 2003. Ms. Cheng is also licensed as a certified public accountant in Taiwan and the PRC.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Grace Hui Tang</w:t>
      </w:r>
      <w:r>
        <w:rPr>
          <w:rFonts w:ascii="Times New Roman;Times;serif" w:hAnsi="Times New Roman;Times;serif"/>
          <w:sz w:val="20"/>
        </w:rPr>
        <w:t xml:space="preserve">, also known as </w:t>
      </w:r>
      <w:r>
        <w:rPr>
          <w:rFonts w:ascii="Times New Roman;Times;serif" w:hAnsi="Times New Roman;Times;serif"/>
          <w:i/>
          <w:sz w:val="20"/>
        </w:rPr>
        <w:t>Grace Tang</w:t>
      </w:r>
      <w:r>
        <w:rPr>
          <w:rFonts w:ascii="Times New Roman;Times;serif" w:hAnsi="Times New Roman;Times;serif"/>
          <w:sz w:val="20"/>
        </w:rPr>
        <w:t>, has served as a director of our company since July 2022. Ms. Tang worked at PricewaterhouseCoopers for more than 30 years, including approximately 19 years as an audit partner in Hong Kong and Chinese mainland, until her retirement in 2020. At PricewaterhouseCoopers, Ms. Tang was responsible for the audits of numerous public and private companies in Hong Kong, China mainland, the United States and other jurisdictions. Since 2009, she has also been a professor at the Guanghua School of Management of Peking University where she teaches courses on accounting and auditing for the graduate school of the accounting department and on career development. Since September 2022, Ms. Tang has been teaching accounting and auditing courses to foreign students at Beijing Foreign Studies University as a professor. In addition, Ms. Tang serves as an independent director of Textainer Group Holdings Ltd. (NYSE: TGH), Brii Biosciences Ltd. (HKEX: 2137), Elkem ASA (OSLO: ELK), ECARX Holdings Inc. (Nasdaq: ECX) and Pirelli &amp; C.S.p.A. (PIRC.MI). Ms. Tang received a bachelor’s degree in accounting from the University of Utah and a Master of Business Administration degree from Utah State University. Ms. Tang is a U.S. certified public accountant and a fellow of the Hong Kong Institute of Certified Public Accountants.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Joseph Tze Kay Tong</w:t>
      </w:r>
      <w:r>
        <w:rPr>
          <w:rFonts w:ascii="Times New Roman;Times;serif" w:hAnsi="Times New Roman;Times;serif"/>
          <w:sz w:val="20"/>
        </w:rPr>
        <w:t xml:space="preserve">, also known as </w:t>
      </w:r>
      <w:r>
        <w:rPr>
          <w:rFonts w:ascii="Times New Roman;Times;serif" w:hAnsi="Times New Roman;Times;serif"/>
          <w:i/>
          <w:sz w:val="20"/>
        </w:rPr>
        <w:t>Joseph Tong</w:t>
      </w:r>
      <w:r>
        <w:rPr>
          <w:rFonts w:ascii="Times New Roman;Times;serif" w:hAnsi="Times New Roman;Times;serif"/>
          <w:sz w:val="20"/>
        </w:rPr>
        <w:t>, has served as a director of our company since March 2003. From January 2003 to November 2021, Mr. Tong was a director of Parworld Investment Management Limited, which provides financial and investment advisory services. From December 2002 until April 2004, Mr. Tong was engaged in establishing offices and operations in Hong Kong and China mainland, setting up accounting and internal control policies and overseeing the overall operations for TLM Apparel Co., Ltd., a garment trading company operating in Hong Kong and China mainland which he co-founded. Prior to that, from September 2000 to September 2002, Mr. Tong was the e-commerce director of the Asia Region for Universal Music Limited where he was responsible for forming e-business development strategies and overseeing new promotional opportunities. Mr. Tong received a Bachelor of Social Science degree with honors in Accounting and Statistics from the University of Southampton, England. He is a member of the American Institute of Certified Public Accountants and an associate member of the Hong Kong Institute of Certified Public Accountants.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Michael Man Kit Leung</w:t>
      </w:r>
      <w:r>
        <w:rPr>
          <w:rFonts w:ascii="Times New Roman;Times;serif" w:hAnsi="Times New Roman;Times;serif"/>
          <w:sz w:val="20"/>
        </w:rPr>
        <w:t xml:space="preserve">, also known as </w:t>
      </w:r>
      <w:r>
        <w:rPr>
          <w:rFonts w:ascii="Times New Roman;Times;serif" w:hAnsi="Times New Roman;Times;serif"/>
          <w:i/>
          <w:sz w:val="20"/>
        </w:rPr>
        <w:t>Michael Leung</w:t>
      </w:r>
      <w:r>
        <w:rPr>
          <w:rFonts w:ascii="Times New Roman;Times;serif" w:hAnsi="Times New Roman;Times;serif"/>
          <w:sz w:val="20"/>
        </w:rPr>
        <w:t>, has served as a director of our company since July 2002. Mr. Leung was a responsible officer of Grand Moore Capital Limited from September 2019 to November 2021. Mr. Leung was appointed executive director of Unitas Holdings Limited (stock code: 8020) from September 2011 to November 2018, and served as a responsible officer from May 2011 to November 2018 of Chanceton Capital Partners Limited, a subsidiary of Unitas Holdings Limited. Previously, Mr. Leung was a director of Emerging Markets Partnership (Hong Kong) Limited, the principal adviser to the AIG Infrastructure Fund L.P., in 1999. Mr. Leung also held senior positions in the Hong Kong Branch of the Swiss Bank Corporation, SG Securities (HK) Limited (formerly known as Crosby Securities (Hong Kong) Limited) and Peregrine Capital Limited. Mr. Leung currently is an independent non-executive director and chairman of the audit committee for Orange Sky Golden Harvest Entertainment (Holdings) Limited (stock code: 1132) and Luye Pharma Group Ltd. (stock code: 2186), all of which are companies listed on the Hong Kong Stock Exchange. Mr. Leung also serves as an independent non-executive director on the board of China Ting Group Holdings Limited (stock code: 3398), a company listed on the Hong Kong Stock Exchange. Mr. Leung received a Bachelor’s Degree in Social Sciences from the University of Hong Kong in October 1977 with a major in Accounting, Management and Statistics.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Yingfeng Ding</w:t>
      </w:r>
      <w:r>
        <w:rPr>
          <w:rFonts w:ascii="Times New Roman;Times;serif" w:hAnsi="Times New Roman;Times;serif"/>
          <w:sz w:val="20"/>
        </w:rPr>
        <w:t xml:space="preserve">, also known as </w:t>
      </w:r>
      <w:r>
        <w:rPr>
          <w:rFonts w:ascii="Times New Roman;Times;serif" w:hAnsi="Times New Roman;Times;serif"/>
          <w:i/>
          <w:sz w:val="20"/>
        </w:rPr>
        <w:t>Ding Ding</w:t>
      </w:r>
      <w:r>
        <w:rPr>
          <w:rFonts w:ascii="Times New Roman;Times;serif" w:hAnsi="Times New Roman;Times;serif"/>
          <w:sz w:val="20"/>
        </w:rPr>
        <w:t xml:space="preserve">, has served as Executive Vice President for the NetEase group since 2016 and is currently in charge of our Interactive Entertainment Group, a part of our online games division. Mr. Ding previously served as Vice President for the NetEase group, responsible for the product development, operation and management of our online games division from 2011 to 2016. Mr. Ding has more than 25 years of experience in game development and design. Since joining NetEase in 2002, Mr. Ding has also led the design and development of several signature products of the NetEase group, including </w:t>
      </w:r>
      <w:r>
        <w:rPr>
          <w:rFonts w:ascii="Times New Roman;Times;serif" w:hAnsi="Times New Roman;Times;serif"/>
          <w:i/>
          <w:sz w:val="20"/>
        </w:rPr>
        <w:t>Fantasy Westward Journey</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Paul W. Boltz, Jr.</w:t>
      </w:r>
      <w:r>
        <w:rPr>
          <w:rFonts w:ascii="Times New Roman;Times;serif" w:hAnsi="Times New Roman;Times;serif"/>
          <w:sz w:val="20"/>
        </w:rPr>
        <w:t xml:space="preserve"> has served as General Counsel for the NetEase group since January 2024. Mr. Boltz previously served as our International General Counsel from February 2023 to January 2024. Prior to joining NetEase, he was a partner with the international law firms of Gibson, Dunn &amp; Crutcher, Ropes &amp; Gray (where he was the managing partner of their Hong Kong office) and Morrison &amp; Foerster in Hong Kong. Mr. Boltz has more than 24 years of experience practicing law in Asia, with a particular focus on capital markets, M&amp;A, joint ventures and public company compliance for technology companies, including the NetEase group since its listing on Nasdaq in 2000. Mr. Boltz is qualified to practice law in Pennsylvania and New Jersey and a non-practicing solicitor in Hong Kong. He received his Bachelor of Arts degree in Economics from the University of Pennsylvania and a Juris Doctor degree from Villanova University School of Law.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Sarah Ying Li, </w:t>
      </w:r>
      <w:r>
        <w:rPr>
          <w:rFonts w:ascii="Times New Roman;Times;serif" w:hAnsi="Times New Roman;Times;serif"/>
          <w:sz w:val="20"/>
        </w:rPr>
        <w:t xml:space="preserve">also known as </w:t>
      </w:r>
      <w:r>
        <w:rPr>
          <w:rFonts w:ascii="Times New Roman;Times;serif" w:hAnsi="Times New Roman;Times;serif"/>
          <w:i/>
          <w:sz w:val="20"/>
        </w:rPr>
        <w:t>Sarah Li</w:t>
      </w:r>
      <w:r>
        <w:rPr>
          <w:rFonts w:ascii="Times New Roman;Times;serif" w:hAnsi="Times New Roman;Times;serif"/>
          <w:sz w:val="20"/>
        </w:rPr>
        <w:t>, has served as Head of Financial Reporting for the NetEase group since February 2024. Ms. Li previously served as our Group Financial Controller from April 2016. Prior to joining NetEase, Ms. Li worked in international audit firms. She worked at KPMG from January 2006 to April 2016, culminating in the position of senior audit manager and department head. She also worked at PricewaterhouseCoopers from September 2004 to January 2006 as an audit associate. Ms. Li received a Bachelor of Arts (English (International Business)) degree from Guangdong University of Foreign Studies in 2004. She is a member of the American Institute of Certified Public Accountants, the Association of Chartered Certified Accountants and the Chinese Institute of Certified Public Accountants.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Relationships Among Directors or Executive Officers; Right to Nominate Directors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are no family relationships among any of the directors or executive officers of our company. None of our directors were nominated pursuant to a contractual or other right.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Board Diversity</w:t>
      </w:r>
    </w:p>
    <w:tbl>
      <w:tblPr>
        <w:tblW w:w="9500" w:type="dxa"/>
        <w:jc w:val="left"/>
        <w:tblInd w:w="0" w:type="dxa"/>
        <w:tblLayout w:type="fixed"/>
        <w:tblCellMar>
          <w:top w:w="0" w:type="dxa"/>
          <w:left w:w="0" w:type="dxa"/>
          <w:bottom w:w="0" w:type="dxa"/>
          <w:right w:w="0" w:type="dxa"/>
        </w:tblCellMar>
      </w:tblPr>
      <w:tblGrid>
        <w:gridCol w:w="4906"/>
        <w:gridCol w:w="736"/>
        <w:gridCol w:w="541"/>
        <w:gridCol w:w="1111"/>
        <w:gridCol w:w="2206"/>
      </w:tblGrid>
      <w:tr>
        <w:trPr/>
        <w:tc>
          <w:tcPr>
            <w:tcW w:w="4906" w:type="dxa"/>
            <w:tcBorders/>
            <w:vAlign w:val="center"/>
          </w:tcPr>
          <w:p>
            <w:pPr>
              <w:pStyle w:val="TableContents"/>
              <w:bidi w:val="0"/>
              <w:spacing w:before="0" w:after="283"/>
              <w:ind w:left="0" w:right="0" w:hanging="0"/>
              <w:jc w:val="left"/>
              <w:rPr>
                <w:sz w:val="4"/>
                <w:szCs w:val="4"/>
              </w:rPr>
            </w:pPr>
            <w:r>
              <w:rPr>
                <w:sz w:val="4"/>
                <w:szCs w:val="4"/>
              </w:rPr>
            </w:r>
          </w:p>
        </w:tc>
        <w:tc>
          <w:tcPr>
            <w:tcW w:w="736" w:type="dxa"/>
            <w:tcBorders/>
            <w:vAlign w:val="center"/>
          </w:tcPr>
          <w:p>
            <w:pPr>
              <w:pStyle w:val="TableContents"/>
              <w:bidi w:val="0"/>
              <w:spacing w:before="0" w:after="283"/>
              <w:ind w:left="0" w:right="0" w:hanging="0"/>
              <w:jc w:val="left"/>
              <w:rPr>
                <w:sz w:val="4"/>
                <w:szCs w:val="4"/>
              </w:rPr>
            </w:pPr>
            <w:r>
              <w:rPr>
                <w:sz w:val="4"/>
                <w:szCs w:val="4"/>
              </w:rPr>
            </w:r>
          </w:p>
        </w:tc>
        <w:tc>
          <w:tcPr>
            <w:tcW w:w="541"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pPr>
            <w:r>
              <w:rPr/>
              <w:t>​</w:t>
            </w:r>
          </w:p>
        </w:tc>
        <w:tc>
          <w:tcPr>
            <w:tcW w:w="2206" w:type="dxa"/>
            <w:tcBorders/>
            <w:vAlign w:val="center"/>
          </w:tcPr>
          <w:p>
            <w:pPr>
              <w:pStyle w:val="TableContents"/>
              <w:bidi w:val="0"/>
              <w:spacing w:before="0" w:after="0"/>
              <w:ind w:left="0" w:right="0" w:hanging="0"/>
              <w:jc w:val="left"/>
              <w:rPr/>
            </w:pPr>
            <w:r>
              <w:rPr/>
              <w:t>​</w:t>
            </w:r>
          </w:p>
        </w:tc>
      </w:tr>
      <w:tr>
        <w:trPr/>
        <w:tc>
          <w:tcPr>
            <w:tcW w:w="9500"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Board Diversity Matrix (As of March 31, 2024)</w:t>
            </w:r>
          </w:p>
        </w:tc>
      </w:tr>
      <w:tr>
        <w:trPr/>
        <w:tc>
          <w:tcPr>
            <w:tcW w:w="49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Country of Principal Executive Offices</w:t>
            </w:r>
          </w:p>
        </w:tc>
        <w:tc>
          <w:tcPr>
            <w:tcW w:w="736" w:type="dxa"/>
            <w:tcBorders>
              <w:top w:val="single" w:sz="2" w:space="0" w:color="000000"/>
              <w:left w:val="single" w:sz="2" w:space="0" w:color="000000"/>
              <w:bottom w:val="single" w:sz="2" w:space="0" w:color="000000"/>
            </w:tcBorders>
            <w:tcMar>
              <w:top w:w="28" w:type="dxa"/>
              <w:left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China</w:t>
            </w:r>
          </w:p>
        </w:tc>
        <w:tc>
          <w:tcPr>
            <w:tcW w:w="54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11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2206"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0"/>
              <w:ind w:left="0" w:right="0" w:hanging="0"/>
              <w:jc w:val="left"/>
              <w:rPr/>
            </w:pPr>
            <w:r>
              <w:rPr/>
              <w:t>​</w:t>
            </w:r>
          </w:p>
        </w:tc>
      </w:tr>
      <w:tr>
        <w:trPr/>
        <w:tc>
          <w:tcPr>
            <w:tcW w:w="49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Private Issuer</w:t>
            </w:r>
          </w:p>
        </w:tc>
        <w:tc>
          <w:tcPr>
            <w:tcW w:w="736" w:type="dxa"/>
            <w:tcBorders>
              <w:top w:val="single" w:sz="2" w:space="0" w:color="000000"/>
              <w:left w:val="single" w:sz="2" w:space="0" w:color="000000"/>
              <w:bottom w:val="single" w:sz="2" w:space="0" w:color="000000"/>
            </w:tcBorders>
            <w:tcMar>
              <w:top w:w="28" w:type="dxa"/>
              <w:left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Yes</w:t>
            </w:r>
          </w:p>
        </w:tc>
        <w:tc>
          <w:tcPr>
            <w:tcW w:w="54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11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2206"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0"/>
              <w:ind w:left="0" w:right="0" w:hanging="0"/>
              <w:jc w:val="left"/>
              <w:rPr/>
            </w:pPr>
            <w:r>
              <w:rPr/>
              <w:t>​</w:t>
            </w:r>
          </w:p>
        </w:tc>
      </w:tr>
      <w:tr>
        <w:trPr/>
        <w:tc>
          <w:tcPr>
            <w:tcW w:w="49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Disclosure Prohibited under Home Country Law</w:t>
            </w:r>
          </w:p>
        </w:tc>
        <w:tc>
          <w:tcPr>
            <w:tcW w:w="736" w:type="dxa"/>
            <w:tcBorders>
              <w:top w:val="single" w:sz="2" w:space="0" w:color="000000"/>
              <w:left w:val="single" w:sz="2" w:space="0" w:color="000000"/>
              <w:bottom w:val="single" w:sz="2" w:space="0" w:color="000000"/>
            </w:tcBorders>
            <w:tcMar>
              <w:top w:w="28" w:type="dxa"/>
              <w:left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w:t>
            </w:r>
          </w:p>
        </w:tc>
        <w:tc>
          <w:tcPr>
            <w:tcW w:w="54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11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2206"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0"/>
              <w:ind w:left="0" w:right="0" w:hanging="0"/>
              <w:jc w:val="left"/>
              <w:rPr/>
            </w:pPr>
            <w:r>
              <w:rPr/>
              <w:t>​</w:t>
            </w:r>
          </w:p>
        </w:tc>
      </w:tr>
      <w:tr>
        <w:trPr/>
        <w:tc>
          <w:tcPr>
            <w:tcW w:w="49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Number of Directors</w:t>
            </w:r>
          </w:p>
        </w:tc>
        <w:tc>
          <w:tcPr>
            <w:tcW w:w="736" w:type="dxa"/>
            <w:tcBorders>
              <w:top w:val="single" w:sz="2" w:space="0" w:color="000000"/>
              <w:left w:val="single" w:sz="2" w:space="0" w:color="000000"/>
              <w:bottom w:val="single" w:sz="2" w:space="0" w:color="000000"/>
            </w:tcBorders>
            <w:tcMar>
              <w:top w:w="28" w:type="dxa"/>
              <w:left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54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11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2206"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0"/>
              <w:ind w:left="0" w:right="0" w:hanging="0"/>
              <w:jc w:val="left"/>
              <w:rPr/>
            </w:pPr>
            <w:r>
              <w:rPr/>
              <w:t>​</w:t>
            </w:r>
          </w:p>
        </w:tc>
      </w:tr>
      <w:tr>
        <w:trPr/>
        <w:tc>
          <w:tcPr>
            <w:tcW w:w="49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pPr>
            <w:r>
              <w:rPr/>
              <w:t>​</w:t>
            </w:r>
          </w:p>
        </w:tc>
        <w:tc>
          <w:tcPr>
            <w:tcW w:w="7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Female</w:t>
            </w:r>
          </w:p>
        </w:tc>
        <w:tc>
          <w:tcPr>
            <w:tcW w:w="54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Male</w:t>
            </w:r>
          </w:p>
        </w:tc>
        <w:tc>
          <w:tcPr>
            <w:tcW w:w="111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Non-Binary</w:t>
            </w:r>
          </w:p>
        </w:tc>
        <w:tc>
          <w:tcPr>
            <w:tcW w:w="22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Did Not Disclose Gender</w:t>
            </w:r>
          </w:p>
        </w:tc>
      </w:tr>
      <w:tr>
        <w:trPr/>
        <w:tc>
          <w:tcPr>
            <w:tcW w:w="9500"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Part I: Gender Identity</w:t>
            </w:r>
          </w:p>
        </w:tc>
      </w:tr>
      <w:tr>
        <w:trPr/>
        <w:tc>
          <w:tcPr>
            <w:tcW w:w="49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Directors</w:t>
            </w:r>
          </w:p>
        </w:tc>
        <w:tc>
          <w:tcPr>
            <w:tcW w:w="7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54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111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2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9500"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Part II: Demographic Background</w:t>
            </w:r>
          </w:p>
        </w:tc>
      </w:tr>
      <w:tr>
        <w:trPr/>
        <w:tc>
          <w:tcPr>
            <w:tcW w:w="49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Underrepresented Individual in Home Country Jurisdiction</w:t>
            </w:r>
          </w:p>
        </w:tc>
        <w:tc>
          <w:tcPr>
            <w:tcW w:w="4594"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LGBTQ+</w:t>
            </w:r>
          </w:p>
        </w:tc>
        <w:tc>
          <w:tcPr>
            <w:tcW w:w="4594"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Did Not Disclose Demographic Background</w:t>
            </w:r>
          </w:p>
        </w:tc>
        <w:tc>
          <w:tcPr>
            <w:tcW w:w="4594"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72"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           Compensation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Executive Officer and Director Compensation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2023, we paid our then current executive officers and directors aggregate cash compensation of RMB49.2 million (US$6.9 million). In 2023, we also granted restricted share unit awards under our 2019 Share Plan to our chief financial officer (who subsequently resigned from such position in 2023), which, if vested, represented less than 1% of our total outstanding ordinary shares as of December 31,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not separately set aside or accrued any amount to provide pension, retirement or other similar benefits to our executive officers and directors, other than pursuant to relevant statutory requirements. Our PRC subsidiaries and the consolidated VIEs are required by law to make contributions equal to certain percentages of each employee’s salary for his or her pension insurance, medical insurance, unemployment insurance and other statutory benefits and a housing provident fund.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Indemnification Agreements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All of our current directors and executive officers have entered into indemnification agreements in which we agree to indemnify, to the fullest extent allowed by Cayman Islands law, our charter documents or other applicable law, those persons from any liability or expenses, unless the liability or expense arises from such person’s own willful negligence or willful default. The indemnification agreements also specify the procedures to be followed with respect to indemnification.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Employment Agreements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entered into employment and related agreements with each of our executive officers. These agreements include: (i) a covenant that prohibits the executive officer from engaging in any activities that compete with our business during and for twelve (12) months after their employment with us, (ii) a requirement that executive officers assign all rights in company-related inventions to us and to keep our proprietary information confidential, and (iii) provisions for severance payments in the event the employment of the executive officer is terminated.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Share Incentive Plans</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General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two share incentive plans, which we refer to collectively in this annual report as our “Share Plans.” Our board approved the 2009 RSU Plan in November 2009. The 2009 RSU Plan expired in November 2019 in accordance with its terms, such that no new awards may be granted under this plan although outstanding awards granted previously will remain governed by it. Our board approved our 2019 Restricted Share Unit Plan, or the 2019 RSU Plan, in October 2019, as a replacement for the 2009 RSU Plan. Our board subsequently approved an amendment and restatement of the 2019 RSU Plan in February 2023 to enable share option awards to be granted pursuant to such plan and make certain other amendments and renamed it as the Amended and Restated 2019 Share Incentive Plan (referred to in this annual report as the 2019 Share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purpose of our Share Plans is to attract and retain the best available personnel, to provide additional incentive to employees, directors and consultants and to promote the success of our business. The Share Plans provide for the granting of incentive awards of restricted share units, which may or may not be granted with dividend equivalent rights, and the 2019 Share Plan also provides for the granting of share option awards.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Share Plans are not subject to the Employee Retirement Income Security Act of 1974, as amended, and neither of the Share Plans a “qualified plan” within the meaning of Section 401(a) of the Code.</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Plan Administration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board has designated our compensation committee to administer the Share Plans, and it may designate one or more of our officers to exercise its authority thereunder from time to time.</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Securities Subject to the Share Plans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maximum aggregate number of our ordinary shares which are issuable pursuant to all awards under the 2009 RSU Plan is 323,694,050 ordinary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maximum aggregate number of our ordinary shares which may be issued pursuant to all awards under the 2019 Share Plan is 322,458,300 ordinary shares. Such ordinary shares may, in whole or in part, be authorized but unissued shares or shares that will have been or may be reacquired by us. It is anticipated that all future awards to our employees, directors and consultants will be granted pursuant to the 2019 Share Plan or any other future plan adopted by our board and, if appropriate, our shareholders.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2009 RSU Plan provides that in the event of certain corporate transactions, including specified types of mergers and acquisition transactions, each outstanding award granted under the 2009 RSU Plan shall automatically become fully vested and be released from any restrictions on transfer and repurchase or forfeiture rights, immediately prior to the specified effective date of such corporate transaction, unless the award is assumed by the successor company or its parent company in connection with the corporate transaction. Upon consummation of such corporate transactions, each outstanding award shall be terminated unless the award is assumed by the successor company or its parent company in connection with the applicable corporate transaction. Our board will determine whether an award was assumed in the manner contemplated by the 2009 RSU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2019 Share Plan provides that in the event of certain corporate transactions, including specified types of mergers and acquisition transactions, the administrator may (a) accelerate the vesting, in whole or in part, of any award; (b) purchase any award for an amount of cash or ordinary shares of our company equal to the value that could have been attained upon the exercise of the award or the realization of the plan participant’s rights had the award been currently fully vested; or (c) provide for the assumption, conversion or replacement of any award by the successor corporation, or a parent or subsidiary of the successor corporation, with other rights or property selected by the plan administrator in its sole discretion, or the assumption or substitution of the award by the successor or surviving corporation, or a parent or subsidiary of the surviving or successor corporation, with appropriate adjustments as to the number and kind of shares and prices as the plan administrator deems, in its sole discretion, reasonable, equitable and appropriate.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Eligibility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Awards can be issued to participants in the Share Plans, which include employees, directors or consultants of us, our subsidiaries, the VIEs and certain other related entities.</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Awards under the Share Plans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Awards under the Share Plans are evidenced by an award agreement which contains, among other things, such provisions concerning the exercise price (in the case of share options), how the award may be settled upon vesting (in the case of restricted share unit awards) and forfeiture upon termination of an award grantee’s service with our company or entities within our group (by reason of death, disability, retirement or otherwise), as have been determined by our board, either acting directly or through our compensation committee or one or more of our officers.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Restricted share units do not represent any actual ownership interest in us. The units granted correspond in number and value to a specified number of our ordinary shares. No actual shares are issued. Instead, the units are tracked in a bookkeeping account. The units may be subject to forfeiture provisions to replicate the treatment of restricted shares. The units can ultimately be paid in cash or ordinary shares, as our board determines and as set forth in the applicable award agreement. Dividend equivalents may be paid on the restricted share units. A dividend equivalent right entitles the participant to receive cash compensation measured by the dividends paid with respect to our ordinary shares. The dividend equivalents may be paid out at the time of the dividend or may be credited to the participant’s account and converted to additional units.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With respect to share options which may be granted under the 2019 Share Plan, the exercise price for each award is determined in accordance with the terms of the 2019 Share Plan and stated in the award agreement. The vested portion of an option will expire if not exercised prior to the expiration date of the award as set forth in the award agreement. The 2019 Share Plan provides that the maximum exercisable term of share option awards is ten years from the date of a grant.</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Conditions of Awards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board, either acting directly or through our compensation committee or one or more of our officers, is authorized to determine the provisions, terms and conditions of each award, including, without limitation, the award vesting schedule, repurchase provisions, rights of first refusal, forfeiture provisions, settlement of the award, payment contingencies and satisfaction of any performance criteria established by our board. Partial achievement of the specified criteria may result in a payment or vesting corresponding to the degree of achievement as specified in the award agreement.</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Amendment; Termination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Share Plans, our board may at any time terminate, suspend, or amend the Share Plans in any respect, except that no termination, suspension or amendment will be effective without shareholder approval if such approval is required to comply with any law, regulation or stock exchange rule and no such change may adversely affect any award previously granted without the written consent of the recipient. The 2009 RSU Plan expired in November 2019 in accordance with its terms. The 2019 Share Plan, amended and restated and effective on February 22, 2023, will expire in February 2033.</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Non-Transferability of Awards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Share Plans, awards may not be sold, assigned, transferred, pledged, hypothecated or otherwise disposed of, except by will or by the laws of descent and distribution and during the lifetime of the participants, to the extent and in the manner provided in the award agreement. The Share Plans permit the designation of beneficiaries by holders of awards in the event of the participant’s death. After any such transfer, the original recipient shall continue to remain subject to the withholding tax requirements described below.</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Payment of Taxes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 ordinary shares shall be delivered under the Share Plans to any participant or other person until such participant or other person has made arrangements acceptable to us regarding payment of Chinese, Cayman Islands, U.S. and any other federal, state, provincial, local or other taxes required by law. Alternatively, we will withhold or collect from the participant an amount sufficient to satisfy such tax obligations.</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Other Equity Incentive Plans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Youdao, our subsidiary, adopted its 2015 Share Incentive Plan, or the 2015 Youdao Plan, in February 2015 (and amended it in April 2018), under which 10,222,222 ordinary shares of Youdao are reserved for issuance. As of March 31, 2024, options to purchase a total of 3,680,851 ordinary shares were outstanding under the 2015 Youdao Plan, and 2,900,111 of such options had vested and become exercisable. Additionally, as of March 31, 2024, restricted share units representing an aggregate of 525,824 shares were outstanding under the 2015 Youdao Plan. In April 2023, Youdao adopted a 2023 Share Incentive Plan, or the 2023 Youdao Plan, under which 5,668,625 shares of Youdao are reserved for issuance. As of March 31, 2024, no options or restricted share units were outstanding under the 2023 Youdao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Cloud Music, our subsidiary, adopted its 2016 Share Incentive Plan, or the 2016 Cloud Music Plan, in May 2016, under which 15,000,000 ordinary shares of Cloud Music are reserved for issuance. As of March 31, 2024, options to purchase a total of 3,691,150 ordinary shares were outstanding under the 2016 Cloud Music Plan, and 3,064,550 of such options had vested and become exercisable; and restricted share units representing an aggregate of 674,936 shares were outstanding and remain unsettled under the 2016 Cloud Music Plan, which may be satisfied by new or existing shares of Cloud Music. Additionally, Cloud Music adopted the 2022 Restricted Share Unit Plan, or the 2022 Cloud Music Plan (together with the 2016 Cloud Music Plan, the “Cloud Music Plans”) in August 2022 (and amended it in June 2023), pursuant to which it may issue up to 10,462,280 new shares. As of March 31, 2024, 3,252,550 restricted share units had been granted under the 2022 Cloud Music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addition, certain of our other subsidiaries have adopted their own equity incentive plans, which allow the relevant subsidiaries to grant options or other awards to certain of our employees. The awards under the 2015 Youdao Plan, the Cloud Music Plans and such other plans expire in four to seven years from the date of grant and either vest or have a vesting commencement date upon certain conditions being met. The awards can become 100% vested on the vesting commencement date, or vest in two, three, four or five substantially equal annual installments with the first installment vesting on the vesting commencement date.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           Board Practices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At each annual general meeting of our shareholders, our shareholders are asked to elect the directors nominated to serve for the ensuing year until the next annual general meeting of shareholders and until their successors are elected and duly qualified, or until such directors are otherwise vacated in accordance with our company’s memorandum and articles of association. For information regarding the period during which our officers and directors have served in their respective positions, please refer to Item 6.A. “Directors, Senior Management and Employees—Directors and Senior Management.” We have no specific policy with respect to director attendance at our annual general meetings of shareholders, and no director attended the annual general meeting of shareholders held on June 15,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Each of our non-executive directors has been determined by our board to be “independent” under applicable U.S. regulations, as that term is defined in NASDAQ Marketplace Rule 5606(a)(2) and acts as an “independent non-executive director” of our company for the purpose of the Hong Kong Listing Rules. Our company has received an annual confirmation on his/her “independence” from each of the non-executive directors, addressing the factors set out in Rule 3.13 of the Hong Kong Listing Rules, and our board continues to consider all of them to be “independent.”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do not have service contracts with any of our directors which provide for benefits upon termination.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board has four committees, the audit committee, the compensation committee, the nominating committee and the ESG committee. Alice Cheng, Grace Tang and Joseph Tong are currently the members of each of these committees. Grace Tang is the chairperson of the audit committee, the compensation committee and the nominating committee. Alice Cheng is the chairperson of the ESG committee. The board of directors has determined that Mr. Joseph Tong is an “audit committee financial expert” as defined by Item 16A. “Audit Committee Financial Expert” of Form 20-F. The board of directors has adopted a written audit committee charter pursuant to which the audit committee is responsible for overseeing our accounting and financial reporting processes, including the appointment, compensation and oversight of the work of our independent auditors, monitoring compliance with our accounting and financial policies, and related legal and regulatory requirements, and evaluating management’s procedures and policies relative to the adequacy of our internal accounting controls. For more information regarding the audit committee, please refer to “Audit committee experience and qualification and board oversight” under Item 4.B. “Information on the Company—Business Overview.”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board of directors has adopted a written compensation committee charter pursuant to which the compensation committee is responsible for, among other things, annually reviewing and approving our corporate goals and objectives relevant to the compensation of our chief executive officer. The committee also annually reviews and makes recommendations to the board with respect to non-chief executive officer compensation, incentive compensation plans and equity based plans, administers our incentive compensation plans and equity-based plans as in effect and as adopted from time to time by our board (the board retains, however, the authority to interpret such plans, and the committee may authorize one or more officers of our company to designate the recipients of equity awards created by our company and to determine the number of such equity awards, and the terms thereof, to be received by such recipients). In addition, the committee reviews and approves any new equity compensation plan or any material change to an existing plan where shareholders’ approval has not been obtained.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board of directors has adopted a written nominating committee charter pursuant to which the nominating committee is responsible for, among other things, monitoring the size and composition of our board and considering and making recommendations to our board with respect to the nominations or elections of directors of our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February 2022, our board of directors approved the establishment of ESG committee responsible for coordinating ESG-related issues and providing recommendations to the board.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audit, compensation, nominating and ESG committees are composed solely of non-employee directors, as such term is defined in Rule 16b-3 under the Exchange Act and the board of directors has determined that all such members are “independent” as that term is defined in NASDAQ Marketplace Rule 5605(a)(2).</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Compensation Committee Interlocks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 interlocking relationships have existed between our board of directors or compensation committee and the board of directors or compensation committee of any other company.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           Employees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December 31, 2021, 2022 and 2023, we had 32,064, 31,119 and 29,128 full-time employees, respectively. A substantial majority of our employees are based in China. We believe that we have a generally good working relationship with our employees, and we have not experienced any significant labor disputes.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sets forth information regarding our staff as of December 31, 2023. Our R&amp;D staff consisted of 51% of our total employees as of December 31, 2023.</w:t>
      </w:r>
    </w:p>
    <w:p>
      <w:pPr>
        <w:pStyle w:val="TextBody"/>
        <w:bidi w:val="0"/>
        <w:spacing w:before="0" w:after="0"/>
        <w:ind w:left="0" w:right="0" w:hanging="0"/>
        <w:jc w:val="left"/>
        <w:rPr/>
      </w:pPr>
      <w:r>
        <w:rPr/>
        <w:t>​</w:t>
      </w:r>
    </w:p>
    <w:tbl>
      <w:tblPr>
        <w:tblW w:w="4273" w:type="dxa"/>
        <w:jc w:val="left"/>
        <w:tblInd w:w="0" w:type="dxa"/>
        <w:tblLayout w:type="fixed"/>
        <w:tblCellMar>
          <w:top w:w="0" w:type="dxa"/>
          <w:left w:w="0" w:type="dxa"/>
          <w:bottom w:w="0" w:type="dxa"/>
          <w:right w:w="0" w:type="dxa"/>
        </w:tblCellMar>
      </w:tblPr>
      <w:tblGrid>
        <w:gridCol w:w="3346"/>
        <w:gridCol w:w="146"/>
        <w:gridCol w:w="781"/>
      </w:tblGrid>
      <w:tr>
        <w:trPr/>
        <w:tc>
          <w:tcPr>
            <w:tcW w:w="3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124710" cy="175260"/>
                      <wp:effectExtent l="0" t="0" r="0" b="0"/>
                      <wp:wrapNone/>
                      <wp:docPr id="247" name="Frame246"/>
                      <a:graphic xmlns:a="http://schemas.openxmlformats.org/drawingml/2006/main">
                        <a:graphicData uri="http://schemas.microsoft.com/office/word/2010/wordprocessingShape">
                          <wps:wsp>
                            <wps:cNvSpPr txBox="1"/>
                            <wps:spPr>
                              <a:xfrm>
                                <a:off x="0" y="0"/>
                                <a:ext cx="2124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92710" cy="175260"/>
                      <wp:effectExtent l="0" t="0" r="0" b="0"/>
                      <wp:wrapNone/>
                      <wp:docPr id="248" name="Frame24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495935" cy="175260"/>
                      <wp:effectExtent l="0" t="0" r="0" b="0"/>
                      <wp:wrapNone/>
                      <wp:docPr id="249" name="Frame24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Games and related value-added services</w:t>
            </w:r>
          </w:p>
        </w:tc>
        <w:tc>
          <w:tcPr>
            <w:tcW w:w="1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16,817</w:t>
            </w:r>
          </w:p>
        </w:tc>
      </w:tr>
      <w:tr>
        <w:trPr/>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Youdao</w:t>
            </w:r>
          </w:p>
        </w:tc>
        <w:tc>
          <w:tcPr>
            <w:tcW w:w="1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4,364</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Cloud Music</w:t>
            </w:r>
          </w:p>
        </w:tc>
        <w:tc>
          <w:tcPr>
            <w:tcW w:w="1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1,359</w:t>
            </w:r>
          </w:p>
        </w:tc>
      </w:tr>
      <w:tr>
        <w:trPr/>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Innovative businesses and others</w:t>
            </w:r>
          </w:p>
        </w:tc>
        <w:tc>
          <w:tcPr>
            <w:tcW w:w="14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6,588</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4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29,128</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All employees of our company, subsidiaries and the VIEs are employed under employment contracts which specify, among other things, the employee’s responsibilities, remuneration and grounds for termination of employment. Each employee signs a confidentiality agreement in respect of our intellectual property rights.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           Share Ownership</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table in this section sets forth certain information known to us with respect to the beneficial ownership as of March 31, 2024 (unless otherwise indicated) by:</w:t>
      </w:r>
    </w:p>
    <w:tbl>
      <w:tblPr>
        <w:tblW w:w="6576" w:type="dxa"/>
        <w:jc w:val="left"/>
        <w:tblInd w:w="0" w:type="dxa"/>
        <w:tblLayout w:type="fixed"/>
        <w:tblCellMar>
          <w:top w:w="28" w:type="dxa"/>
          <w:left w:w="28" w:type="dxa"/>
          <w:bottom w:w="28" w:type="dxa"/>
          <w:right w:w="28" w:type="dxa"/>
        </w:tblCellMar>
      </w:tblPr>
      <w:tblGrid>
        <w:gridCol w:w="124"/>
        <w:gridCol w:w="256"/>
        <w:gridCol w:w="61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persons who are beneficial owners of 5% or more of our ordinary shares,</w:t>
            </w:r>
          </w:p>
        </w:tc>
      </w:tr>
    </w:tbl>
    <w:tbl>
      <w:tblPr>
        <w:tblW w:w="2226" w:type="dxa"/>
        <w:jc w:val="left"/>
        <w:tblInd w:w="0" w:type="dxa"/>
        <w:tblLayout w:type="fixed"/>
        <w:tblCellMar>
          <w:top w:w="28" w:type="dxa"/>
          <w:left w:w="28" w:type="dxa"/>
          <w:bottom w:w="28" w:type="dxa"/>
          <w:right w:w="28" w:type="dxa"/>
        </w:tblCellMar>
      </w:tblPr>
      <w:tblGrid>
        <w:gridCol w:w="124"/>
        <w:gridCol w:w="256"/>
        <w:gridCol w:w="18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directors,</w:t>
            </w:r>
          </w:p>
        </w:tc>
      </w:tr>
    </w:tbl>
    <w:tbl>
      <w:tblPr>
        <w:tblW w:w="3921" w:type="dxa"/>
        <w:jc w:val="left"/>
        <w:tblInd w:w="0" w:type="dxa"/>
        <w:tblLayout w:type="fixed"/>
        <w:tblCellMar>
          <w:top w:w="28" w:type="dxa"/>
          <w:left w:w="28" w:type="dxa"/>
          <w:bottom w:w="28" w:type="dxa"/>
          <w:right w:w="28" w:type="dxa"/>
        </w:tblCellMar>
      </w:tblPr>
      <w:tblGrid>
        <w:gridCol w:w="124"/>
        <w:gridCol w:w="256"/>
        <w:gridCol w:w="35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current executive officers, and</w:t>
            </w:r>
          </w:p>
        </w:tc>
      </w:tr>
    </w:tbl>
    <w:tbl>
      <w:tblPr>
        <w:tblW w:w="4851" w:type="dxa"/>
        <w:jc w:val="left"/>
        <w:tblInd w:w="0" w:type="dxa"/>
        <w:tblLayout w:type="fixed"/>
        <w:tblCellMar>
          <w:top w:w="28" w:type="dxa"/>
          <w:left w:w="28" w:type="dxa"/>
          <w:bottom w:w="28" w:type="dxa"/>
          <w:right w:w="28" w:type="dxa"/>
        </w:tblCellMar>
      </w:tblPr>
      <w:tblGrid>
        <w:gridCol w:w="124"/>
        <w:gridCol w:w="256"/>
        <w:gridCol w:w="44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current directors and executive officers as a group.</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As of March 31, 2024, 3,222,468,571 of our ordinary shares were outstanding (excluding 107,096,010 ordinary shares being the total of ordinary shares issued to and held by The Bank of New York Mellon, the depositary of our ADS program, which are reserved for future delivery upon vesting of share awards granted under our Share Plans, and the ordinary shares underlying our treasury ADSs). The amounts and percentages of ordinary shares beneficially owned are reported on the basis of regulations of the SEC governing the determination of beneficial ownership of securities. Under the rules of the SEC,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a right to acquire beneficial ownership within 60 days. Under these rules, more than one person may be deemed a beneficial owner of securities as to which such person has no economic interest. The shareholders listed below do not have different voting rights.</w:t>
      </w:r>
    </w:p>
    <w:p>
      <w:pPr>
        <w:pStyle w:val="TextBody"/>
        <w:bidi w:val="0"/>
        <w:spacing w:before="0" w:after="0"/>
        <w:ind w:left="0" w:right="0" w:hanging="0"/>
        <w:jc w:val="left"/>
        <w:rPr/>
      </w:pPr>
      <w:r>
        <w:rPr/>
        <w:t>​</w:t>
      </w:r>
    </w:p>
    <w:tbl>
      <w:tblPr>
        <w:tblW w:w="7916" w:type="dxa"/>
        <w:jc w:val="left"/>
        <w:tblInd w:w="0" w:type="dxa"/>
        <w:tblLayout w:type="fixed"/>
        <w:tblCellMar>
          <w:top w:w="0" w:type="dxa"/>
          <w:left w:w="0" w:type="dxa"/>
          <w:bottom w:w="0" w:type="dxa"/>
          <w:right w:w="0" w:type="dxa"/>
        </w:tblCellMar>
      </w:tblPr>
      <w:tblGrid>
        <w:gridCol w:w="4741"/>
        <w:gridCol w:w="326"/>
        <w:gridCol w:w="1291"/>
        <w:gridCol w:w="326"/>
        <w:gridCol w:w="916"/>
        <w:gridCol w:w="316"/>
      </w:tblGrid>
      <w:tr>
        <w:trPr/>
        <w:tc>
          <w:tcPr>
            <w:tcW w:w="4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3010535" cy="175260"/>
                      <wp:effectExtent l="0" t="0" r="0" b="0"/>
                      <wp:wrapNone/>
                      <wp:docPr id="250" name="Frame249"/>
                      <a:graphic xmlns:a="http://schemas.openxmlformats.org/drawingml/2006/main">
                        <a:graphicData uri="http://schemas.microsoft.com/office/word/2010/wordprocessingShape">
                          <wps:wsp>
                            <wps:cNvSpPr txBox="1"/>
                            <wps:spPr>
                              <a:xfrm>
                                <a:off x="0" y="0"/>
                                <a:ext cx="3010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07010" cy="175260"/>
                      <wp:effectExtent l="0" t="0" r="0" b="0"/>
                      <wp:wrapNone/>
                      <wp:docPr id="251" name="Frame2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819785" cy="175260"/>
                      <wp:effectExtent l="0" t="0" r="0" b="0"/>
                      <wp:wrapNone/>
                      <wp:docPr id="252" name="Frame251"/>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07010" cy="175260"/>
                      <wp:effectExtent l="0" t="0" r="0" b="0"/>
                      <wp:wrapNone/>
                      <wp:docPr id="253" name="Frame2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581660" cy="175260"/>
                      <wp:effectExtent l="0" t="0" r="0" b="0"/>
                      <wp:wrapNone/>
                      <wp:docPr id="254" name="Frame253"/>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00660" cy="175260"/>
                      <wp:effectExtent l="0" t="0" r="0" b="0"/>
                      <wp:wrapNone/>
                      <wp:docPr id="255" name="Frame25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33"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Shares</w:t>
            </w:r>
          </w:p>
        </w:tc>
        <w:tc>
          <w:tcPr>
            <w:tcW w:w="316" w:type="dxa"/>
            <w:tcBorders/>
            <w:vAlign w:val="center"/>
          </w:tcPr>
          <w:p>
            <w:pPr>
              <w:pStyle w:val="TableContents"/>
              <w:bidi w:val="0"/>
              <w:spacing w:before="0" w:after="0"/>
              <w:ind w:left="0" w:right="0" w:hanging="0"/>
              <w:jc w:val="left"/>
              <w:rPr/>
            </w:pPr>
            <w:r>
              <w:rPr/>
              <w:t> </w:t>
            </w:r>
          </w:p>
        </w:tc>
      </w:tr>
      <w:tr>
        <w:trPr/>
        <w:tc>
          <w:tcPr>
            <w:tcW w:w="4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3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Beneficially Owned</w:t>
            </w:r>
          </w:p>
        </w:tc>
        <w:tc>
          <w:tcPr>
            <w:tcW w:w="316" w:type="dxa"/>
            <w:tcBorders/>
            <w:vAlign w:val="center"/>
          </w:tcPr>
          <w:p>
            <w:pPr>
              <w:pStyle w:val="TableContents"/>
              <w:bidi w:val="0"/>
              <w:spacing w:before="0" w:after="0"/>
              <w:ind w:left="0" w:right="0" w:hanging="0"/>
              <w:jc w:val="left"/>
              <w:rPr/>
            </w:pPr>
            <w:r>
              <w:rPr/>
              <w:t> </w:t>
            </w:r>
          </w:p>
        </w:tc>
      </w:tr>
      <w:tr>
        <w:trPr/>
        <w:tc>
          <w:tcPr>
            <w:tcW w:w="4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26" w:type="dxa"/>
            <w:tcBorders/>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Percentage</w:t>
            </w:r>
          </w:p>
        </w:tc>
        <w:tc>
          <w:tcPr>
            <w:tcW w:w="316" w:type="dxa"/>
            <w:tcBorders/>
            <w:vAlign w:val="center"/>
          </w:tcPr>
          <w:p>
            <w:pPr>
              <w:pStyle w:val="TableContents"/>
              <w:bidi w:val="0"/>
              <w:spacing w:before="0" w:after="0"/>
              <w:ind w:left="0" w:right="0" w:hanging="0"/>
              <w:jc w:val="left"/>
              <w:rPr/>
            </w:pPr>
            <w:r>
              <w:rPr/>
              <w:t> </w:t>
            </w:r>
          </w:p>
        </w:tc>
      </w:tr>
      <w:tr>
        <w:trPr/>
        <w:tc>
          <w:tcPr>
            <w:tcW w:w="47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5% Shareholder</w:t>
            </w:r>
          </w:p>
        </w:tc>
        <w:tc>
          <w:tcPr>
            <w:tcW w:w="326"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74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Shining Globe International Limited/William Lei Ding</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1,450,300,000</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tbl>
      <w:tblPr>
        <w:tblW w:w="8996" w:type="dxa"/>
        <w:jc w:val="left"/>
        <w:tblInd w:w="0" w:type="dxa"/>
        <w:tblLayout w:type="fixed"/>
        <w:tblCellMar>
          <w:top w:w="0" w:type="dxa"/>
          <w:left w:w="0" w:type="dxa"/>
          <w:bottom w:w="0" w:type="dxa"/>
          <w:right w:w="0" w:type="dxa"/>
        </w:tblCellMar>
      </w:tblPr>
      <w:tblGrid>
        <w:gridCol w:w="5851"/>
        <w:gridCol w:w="326"/>
        <w:gridCol w:w="1291"/>
        <w:gridCol w:w="326"/>
        <w:gridCol w:w="916"/>
        <w:gridCol w:w="286"/>
      </w:tblGrid>
      <w:tr>
        <w:trPr/>
        <w:tc>
          <w:tcPr>
            <w:tcW w:w="5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3715385" cy="175260"/>
                      <wp:effectExtent l="0" t="0" r="0" b="0"/>
                      <wp:wrapNone/>
                      <wp:docPr id="256" name="Frame255"/>
                      <a:graphic xmlns:a="http://schemas.openxmlformats.org/drawingml/2006/main">
                        <a:graphicData uri="http://schemas.microsoft.com/office/word/2010/wordprocessingShape">
                          <wps:wsp>
                            <wps:cNvSpPr txBox="1"/>
                            <wps:spPr>
                              <a:xfrm>
                                <a:off x="0" y="0"/>
                                <a:ext cx="3715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07010" cy="175260"/>
                      <wp:effectExtent l="0" t="0" r="0" b="0"/>
                      <wp:wrapNone/>
                      <wp:docPr id="257" name="Frame2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819785" cy="175260"/>
                      <wp:effectExtent l="0" t="0" r="0" b="0"/>
                      <wp:wrapNone/>
                      <wp:docPr id="258" name="Frame257"/>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07010" cy="175260"/>
                      <wp:effectExtent l="0" t="0" r="0" b="0"/>
                      <wp:wrapNone/>
                      <wp:docPr id="259" name="Frame2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581660" cy="175260"/>
                      <wp:effectExtent l="0" t="0" r="0" b="0"/>
                      <wp:wrapNone/>
                      <wp:docPr id="260" name="Frame259"/>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81610" cy="175260"/>
                      <wp:effectExtent l="0" t="0" r="0" b="0"/>
                      <wp:wrapNone/>
                      <wp:docPr id="261" name="Frame260"/>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33"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Shares</w:t>
            </w:r>
          </w:p>
        </w:tc>
        <w:tc>
          <w:tcPr>
            <w:tcW w:w="286" w:type="dxa"/>
            <w:tcBorders/>
            <w:vAlign w:val="center"/>
          </w:tcPr>
          <w:p>
            <w:pPr>
              <w:pStyle w:val="TableContents"/>
              <w:bidi w:val="0"/>
              <w:spacing w:before="0" w:after="0"/>
              <w:ind w:left="0" w:right="0" w:hanging="0"/>
              <w:jc w:val="center"/>
              <w:rPr/>
            </w:pPr>
            <w:r>
              <w:rPr/>
              <w:t>​</w:t>
            </w:r>
          </w:p>
        </w:tc>
      </w:tr>
      <w:tr>
        <w:trPr/>
        <w:tc>
          <w:tcPr>
            <w:tcW w:w="58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3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Beneficially Owned</w:t>
            </w:r>
          </w:p>
        </w:tc>
        <w:tc>
          <w:tcPr>
            <w:tcW w:w="286" w:type="dxa"/>
            <w:tcBorders/>
            <w:vAlign w:val="center"/>
          </w:tcPr>
          <w:p>
            <w:pPr>
              <w:pStyle w:val="TableContents"/>
              <w:bidi w:val="0"/>
              <w:spacing w:before="0" w:after="0"/>
              <w:ind w:left="0" w:right="0" w:hanging="0"/>
              <w:jc w:val="center"/>
              <w:rPr/>
            </w:pPr>
            <w:r>
              <w:rPr/>
              <w:t>​</w:t>
            </w:r>
          </w:p>
        </w:tc>
      </w:tr>
      <w:tr>
        <w:trPr/>
        <w:tc>
          <w:tcPr>
            <w:tcW w:w="58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26" w:type="dxa"/>
            <w:tcBorders/>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Percentage</w:t>
            </w:r>
          </w:p>
        </w:tc>
        <w:tc>
          <w:tcPr>
            <w:tcW w:w="286" w:type="dxa"/>
            <w:tcBorders/>
            <w:vAlign w:val="center"/>
          </w:tcPr>
          <w:p>
            <w:pPr>
              <w:pStyle w:val="TableContents"/>
              <w:bidi w:val="0"/>
              <w:spacing w:before="0" w:after="0"/>
              <w:ind w:left="0" w:right="0" w:hanging="0"/>
              <w:jc w:val="center"/>
              <w:rPr/>
            </w:pPr>
            <w:r>
              <w:rPr/>
              <w:t>​</w:t>
            </w:r>
          </w:p>
        </w:tc>
      </w:tr>
      <w:tr>
        <w:trPr/>
        <w:tc>
          <w:tcPr>
            <w:tcW w:w="585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b/>
                <w:sz w:val="20"/>
              </w:rPr>
              <w:t xml:space="preserve">Executive Officers and Directors </w:t>
            </w:r>
            <w:r>
              <w:rPr>
                <w:rFonts w:ascii="Times New Roman;Times;serif" w:hAnsi="Times New Roman;Times;serif"/>
                <w:b/>
                <w:sz w:val="15"/>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585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William Lei Ding</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1,450,300,000</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w:t>
            </w:r>
          </w:p>
        </w:tc>
        <w:tc>
          <w:tcPr>
            <w:tcW w:w="286" w:type="dxa"/>
            <w:tcBorders/>
            <w:vAlign w:val="center"/>
          </w:tcPr>
          <w:p>
            <w:pPr>
              <w:pStyle w:val="TableContents"/>
              <w:bidi w:val="0"/>
              <w:spacing w:before="0" w:after="0"/>
              <w:ind w:left="0" w:right="0" w:hanging="0"/>
              <w:jc w:val="left"/>
              <w:rPr>
                <w:rFonts w:ascii="Calibri;Helvetica;sans-serif" w:hAnsi="Calibri;Helvetica;sans-serif"/>
                <w:sz w:val="20"/>
              </w:rPr>
            </w:pPr>
            <w:r>
              <w:rPr>
                <w:rFonts w:ascii="Calibri;Helvetica;sans-serif" w:hAnsi="Calibri;Helvetica;sans-serif"/>
                <w:sz w:val="20"/>
              </w:rPr>
              <w:t>%</w:t>
            </w:r>
          </w:p>
        </w:tc>
      </w:tr>
      <w:tr>
        <w:trPr/>
        <w:tc>
          <w:tcPr>
            <w:tcW w:w="58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Alice Cheng</w:t>
            </w:r>
          </w:p>
        </w:tc>
        <w:tc>
          <w:tcPr>
            <w:tcW w:w="326" w:type="dxa"/>
            <w:tcBorders/>
            <w:shd w:fill="CCEEFF" w:val="clear"/>
            <w:vAlign w:val="center"/>
          </w:tcPr>
          <w:p>
            <w:pPr>
              <w:pStyle w:val="TableContents"/>
              <w:bidi w:val="0"/>
              <w:spacing w:before="0" w:after="0"/>
              <w:ind w:left="0" w:right="0" w:hanging="0"/>
              <w:jc w:val="left"/>
              <w:rPr/>
            </w:pPr>
            <w:r>
              <w:rPr/>
              <w:t> </w:t>
            </w:r>
          </w:p>
        </w:tc>
        <w:tc>
          <w:tcPr>
            <w:tcW w:w="12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5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Grace Tang</w:t>
            </w:r>
          </w:p>
        </w:tc>
        <w:tc>
          <w:tcPr>
            <w:tcW w:w="32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286" w:type="dxa"/>
            <w:tcBorders/>
            <w:vAlign w:val="center"/>
          </w:tcPr>
          <w:p>
            <w:pPr>
              <w:pStyle w:val="TableContents"/>
              <w:bidi w:val="0"/>
              <w:spacing w:before="0" w:after="0"/>
              <w:ind w:left="0" w:right="0" w:hanging="0"/>
              <w:jc w:val="left"/>
              <w:rPr/>
            </w:pPr>
            <w:r>
              <w:rPr/>
              <w:t>​</w:t>
            </w:r>
          </w:p>
        </w:tc>
      </w:tr>
      <w:tr>
        <w:trPr/>
        <w:tc>
          <w:tcPr>
            <w:tcW w:w="58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Joseph Tong</w:t>
            </w:r>
          </w:p>
        </w:tc>
        <w:tc>
          <w:tcPr>
            <w:tcW w:w="326" w:type="dxa"/>
            <w:tcBorders/>
            <w:shd w:fill="CCEEFF" w:val="clear"/>
            <w:vAlign w:val="center"/>
          </w:tcPr>
          <w:p>
            <w:pPr>
              <w:pStyle w:val="TableContents"/>
              <w:bidi w:val="0"/>
              <w:spacing w:before="0" w:after="0"/>
              <w:ind w:left="0" w:right="0" w:hanging="0"/>
              <w:jc w:val="left"/>
              <w:rPr/>
            </w:pPr>
            <w:r>
              <w:rPr/>
              <w:t> </w:t>
            </w:r>
          </w:p>
        </w:tc>
        <w:tc>
          <w:tcPr>
            <w:tcW w:w="12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5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Leung</w:t>
            </w:r>
          </w:p>
        </w:tc>
        <w:tc>
          <w:tcPr>
            <w:tcW w:w="326"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286" w:type="dxa"/>
            <w:tcBorders/>
            <w:vAlign w:val="center"/>
          </w:tcPr>
          <w:p>
            <w:pPr>
              <w:pStyle w:val="TableContents"/>
              <w:bidi w:val="0"/>
              <w:spacing w:before="0" w:after="0"/>
              <w:ind w:left="0" w:right="0" w:hanging="0"/>
              <w:jc w:val="left"/>
              <w:rPr/>
            </w:pPr>
            <w:r>
              <w:rPr/>
              <w:t>​</w:t>
            </w:r>
          </w:p>
        </w:tc>
      </w:tr>
      <w:tr>
        <w:trPr/>
        <w:tc>
          <w:tcPr>
            <w:tcW w:w="58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Yingfeng Ding</w:t>
            </w:r>
          </w:p>
        </w:tc>
        <w:tc>
          <w:tcPr>
            <w:tcW w:w="326" w:type="dxa"/>
            <w:tcBorders/>
            <w:shd w:fill="CCEEFF" w:val="clear"/>
            <w:vAlign w:val="center"/>
          </w:tcPr>
          <w:p>
            <w:pPr>
              <w:pStyle w:val="TableContents"/>
              <w:bidi w:val="0"/>
              <w:spacing w:before="0" w:after="0"/>
              <w:ind w:left="0" w:right="0" w:hanging="0"/>
              <w:jc w:val="left"/>
              <w:rPr/>
            </w:pPr>
            <w:r>
              <w:rPr/>
              <w:t> </w:t>
            </w:r>
          </w:p>
        </w:tc>
        <w:tc>
          <w:tcPr>
            <w:tcW w:w="12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5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Paul W. Boltz, Jr.</w:t>
            </w:r>
          </w:p>
        </w:tc>
        <w:tc>
          <w:tcPr>
            <w:tcW w:w="326"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286" w:type="dxa"/>
            <w:tcBorders/>
            <w:vAlign w:val="center"/>
          </w:tcPr>
          <w:p>
            <w:pPr>
              <w:pStyle w:val="TableContents"/>
              <w:bidi w:val="0"/>
              <w:spacing w:before="0" w:after="0"/>
              <w:ind w:left="0" w:right="0" w:hanging="0"/>
              <w:jc w:val="left"/>
              <w:rPr/>
            </w:pPr>
            <w:r>
              <w:rPr/>
              <w:t>​</w:t>
            </w:r>
          </w:p>
        </w:tc>
      </w:tr>
      <w:tr>
        <w:trPr/>
        <w:tc>
          <w:tcPr>
            <w:tcW w:w="58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Sarah Li</w:t>
            </w:r>
          </w:p>
        </w:tc>
        <w:tc>
          <w:tcPr>
            <w:tcW w:w="326" w:type="dxa"/>
            <w:tcBorders/>
            <w:shd w:fill="CCEEFF" w:val="clear"/>
            <w:vAlign w:val="center"/>
          </w:tcPr>
          <w:p>
            <w:pPr>
              <w:pStyle w:val="TableContents"/>
              <w:bidi w:val="0"/>
              <w:spacing w:before="0" w:after="0"/>
              <w:ind w:left="0" w:right="0" w:hanging="0"/>
              <w:jc w:val="left"/>
              <w:rPr/>
            </w:pPr>
            <w:r>
              <w:rPr/>
              <w:t> </w:t>
            </w:r>
          </w:p>
        </w:tc>
        <w:tc>
          <w:tcPr>
            <w:tcW w:w="12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585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All current directors and executive officers as a group (eight persons)</w:t>
            </w:r>
            <w:r>
              <w:rPr>
                <w:rFonts w:ascii="Times New Roman;Times;serif" w:hAnsi="Times New Roman;Times;serif"/>
                <w:sz w:val="15"/>
              </w:rPr>
              <w:t>(3)</w:t>
            </w:r>
          </w:p>
        </w:tc>
        <w:tc>
          <w:tcPr>
            <w:tcW w:w="326"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1,468,297,542</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w:t>
            </w:r>
          </w:p>
        </w:tc>
        <w:tc>
          <w:tcPr>
            <w:tcW w:w="286" w:type="dxa"/>
            <w:tcBorders/>
            <w:vAlign w:val="center"/>
          </w:tcPr>
          <w:p>
            <w:pPr>
              <w:pStyle w:val="TableContents"/>
              <w:bidi w:val="0"/>
              <w:spacing w:before="0" w:after="0"/>
              <w:ind w:left="0" w:right="0" w:hanging="0"/>
              <w:jc w:val="left"/>
              <w:rPr>
                <w:rFonts w:ascii="Calibri;Helvetica;sans-serif" w:hAnsi="Calibri;Helvetica;sans-serif"/>
                <w:sz w:val="20"/>
              </w:rPr>
            </w:pPr>
            <w:r>
              <w:rPr>
                <w:rFonts w:ascii="Calibri;Helvetica;sans-serif" w:hAnsi="Calibri;Helvetica;sans-serif"/>
                <w:sz w:val="20"/>
              </w:rPr>
              <w:t>%</w:t>
            </w:r>
          </w:p>
        </w:tc>
      </w:tr>
    </w:tbl>
    <w:tbl>
      <w:tblPr>
        <w:tblW w:w="1502" w:type="dxa"/>
        <w:jc w:val="left"/>
        <w:tblInd w:w="0" w:type="dxa"/>
        <w:tblLayout w:type="fixed"/>
        <w:tblCellMar>
          <w:top w:w="0" w:type="dxa"/>
          <w:left w:w="0" w:type="dxa"/>
          <w:bottom w:w="0" w:type="dxa"/>
          <w:right w:w="0" w:type="dxa"/>
        </w:tblCellMar>
      </w:tblPr>
      <w:tblGrid>
        <w:gridCol w:w="226"/>
        <w:gridCol w:w="1276"/>
      </w:tblGrid>
      <w:tr>
        <w:trPr/>
        <w:tc>
          <w:tcPr>
            <w:tcW w:w="22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127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Less than 1%.</w:t>
            </w:r>
          </w:p>
        </w:tc>
      </w:tr>
    </w:tbl>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Shining Globe International Limited is the record owner of 1,450,300,000 ordinary shares, consisting of 1,406,000,000 ordinary shares and 8,860,000 ADSs. Shining Globe International Limited is wholly owned by Shining Globe Holding Limited, which is in turn wholly owned by Shining Globe Trust, or the Trust, for which TMF (Cayman) Ltd. acts as the trustee. William Lei Ding, our founder, Chief Executive Officer and a director, is the sole director of Shining Globe International Limited and the settlor of the Trust, retaining the investment and dispositive powers with respect to the assets of the Trust. The beneficiaries of the Trust are William Lei Ding and his family. The principal business address of Shining Globe International Limited is c/o NetEase, Inc., NetEase Building, No. 599 Wangshang Road, Binjiang District, Hangzhou, People’s Republic of China 310052.</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325"/>
        <w:gridCol w:w="9880"/>
      </w:tblGrid>
      <w:tr>
        <w:trPr/>
        <w:tc>
          <w:tcPr>
            <w:tcW w:w="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of our current executive officers and directors are c/o NetEase Building, No. 599 Wangshang Road, Binjiang District, Hangzhou, People’s Republic of China 310052.</w:t>
            </w:r>
          </w:p>
        </w:tc>
      </w:tr>
    </w:tbl>
    <w:tbl>
      <w:tblPr>
        <w:tblW w:w="10205" w:type="dxa"/>
        <w:jc w:val="left"/>
        <w:tblInd w:w="0" w:type="dxa"/>
        <w:tblLayout w:type="fixed"/>
        <w:tblCellMar>
          <w:top w:w="0" w:type="dxa"/>
          <w:left w:w="0" w:type="dxa"/>
          <w:bottom w:w="0" w:type="dxa"/>
          <w:right w:w="0" w:type="dxa"/>
        </w:tblCellMar>
      </w:tblPr>
      <w:tblGrid>
        <w:gridCol w:w="338"/>
        <w:gridCol w:w="9867"/>
      </w:tblGrid>
      <w:tr>
        <w:trPr/>
        <w:tc>
          <w:tcPr>
            <w:tcW w:w="3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Shares owned by all of our current directors and executive officers as a group includes shares beneficially owned by William Lei Ding. </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March 31, 2024, based on public filings with the SEC, there are no major shareholders holding 5% or more of our ordinary shares or ADSs representing ordinary shares, except as described above.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March 31, 2024, there were four ordinary shareholders of record with an address in the United States. The Bank of New York Mellon, depositary of our ADS program, held 498,561,420 outstanding ordinary shares as of that date, which accounted for 15.5% of our total issued and outstanding ordinary shares (excluding 107,096,010 ordinary shares being the total of ordinary shares issued and held by The Bank of New York Mellon, which were reserved for future delivery upon vesting of share awards granted under our Share Plans, and the ordinary shares underlying our treasury ADSs).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 our knowledge, except as disclosed above, we are not owned or controlled, directly or indirectly, by another corporation, by any foreign government or by any other natural or legal person or persons, severally or jointly.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 our knowledge, there are no arrangements the operation of which may at a subsequent date result in us undergoing a change in control.</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major shareholders do not have different voting rights than any of our other shareholders.</w:t>
      </w:r>
    </w:p>
    <w:p>
      <w:pPr>
        <w:pStyle w:val="TextBody"/>
        <w:bidi w:val="0"/>
        <w:spacing w:before="0" w:after="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          Disclosure of a Registrant’s Action to Recover Erroneously Awarded Compensation</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bookmarkStart w:id="78" w:name="Item7MajorShareholdersandRelatedPartyTra"/>
      <w:bookmarkStart w:id="79" w:name="_9b0b4a9d_8a25_49f9_9f1e_f9304145ffb4"/>
      <w:bookmarkEnd w:id="78"/>
      <w:bookmarkEnd w:id="79"/>
      <w:r>
        <w:rPr>
          <w:rFonts w:ascii="Times New Roman;Times;serif" w:hAnsi="Times New Roman;Times;serif"/>
          <w:b/>
          <w:sz w:val="20"/>
        </w:rPr>
        <w:t>Item 7.  Major Shareholders and Related Party Transactions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          Major Shareholders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Please see Item 6.E. “Directors, Senior Management and Employees—Share Ownership.”</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           Related Party Transactions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Material VIE Agreements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NetEase, Inc. and certain of its subsidiaries have entered into a series of agreements with Guangzhou NetEase, Hangzhou Leihuo, Youdao Computer, Hangzhou Yuedu and certain other VIEs and the shareholders of these entities, under which we provide our computer software, mobile applications, technologies and relevant services to Guangzhou NetEase, Hangzhou Leihuo, Youdao Computer and certain other VIEs, and they in turn provide certain of our online games and operate the NetEase websites, our online advertising business, and e-mail and certain of our other fee-based premium services. We believe that the terms of each agreement are no less favorable than the terms that we could obtain from disinterested third parties and that the shareholders of Guangzhou NetEase, Hangzhou Leihuo, Youdao Computer, Hangzhou Yuedu and our other VIEs will not receive material benefits from these agreements except as shareholders of NetEase. The agreements with Guangzhou NetEase, Hangzhou Leihuo, Youdao Computer and Hangzhou Yuedu are described below.</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Agreements relating to Guangzhou NetEase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the date of the filing of this annual report, William Lei Ding, our Chief Executive Officer, and Xiaojun Hui, our vice president of game development, own 99.0% and 1.0% of the equity interest in Guangzhou NetEase, respectively.</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Copyright License Agreement between NetEase Beijing and Guangzhou NetEase. </w:t>
            </w:r>
            <w:r>
              <w:rPr>
                <w:rFonts w:ascii="Times New Roman;Times;serif" w:hAnsi="Times New Roman;Times;serif"/>
                <w:b w:val="false"/>
                <w:i w:val="false"/>
                <w:caps w:val="false"/>
                <w:smallCaps w:val="false"/>
                <w:sz w:val="20"/>
              </w:rPr>
              <w:t>NetEase Information Technology (Beijing) Co. Ltd., or “NetEase Beijing,” granted Guangzhou NetEase the right to use NetEase Beijing’s web page layout in China for a royalty of RMB10,000 per year. NetEase Beijing may waive this fee at any time.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Trademark License Agreement between NetEase Beijing and Guangzhou NetEase. </w:t>
            </w:r>
            <w:r>
              <w:rPr>
                <w:rFonts w:ascii="Times New Roman;Times;serif" w:hAnsi="Times New Roman;Times;serif"/>
                <w:b w:val="false"/>
                <w:i w:val="false"/>
                <w:caps w:val="false"/>
                <w:smallCaps w:val="false"/>
                <w:sz w:val="20"/>
              </w:rPr>
              <w:t>NetEase Beijing granted Guangzhou NetEase a license to use NetEase Beijing’s registered trademarks on the NetEase websites in China for license fees of RMB10,000 per year. NetEase Beijing may waive this fee at any time.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Cooperative Agreements. </w:t>
            </w:r>
            <w:r>
              <w:rPr>
                <w:rFonts w:ascii="Times New Roman;Times;serif" w:hAnsi="Times New Roman;Times;serif"/>
                <w:b w:val="false"/>
                <w:i w:val="false"/>
                <w:caps w:val="false"/>
                <w:smallCaps w:val="false"/>
                <w:sz w:val="20"/>
              </w:rPr>
              <w:t>Guangzhou NetEase has entered into cooperative agreements with each of NetEase Beijing, Boguan and NetEase Hangzhou pursuant to which such subsidiaries have agreed to provide the following services: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R&amp;D of computer software (including, but not limited to, online games software) and technical support and maintenance for the operation of computer software;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technical support for internet services, including, but not limited to, server maintenance and development, update and upgrade of relevant application software; and</w:t>
            </w:r>
          </w:p>
        </w:tc>
      </w:tr>
    </w:tbl>
    <w:tbl>
      <w:tblPr>
        <w:tblW w:w="7671" w:type="dxa"/>
        <w:jc w:val="left"/>
        <w:tblInd w:w="0" w:type="dxa"/>
        <w:tblLayout w:type="fixed"/>
        <w:tblCellMar>
          <w:top w:w="28" w:type="dxa"/>
          <w:left w:w="28" w:type="dxa"/>
          <w:bottom w:w="28" w:type="dxa"/>
          <w:right w:w="28" w:type="dxa"/>
        </w:tblCellMar>
      </w:tblPr>
      <w:tblGrid>
        <w:gridCol w:w="124"/>
        <w:gridCol w:w="256"/>
        <w:gridCol w:w="72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R&amp;D of electronic publishing technology and relevant technical assistance and support.</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Guangzhou NetEase has agreed to pay a monthly service fee to each such subsidiary in accordance with a formula based on their respective expenses incurred. The cooperative agreements with each of NetEase Beijing, Boguan and NetEase Hangzhou were effective from September 1, November 1, and December 1, 2012, respectively, and each will continue to be effective unless any one of the two respective parties terminates such agreement by written notice.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Online Advertising Agreement between Guangzhou NetEase and NetEase Advertising. </w:t>
            </w:r>
            <w:r>
              <w:rPr>
                <w:rFonts w:ascii="Times New Roman;Times;serif" w:hAnsi="Times New Roman;Times;serif"/>
                <w:b w:val="false"/>
                <w:i w:val="false"/>
                <w:caps w:val="false"/>
                <w:smallCaps w:val="false"/>
                <w:sz w:val="20"/>
              </w:rPr>
              <w:t>Guangzhou NetEase sells all of the banner space on the NetEase websites to Beijing NetEase Chuanmei Co., Ltd. (previously named Beijing Guangyitong Advertising Co., Ltd.), or “NetEase Advertising,” and publishes the advertisements provided by NetEase Advertising on the banner space purchased by NetEase Advertising. NetEase Advertising pays Guangzhou NetEase RMB10,000 per year. Guangzhou NetEase may waive this fee at any time.</w:t>
            </w:r>
          </w:p>
        </w:tc>
      </w:tr>
    </w:tbl>
    <w:p>
      <w:pPr>
        <w:pStyle w:val="TextBody"/>
        <w:bidi w:val="0"/>
        <w:spacing w:before="0" w:after="240"/>
        <w:ind w:left="1080" w:right="0" w:hanging="0"/>
        <w:jc w:val="both"/>
        <w:rPr>
          <w:rFonts w:ascii="Times New Roman;Times;serif" w:hAnsi="Times New Roman;Times;serif"/>
          <w:sz w:val="20"/>
        </w:rPr>
      </w:pPr>
      <w:r>
        <w:rPr>
          <w:rFonts w:ascii="Times New Roman;Times;serif" w:hAnsi="Times New Roman;Times;serif"/>
          <w:sz w:val="20"/>
        </w:rPr>
        <w:t>The term of the foregoing agreement is automatically renewable for successive one year term.</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Trademark Transfer Agreement between Guangzhou NetEase and NetEase Beijing</w:t>
            </w:r>
            <w:r>
              <w:rPr>
                <w:rFonts w:ascii="Times New Roman;Times;serif" w:hAnsi="Times New Roman;Times;serif"/>
                <w:b w:val="false"/>
                <w:i w:val="false"/>
                <w:caps w:val="false"/>
                <w:smallCaps w:val="false"/>
                <w:sz w:val="20"/>
              </w:rPr>
              <w:t>.</w:t>
            </w:r>
            <w:r>
              <w:rPr/>
              <w:t xml:space="preserve"> </w:t>
            </w:r>
            <w:r>
              <w:rPr>
                <w:rFonts w:ascii="Times New Roman;Times;serif" w:hAnsi="Times New Roman;Times;serif"/>
                <w:b w:val="false"/>
                <w:i w:val="false"/>
                <w:caps w:val="false"/>
                <w:smallCaps w:val="false"/>
                <w:sz w:val="20"/>
              </w:rPr>
              <w:t>Under this agreement, Guangzhou NetEase transferred its registered trademarks to NetEase Beijing.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Supplemental Agreement between NetEase Beijing and Guangzhou NetEase. </w:t>
            </w:r>
            <w:r>
              <w:rPr>
                <w:rFonts w:ascii="Times New Roman;Times;serif" w:hAnsi="Times New Roman;Times;serif"/>
                <w:b w:val="false"/>
                <w:i w:val="false"/>
                <w:caps w:val="false"/>
                <w:smallCaps w:val="false"/>
                <w:sz w:val="20"/>
              </w:rPr>
              <w:t>NetEase Beijing may not grant the license to use its domain name, copyright and trademark to any third party without Guangzhou NetEase’s consent and may not provide technical service to any third party.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Shareholder Voting Rights Trust Agreement among NetEase Beijing and the Individual Shareholders of Guangzhou NetEase. </w:t>
            </w:r>
            <w:r>
              <w:rPr>
                <w:rFonts w:ascii="Times New Roman;Times;serif" w:hAnsi="Times New Roman;Times;serif"/>
                <w:b w:val="false"/>
                <w:i w:val="false"/>
                <w:caps w:val="false"/>
                <w:smallCaps w:val="false"/>
                <w:sz w:val="20"/>
              </w:rPr>
              <w:t>William Lei Ding and Xiaojun Hui agreed to irrevocably appoint NetEase Beijing to represent him to exercise all voting rights to which he is entitled as a shareholder of Guangzhou NetEase. The term of this agreement is 20 years from May 12, 2010. This agreement was amended and novated on May 1, 2014 in connection with Mr. Hui’s acquisition of his equity interest in Guangzhou NetEase from a prior shareholder and further amended and restated on November 30, 2015 in connection with the equity transfer of NetEase Advertising to William Lei Ding and Li Li.</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Agreement between NetEase Beijing and Guangzhou NetEase. </w:t>
            </w:r>
            <w:r>
              <w:rPr>
                <w:rFonts w:ascii="Times New Roman;Times;serif" w:hAnsi="Times New Roman;Times;serif"/>
                <w:b w:val="false"/>
                <w:i w:val="false"/>
                <w:caps w:val="false"/>
                <w:smallCaps w:val="false"/>
                <w:sz w:val="20"/>
              </w:rPr>
              <w:t>NetEase Beijing agrees to pay the operating costs of Guangzhou NetEase.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Letter of Agreement. </w:t>
            </w:r>
            <w:r>
              <w:rPr>
                <w:rFonts w:ascii="Times New Roman;Times;serif" w:hAnsi="Times New Roman;Times;serif"/>
                <w:b w:val="false"/>
                <w:i w:val="false"/>
                <w:caps w:val="false"/>
                <w:smallCaps w:val="false"/>
                <w:sz w:val="20"/>
              </w:rPr>
              <w:t>Each of William Lei Ding and Xiaojun Hui have agreed that any amendments to be made to the Shareholder Voting Rights Trust Agreement, the Equity Pledge Agreement (described below) and the Loan Agreement (described below), as well as all other agreements to which our company, NetEase Beijing and/or their respective affiliates is a party, on the one hand, and any of their VIEs and/or the shareholders of such entities, on the other hand, shall be subject to the approval by the vote of a majority of our board, excluding the vote of William Lei Ding. Messrs. Ding and Hui have also agreed that, if any amendments to the above-mentioned agreements require a vote of the shareholders of our company or Guangzhou NetEase, as applicable, both of them will vote in their capacity as direct or indirect shareholders of these companies to act based upon the instructions of our board. The term of this agreement is 20 years from May 12, 2010, and this agreement was amended and novated on May 1, 2014 in connection with Mr. Hui’s acquisition of his equity interest in Guangzhou NetEase from a prior shareholder and further amended and restated on November 30, 2015 in connection with the equity transfer of NetEase Advertising to William Lei Ding and Li Li.</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Loan Agreement and Equity Pledge Agreement</w:t>
            </w:r>
            <w:r>
              <w:rPr>
                <w:rFonts w:ascii="Times New Roman;Times;serif" w:hAnsi="Times New Roman;Times;serif"/>
                <w:b w:val="false"/>
                <w:i w:val="false"/>
                <w:caps w:val="false"/>
                <w:smallCaps w:val="false"/>
                <w:sz w:val="20"/>
              </w:rPr>
              <w:t>. Concurrent with Mr. Hui’s acquisition of his equity interest in Guangzhou NetEase from a prior shareholder, Mr. Hui entered into a Loan Agreement and Equity Pledge Agreement with NetEase Beijing, each dated May 1, 2014. Under the Loan Agreement, NetEase Beijing provided Mr. Hui with an interest-free loan in the principal amount of RMB0.2 million to Mr. Hui, which funds were used by Mr. Hui to pay the consideration to acquire such 1.0% equity interest. The loan can be repaid by transferring such 1.0% equity interest to NetEase Beijing or its designee or through such other method as NetEase Beijing shall determine. The term of the loan is 10 years from the date of the agreement and can be extended upon the mutual consent of both parties. Under the Equity Pledge Agreement, Mr. Hui pledges his 1.0% equity interest in Guangzhou NetEase to NetEase Beijing to secure his respective obligations under the Loan Agreement and Shareholder Voting Rights Trust Agreement. Mr. Hui agrees he shall not transfer, pledge or encumber his 1.0% equity interest without the prior written consent of NetEase Beijing. During the term of this agreement, NetEase Beijing is entitled to all dividends and other distributions made by Guangzhou NetEase. The Equity Pledge Agreement will remain binding until Mr. Hui discharges all his obligations under the above-mentioned agreements.</w:t>
            </w:r>
          </w:p>
        </w:tc>
      </w:tr>
    </w:tbl>
    <w:p>
      <w:pPr>
        <w:pStyle w:val="TextBody"/>
        <w:bidi w:val="0"/>
        <w:spacing w:before="0" w:after="240"/>
        <w:ind w:left="0" w:right="0" w:firstLine="1080"/>
        <w:jc w:val="both"/>
        <w:rPr>
          <w:rFonts w:ascii="Times New Roman;Times;serif" w:hAnsi="Times New Roman;Times;serif"/>
          <w:i/>
          <w:sz w:val="20"/>
        </w:rPr>
      </w:pPr>
      <w:r>
        <w:rPr>
          <w:rFonts w:ascii="Times New Roman;Times;serif" w:hAnsi="Times New Roman;Times;serif"/>
          <w:i/>
          <w:sz w:val="20"/>
        </w:rPr>
        <w:t>Agreements relating to Hangzhou Leihuo</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the date of the filing of this annual report, the ultimate shareholders of Hangzhou Leihuo are Zhipeng Hu and Long Cheng, two of our employees, who each hold a 50.0% equity interest. Mr. Cheng’s equity interest in Hangzhou Leihuo was transferred to him in April 2019 by the prior equity holder and our former employee, Tianlei Hu, at which time Mr. Cheng assumed all of Mr. Hu’s rights and obligations under the operating agreement, equity pledge agreement, exclusive purchase option agreement and shareholder voting rights trust agreement described below.</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Loan Agreements and Equity Pledge Agreements between NetEase Hangzhou and each of the ultimate shareholders of Hangzhou Leihuo</w:t>
            </w:r>
            <w:r>
              <w:rPr>
                <w:rFonts w:ascii="Times New Roman;Times;serif" w:hAnsi="Times New Roman;Times;serif"/>
                <w:b w:val="false"/>
                <w:i w:val="false"/>
                <w:caps w:val="false"/>
                <w:smallCaps w:val="false"/>
                <w:sz w:val="20"/>
              </w:rPr>
              <w:t>. Each of the ultimate shareholders of Hangzhou Leihuo has entered into a Loan Agreement and an Equity Pledge Agreement with NetEase Hangzhou, each dated December 1, 2015. Under the Loan Agreements, NetEase Hangzhou provided each of the ultimate shareholders of Hangzhou Leihuo with an interest-free loan in the principal amount of RMB5.0 million, which funds were used by each of the ultimate shareholders of Hangzhou Leihuo to pay the consideration to acquire their 50.0% equity interests in Hangzhou Leihuo. Each loan can be repaid by transferring the ultimate shareholder’s equity interest in Hangzhou Leihuo to NetEase Hangzhou or its designee or through such other method as NetEase Hangzhou shall determine. The term of each Loan Agreement is 10 years from the date of the agreement and will be automatically extended for further 10-year terms unless otherwise decided by NetEase Hangzhou. Under the Equity Pledge Agreements, each of the ultimate shareholders of Hangzhou Leihuo pledges his 50.0% equity interest in Hangzhou Leihuo to NetEase Hangzhou to secure his respective obligations under the Loan Agreement as well as the Exclusive Purchase Option Agreement, the Shareholder Voting Rights Trust Agreement and the Operating Agreement. Each of the ultimate shareholders of Hangzhou Leihuo agrees he shall not transfer, assign or pledge his equity interest in Hangzhou Leihuo without the prior written consent of NetEase Hangzhou. The Equity Pledge Agreements will remain binding until the pledgor discharges all his obligations under the above-mentioned agreements.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Exclusive Purchase Option Agreements among NetEase Hangzhou, Hangzhou Leihuo and each of the ultimate shareholders of Hangzhou Leihuo</w:t>
            </w:r>
            <w:r>
              <w:rPr>
                <w:rFonts w:ascii="Times New Roman;Times;serif" w:hAnsi="Times New Roman;Times;serif"/>
                <w:b w:val="false"/>
                <w:i w:val="false"/>
                <w:caps w:val="false"/>
                <w:smallCaps w:val="false"/>
                <w:sz w:val="20"/>
              </w:rPr>
              <w:t>. Under the Exclusive Purchase Option Agreements, each dated December 1, 2015, each of the ultimate shareholders of Hangzhou Leihuo has granted NetEase Hangzhou an option to purchase all or a portion of his equity interest in Hangzhou Leihuo at a price equal to the original and any additional paid-in capital paid by the ultimate shareholder. In addition, Hangzhou Leihuo has granted NetEase Hangzhou an option under the Exclusive Purchase Option Agreements to purchase all or a portion of the assets held by Hangzhou Leihuo or its subsidiaries at a price equal to the net book value of such assets. Each of Hangzhou Leihuo and the ultimate shareholders of Hangzhou Leihuo agrees not to transfer, mortgage or permit any security interest to be created on any equity interest in or assets of Hangzhou Leihuo without the prior written consent of NetEase Hangzhou. Each Exclusive Purchase Option Agreement shall remain in effect until all of the equity interests in or assets of Hangzhou Leihuo have been acquired by NetEase Hangzhou or its designee or until NetEase Hangzhou unilaterally terminates the agreement by written notice.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Shareholder Voting Rights Trust Agreement between NetEase Hangzhou and each of the ultimate shareholders of Hangzhou Leihuo</w:t>
            </w:r>
            <w:r>
              <w:rPr>
                <w:rFonts w:ascii="Times New Roman;Times;serif" w:hAnsi="Times New Roman;Times;serif"/>
                <w:b w:val="false"/>
                <w:i w:val="false"/>
                <w:caps w:val="false"/>
                <w:smallCaps w:val="false"/>
                <w:sz w:val="20"/>
              </w:rPr>
              <w:t>. Under these agreements, each dated December 1, 2015, each of the ultimate shareholders of Hangzhou Leihuo has agreed to irrevocably entrust a person designated by NetEase Hangzhou to represent him to exercise all the voting rights and other shareholders’ rights to which he is entitled as a shareholder of Hangzhou Leihuo. Each agreement shall remain effective for as long as such shareholder remains a shareholder of Hangzhou Leihuo unless NetEase Hangzhou unilaterally terminates the agreement by written notice.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Operating Agreement among NetEase Hangzhou, Hangzhou Leihuo and the ultimate shareholders of Hangzhou Leihuo. </w:t>
            </w:r>
            <w:r>
              <w:rPr>
                <w:rFonts w:ascii="Times New Roman;Times;serif" w:hAnsi="Times New Roman;Times;serif"/>
                <w:b w:val="false"/>
                <w:i w:val="false"/>
                <w:caps w:val="false"/>
                <w:smallCaps w:val="false"/>
                <w:sz w:val="20"/>
              </w:rPr>
              <w:t>To ensure the successful performance of the various agreements between the parties, Hangzhou Leihuo and its ultimate shareholders have agreed that, except for transactions in the ordinary course of business, Hangzhou Leihuo will not enter into any transaction that would materially affect the assets, liabilities, rights or operations of Hangzhou Leihuo without the prior written consent of NetEase Hangzhou. NetEase Hangzhou has also agreed that it will provide performance guarantees and, at NetEase Hangzhou’s discretion, guarantee loans for working capital purposes to the extent required by Hangzhou Leihuo for its operations. Furthermore, the ultimate shareholders of Hangzhou Leihuo have agreed that, upon instruction from NetEase Hangzhou, they will appoint Hangzhou Leihuo’s board members, president, chief financial officer and other senior executive officers. The term of this agreement is 20 years from December 1, 2015 and can be extended with the written consent of NetEase Hangzhou.</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Cooperation Agreement between NetEase Hangzhou and Hangzhou Leihuo. </w:t>
            </w:r>
            <w:r>
              <w:rPr>
                <w:rFonts w:ascii="Times New Roman;Times;serif" w:hAnsi="Times New Roman;Times;serif"/>
                <w:b w:val="false"/>
                <w:i w:val="false"/>
                <w:caps w:val="false"/>
                <w:smallCaps w:val="false"/>
                <w:sz w:val="20"/>
              </w:rPr>
              <w:t>Under this Cooperation Agreement, NetEase Hangzhou has agreed to provide the following services: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development of computer software (including, but not limited to, online games) and technical support and maintenance for computer software operation;</w:t>
            </w:r>
          </w:p>
        </w:tc>
      </w:tr>
    </w:tbl>
    <w:tbl>
      <w:tblPr>
        <w:tblW w:w="6816" w:type="dxa"/>
        <w:jc w:val="left"/>
        <w:tblInd w:w="0" w:type="dxa"/>
        <w:tblLayout w:type="fixed"/>
        <w:tblCellMar>
          <w:top w:w="28" w:type="dxa"/>
          <w:left w:w="28" w:type="dxa"/>
          <w:bottom w:w="28" w:type="dxa"/>
          <w:right w:w="28" w:type="dxa"/>
        </w:tblCellMar>
      </w:tblPr>
      <w:tblGrid>
        <w:gridCol w:w="124"/>
        <w:gridCol w:w="256"/>
        <w:gridCol w:w="6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 of broadband internet access and other operational support;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jointly with Hangzhou Leihuo, the provision of value-added telecommunication and other services to users of the Leihuo website and relevant products.</w:t>
            </w:r>
          </w:p>
        </w:tc>
      </w:tr>
    </w:tbl>
    <w:p>
      <w:pPr>
        <w:pStyle w:val="TextBody"/>
        <w:bidi w:val="0"/>
        <w:spacing w:before="0" w:after="240"/>
        <w:ind w:left="1080" w:right="0" w:hanging="0"/>
        <w:jc w:val="both"/>
        <w:rPr>
          <w:rFonts w:ascii="Times New Roman;Times;serif" w:hAnsi="Times New Roman;Times;serif"/>
          <w:sz w:val="20"/>
        </w:rPr>
      </w:pPr>
      <w:r>
        <w:rPr>
          <w:rFonts w:ascii="Times New Roman;Times;serif" w:hAnsi="Times New Roman;Times;serif"/>
          <w:sz w:val="20"/>
        </w:rPr>
        <w:t>Hangzhou Leihuo has agreed to pay a monthly service fee to NetEase Hangzhou in accordance with a formula based on its expenses incurred. This agreement was effective from January 1, 2010 and will continue to be effective unless it is terminated by written notice of NetEase Hangzhou or, in case of a material breach of the agreement, it is terminated by written notice of the non-breaching party.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Agreements relating to Youdao Computer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the date of the filing of this annual report, Feng Zhou, the chief executive officer of Youdao, owns 28.9% of the equity interest in Youdao Computer, and William Lei Ding owns 71.1% of the equity interest in Youdao Computer.</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Loan Agreements between Youdao Information and each of William Lei Ding and Feng Zhou</w:t>
            </w:r>
            <w:r>
              <w:rPr>
                <w:rFonts w:ascii="Times New Roman;Times;serif" w:hAnsi="Times New Roman;Times;serif"/>
                <w:b w:val="false"/>
                <w:i w:val="false"/>
                <w:caps w:val="false"/>
                <w:smallCaps w:val="false"/>
                <w:sz w:val="20"/>
              </w:rPr>
              <w:t>.</w:t>
            </w:r>
            <w:r>
              <w:rPr>
                <w:caps w:val="false"/>
                <w:smallCaps w:val="false"/>
              </w:rPr>
              <w:t xml:space="preserve"> </w:t>
            </w:r>
            <w:r>
              <w:rPr>
                <w:rFonts w:ascii="Times New Roman;Times;serif" w:hAnsi="Times New Roman;Times;serif"/>
                <w:b w:val="false"/>
                <w:i w:val="false"/>
                <w:caps w:val="false"/>
                <w:smallCaps w:val="false"/>
                <w:sz w:val="20"/>
              </w:rPr>
              <w:t>Each of William Lei Ding and Feng Zhou entered into a Loan Agreement with Youdao Information, dated September 26, 2016 and November 20, 2017, respectively. Under these Loan Agreements, Youdao Information provided each of William Lei Ding and Feng Zhou with an interest-free loan in the principal amount of approximately RMB3.6 million and RMB1.4 million, respectively. The proceeds from the loans were used by each of William Lei Ding and Feng Zhou to pay the consideration to acquire his respective equity interest in Youdao Computer. Such loans can be repaid by transferring each of William Lei Ding and Feng Zhou’s respective equity interest in Youdao Computer to Youdao Information or its designee or through such other method as Youdao Information shall determine. The term of each of the Loan Agreements is 10 years from the date of such agreement and will be automatically extended for a further 10-year term unless otherwise decided by Youdao Information.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Equity Pledge Agreements between Youdao Information and each of William Lei Ding and Feng Zhou</w:t>
            </w:r>
            <w:r>
              <w:rPr>
                <w:rFonts w:ascii="Times New Roman;Times;serif" w:hAnsi="Times New Roman;Times;serif"/>
                <w:b w:val="false"/>
                <w:i w:val="false"/>
                <w:caps w:val="false"/>
                <w:smallCaps w:val="false"/>
                <w:sz w:val="20"/>
              </w:rPr>
              <w:t>.</w:t>
            </w:r>
            <w:r>
              <w:rPr>
                <w:caps w:val="false"/>
                <w:smallCaps w:val="false"/>
              </w:rPr>
              <w:t xml:space="preserve"> </w:t>
            </w:r>
            <w:r>
              <w:rPr>
                <w:rFonts w:ascii="Times New Roman;Times;serif" w:hAnsi="Times New Roman;Times;serif"/>
                <w:b w:val="false"/>
                <w:i w:val="false"/>
                <w:caps w:val="false"/>
                <w:smallCaps w:val="false"/>
                <w:sz w:val="20"/>
              </w:rPr>
              <w:t>Each of William Lei Ding and Feng Zhou entered into an Equity Pledge Agreement with Youdao Information, dated September 26, 2016 and November 20, 2017, respectively. Under such Equity Pledge Agreements, each of William Lei Ding and Feng Zhou pledged his respective equity interest in Youdao Computer to Youdao Information to secure his obligations under the applicable Loan Agreement, Exclusive Purchase Option Agreement, Shareholder Voting Rights Trust Agreement, and Operating Agreement. Each of William Lei Ding and Feng Zhou further agreed to not transfer or pledge his respective equity interest in Youdao Computer without the prior written consent of Youdao Information. Each of the Equity Pledge Agreement will remain binding until the respective pledger, William Lei Ding or Feng Zhou, as the case may be, discharges all his obligations under the above-mentioned agreements.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Exclusive Purchase Option Agreements</w:t>
            </w:r>
            <w:r>
              <w:rPr>
                <w:rFonts w:ascii="Times New Roman;Times;serif" w:hAnsi="Times New Roman;Times;serif"/>
                <w:b w:val="false"/>
                <w:i w:val="false"/>
                <w:caps w:val="false"/>
                <w:smallCaps w:val="false"/>
                <w:sz w:val="20"/>
              </w:rPr>
              <w:t>. Each of William Lei Ding and Feng Zhou entered into an Exclusive Purchase Option Agreement with Youdao Information and Youdao Computer, dated September 26, 2016 and November 20, 2017, respectively. Under such Exclusive Purchase Option Agreements, each of William Lei Ding and Feng Zhou granted Youdao Information an option to purchase all or a portion of his respective equity interest in Youdao Computer at a price equal to the original and any additional paid-in capital paid by him. In addition, under each Exclusive Purchase Option Agreement, Youdao Computer has granted Youdao Information an option to purchase all or a portion of the assets held by Youdao Computer or its subsidiaries at a price equal to the net book value of such assets. Each of Youdao Computer, William Lei Ding and Feng Zhou agreed not to transfer, mortgage or permit any security interest to be created on any equity interest in or assets of Youdao Computer without the prior written consent of Youdao Information. Each Exclusive Purchase Option Agreement shall remain in effect until all of the equity interests in or assets of Youdao Computer have been acquired by Youdao Information or its designee or until Youdao Information unilaterally terminates the agreement by written notice.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Shareholder Voting Rights Trust Agreements between Youdao Information and each of William Lei Ding and Feng Zhou. </w:t>
            </w:r>
            <w:r>
              <w:rPr>
                <w:rFonts w:ascii="Times New Roman;Times;serif" w:hAnsi="Times New Roman;Times;serif"/>
                <w:b w:val="false"/>
                <w:i w:val="false"/>
                <w:caps w:val="false"/>
                <w:smallCaps w:val="false"/>
                <w:sz w:val="20"/>
              </w:rPr>
              <w:t>Each of William Lei Ding and Feng Zhou entered into a Shareholder Voting Rights Trust Agreement with Youdao Information, dated September 26, 2016 and November 20, 2017, respectively. Under such Shareholder Voting Rights Trust Agreements, each of William Lei Ding and Feng Zhou, agreed to irrevocably entrust a person designated by Youdao Information to represent him to exercise all the voting rights and other shareholders’ rights to which he is entitled as a shareholder of Youdao Computer. Each Shareholder Voting Rights Trust Agreement shall remain effective for as long as William Lei Ding or Feng Zhou, as applicable, remains a shareholder of Youdao Computer unless Youdao Information unilaterally terminates the agreement by written notice.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Operating Agreements among Youdao Computer, Youdao Information and each of William Lei Ding and Feng Zhou</w:t>
            </w:r>
            <w:r>
              <w:rPr>
                <w:rFonts w:ascii="Times New Roman;Times;serif" w:hAnsi="Times New Roman;Times;serif"/>
                <w:b w:val="false"/>
                <w:i w:val="false"/>
                <w:caps w:val="false"/>
                <w:smallCaps w:val="false"/>
                <w:sz w:val="20"/>
              </w:rPr>
              <w:t>. To ensure the successful performance of the various agreements between the parties, each of William Lei Ding and Feng Zhou entered into an Operating Agreement with Youdao Computer and Youdao Information, dated September 26, 2016 and November 20, 2017, respectively. Under such Operating Agreements, each of Youdao Computer, William Lei Ding and Feng Zhou agreed that, except for transactions in the ordinary course of business, Youdao Computer will not enter into any transaction that would materially affect the assets, liabilities, rights or operations of Youdao Computer without the prior written consent of Youdao Information. Youdao Information also agreed that it would provide performance guarantees and, at Youdao Information’s discretion, guarantee loans for working capital purposes to the extent required by Youdao Computer for its operations. As counter-guarantee, Youdao Computer agreed to pledge the account receivable in its operations and all of its assets to Youdao Information, which pledge has not been implemented as of the date of the filing of this annual report. Furthermore, each of William Lei Ding and Feng Zhou agreed that, upon instruction from Youdao Information, he would appoint candidates recommended by Youdao Information as Youdao Computer’s board members, president, chief financial officer and other senior executive officers. The term of each Operating Agreement is 20 years from the date of execution and can be extended with the written consent of Youdao Information.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Cooperation Agreement between Youdao Information and Youdao Computer</w:t>
            </w:r>
            <w:r>
              <w:rPr>
                <w:rFonts w:ascii="Times New Roman;Times;serif" w:hAnsi="Times New Roman;Times;serif"/>
                <w:b w:val="false"/>
                <w:i w:val="false"/>
                <w:caps w:val="false"/>
                <w:smallCaps w:val="false"/>
                <w:sz w:val="20"/>
              </w:rPr>
              <w:t>. Under this Cooperation Agreement, Youdao Information has agreed to provide the following services: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development of computer software (including, but not limited to, generating online advertisement and distribution and maintenance of related software) and technical support and maintenance for computer software operation;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development of computer software related to generating online advertisement, establishment of platforms for online advertisement and related updates and operational support;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 of technology support, including, but not limited to, server maintenance, development of server software and related maintenance and updates.</w:t>
            </w:r>
          </w:p>
        </w:tc>
      </w:tr>
    </w:tbl>
    <w:p>
      <w:pPr>
        <w:pStyle w:val="TextBody"/>
        <w:bidi w:val="0"/>
        <w:spacing w:before="0" w:after="240"/>
        <w:ind w:left="1080" w:right="0" w:hanging="0"/>
        <w:jc w:val="both"/>
        <w:rPr>
          <w:rFonts w:ascii="Times New Roman;Times;serif" w:hAnsi="Times New Roman;Times;serif"/>
          <w:sz w:val="20"/>
        </w:rPr>
      </w:pPr>
      <w:r>
        <w:rPr>
          <w:rFonts w:ascii="Times New Roman;Times;serif" w:hAnsi="Times New Roman;Times;serif"/>
          <w:sz w:val="20"/>
        </w:rPr>
        <w:t>Youdao Computer has agreed to share its monthly income (after tax and expenses) with Youdao Information in accordance with certain formulas as specified in the Cooperation Agreement. This agreement was effective from July 1, 2015 and will continue to be effective unless it is terminated by written notice of Youdao Information or, in case of a material breach of the agreement, it is terminated by written notice of the non-breaching party.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 xml:space="preserve">Agreements relating to Hangzhou Yuedu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Dong Zhang, one of our former employees, previously owned 1% of the equity interest in Hangzhou Yuedu and in November 2023, such 1% interest was transferred to Wei Li, who is a current employee of Cloud Music. At the time of such transfer, all the VIE agreements that Dong Zhang previously entered with Hangzhou NetEase Cloud Music and/or Hangzhou Yuedu were terminated, and Wei Li entered into substantially identical VIE agreements with Hangzhou NetEase Cloud Music and/or Hangzhou Yuedu. As of the date of the filing of this annual report, William Lei Ding, our Chief Executive Officer, and Wei Li own 99.0% and 1.0% of the equity interest in Hangzhou Yuedu, respectively.</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Cooperation Agreement</w:t>
            </w:r>
            <w:r>
              <w:rPr>
                <w:rFonts w:ascii="Times New Roman;Times;serif" w:hAnsi="Times New Roman;Times;serif"/>
                <w:b w:val="false"/>
                <w:i w:val="false"/>
                <w:caps w:val="false"/>
                <w:smallCaps w:val="false"/>
                <w:sz w:val="20"/>
              </w:rPr>
              <w:t>. Under the amended and restated cooperation agreement entered into by Hangzhou Yuedu and Hangzhou NetEase Cloud Music dated on May 18, 2021, Hangzhou Yuedu have agreed to engage Hangzhou NetEase Cloud Music as its exclusive cooperation partner, providing users, among other things and as the case may be, with technical services, including software development, technical support and maintenance, network technology services, server maintenance, relevant software development and update, and technology development, technical assistance and support in relation to electronic publication and telecommunication, in exchange for service fees. Hangzhou Yuedu and Hangzhou NetEase Cloud Music shall share the income generated from its cooperation. The distributable income shall consist of the total income of Hangzhou Yuedu, after deduction of any relevant operating costs, expenses, taxes and other statutory contributions, and profits to be retained by Hangzhou Yuedu. Hangzhou NetEase Cloud Music shall be entitled to receive the entire portion of the distributable income, or if applicable, to share the distributable income with other entities who are affiliates of Hangzhou NetEase Cloud Music according to the service statements confirmed by Hangzhou NetEase Cloud Music and these entities. Hangzhou Yuedu and Hangzhou NetEase Cloud Music shall settle the service fees on a regular basis. This agreement remains in effect unless terminated by written notice from Hangzhou NetEase Cloud Music, and Hangzhou Yuedu shall not terminate the cooperation agreement without the written consent from Hangzhou NetEase Cloud Music.</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Operating Agreement</w:t>
            </w:r>
            <w:r>
              <w:rPr>
                <w:rFonts w:ascii="Times New Roman;Times;serif" w:hAnsi="Times New Roman;Times;serif"/>
                <w:b w:val="false"/>
                <w:i w:val="false"/>
                <w:caps w:val="false"/>
                <w:smallCaps w:val="false"/>
                <w:sz w:val="20"/>
              </w:rPr>
              <w:t>. Under the operating agreement entered into by Hangzhou Yuedu, William Lei Ding and Wei Li and Hangzhou NetEase Cloud Music dated November 2, 2023, Hangzhou NetEase Cloud Music agreed to be the guarantor of Hangzhou Yuedu in, and provide full guarantees for the performance of, the contracts, agreements or transactions entered into between Hangzhou Yuedu and any third-party in connection with Hangzhou Yuedu’s businesses and operations. Hangzhou Yuedu, in return, agreed to pledge the accounts receivable in its operations and all of its assets to Hangzhou NetEase Cloud Music. Hangzhou Yuedu, William Lei Ding and Wei Li also jointly agreed that without Hangzhou NetEase Cloud Music’s prior written consent, Hangzhou Yuedu would not engage in any transaction that may materially affect their assets, liabilities, rights or operations, except that Hangzhou Yuedu may enter into business contracts or agreements, sell or purchase assets and create liens in favor of relevant counter parties as required by law in the ordinary course of business. William Lei Ding and Wei Li shall appoint candidates recommended by Hangzhou NetEase Cloud Music as directors of Hangzhou Yuedu, and Hangzhou Yuedu shall appoint Hangzhou NetEase Cloud Music’s senior executive officers recommended by Hangzhou NetEase Cloud Music as Hangzhou Yuedu’ senior management.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Exclusive Purchase Option Agreement</w:t>
            </w:r>
            <w:r>
              <w:rPr>
                <w:rFonts w:ascii="Times New Roman;Times;serif" w:hAnsi="Times New Roman;Times;serif"/>
                <w:b w:val="false"/>
                <w:i w:val="false"/>
                <w:caps w:val="false"/>
                <w:smallCaps w:val="false"/>
                <w:sz w:val="20"/>
              </w:rPr>
              <w:t>. On May 18, 2021, Hangzhou Yuedu, Hangzhou NetEase Cloud Music and William Lei Ding entered into an amended and restated exclusive purchase option agreement, and on November 2, 2023, Hangzhou Yuedu, Hangzhou NetEase Cloud Music and Wei Li entered into an exclusive purchase option agreement on substantially the same terms (collectively, the “Exclusive Purchase Option Agreements”). Under the Exclusive Purchase Option Agreements, William Lei Ding and Wei Li irrevocably granted Hangzhou NetEase Cloud Music an option, exercisable in one or more times, to purchase or cause any person(s) designated by Hangzhou NetEase Cloud Music to purchase, to the extent permitted under any applicable PRC laws, a portion of or all of William Lei Ding and Wei Li’s equity interests in Hangzhou Yuedu at any time and from time to time, for a consideration equals to, the outstanding loan amounts under the relevant Loan Agreements or otherwise for the minimum amount of consideration permitted by applicable PRC laws, under circumstances in which Hangzhou NetEase Cloud Music or its designated third party is permitted under PRC laws to acquire all or part of the assets of Hangzhou Yuedu, subject to adjustments. None of the material assets of Hangzhou Yuedu are to be sold, transferred or otherwise disposed of without the written consent of Hangzhou NetEase Cloud Music. In addition, under the Exclusive Purchase Option Agreements, William Lei Ding and Wei Li may not transfer or permit the encumbrance of or allow any guarantee or security to be created on any of its equity interest in Hangzhou Yuedu without Hangzhou NetEase Cloud Music’s prior written consent.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Equity Pledge Agreements</w:t>
            </w:r>
            <w:r>
              <w:rPr>
                <w:rFonts w:ascii="Times New Roman;Times;serif" w:hAnsi="Times New Roman;Times;serif"/>
                <w:b w:val="false"/>
                <w:i w:val="false"/>
                <w:caps w:val="false"/>
                <w:smallCaps w:val="false"/>
                <w:sz w:val="20"/>
              </w:rPr>
              <w:t>. On May 18, 2021, Hangzhou NetEase Cloud Music and William Lei Ding entered into an amended and restated equity pledge agreement, and on November 2, 2023, Hangzhou NetEase Cloud Music and Wei Li entered into an equity pledge agreement on substantially the same terms (collectively, the “Equity Pledge Agreements”). Under the Equity Pledge Agreements, William Lei Ding and Wei Li agreed to pledge all their respective equity interests in Hangzhou Yuedu that they legally own to Hangzhou NetEase Cloud Music as a first security interest to guarantee the timely and complete payment and performance of contractual obligations under the relevant VIE agreements. William Lei Ding and Wei Li have further agreed that, without prior written consent of Hangzhou NetEase Cloud Music, they will not transfer or dispose the pledged equity interests or create or allow any third party to create any encumbrance on the pledged equity interests that would prejudice Hangzhou NetEase Cloud Music’s interest.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Shareholder Voting Right Trust Agreements and Powers of Attorney</w:t>
            </w:r>
            <w:r>
              <w:rPr>
                <w:rFonts w:ascii="Times New Roman;Times;serif" w:hAnsi="Times New Roman;Times;serif"/>
                <w:b w:val="false"/>
                <w:i w:val="false"/>
                <w:caps w:val="false"/>
                <w:smallCaps w:val="false"/>
                <w:sz w:val="20"/>
              </w:rPr>
              <w:t>. Hangzhou NetEase Cloud Music entered into (i) an amended and restated shareholder voting right trust agreement and (ii) a power of attorney with William Lei Ding on May 18, 2021 and with Wei Li on November 2, 2023, both on substantially the same terms (collectively, (i) the “Shareholder Voting Right Trust Agreements” and (ii) “Powers of Attorney,” respectively). Under the Shareholder Voting Right Trust Agreements and the Powers of Attorney, William Lei Ding and Wei Li have appointed Hangzhou NetEase Cloud Music and the person designated by Hangzhou NetEase Cloud Music director or his/her successor as their agent and attorney to act on their behalf on all matters concerning Hangzhou Yuedu and to exercise all of their rights as a registered shareholder of Hangzhou Yuedu.</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Loan Agreement</w:t>
            </w:r>
            <w:r>
              <w:rPr>
                <w:rFonts w:ascii="Times New Roman;Times;serif" w:hAnsi="Times New Roman;Times;serif"/>
                <w:b w:val="false"/>
                <w:i w:val="false"/>
                <w:caps w:val="false"/>
                <w:smallCaps w:val="false"/>
                <w:sz w:val="20"/>
              </w:rPr>
              <w:t>. On May 18, 2021, Hangzhou NetEase Cloud Music and William Lei Ding entered into an amended and restated loan agreement, and on November 2, 2023, Hangzhou NetEase Cloud Music and Wei Li entered into a loan agreement on substantially the same terms (collectively, the “Loan Agreements”). Under the Loan Agreements, Hangzhou NetEase Cloud Music agreed to provide loans to William Lei Ding and Wei Li to be used exclusively as investment in Hangzhou Yuedu. The loans must not be used for any other purposes without the lender’s prior written consent. The term of each loan shall be ten years from the date of the respective Loan Agreement and will be automatically extended for another ten years unless otherwise indicated by the lender. The borrowers shall not make any repayment of their respective loan prior to the expiration of the term or termination of the relevant loan without the lender’s prior written consent. The loans shall terminate on the date the lender exercises its exclusive purchase option under the relevant Exclusive Purchase Option Agreement, or when certain defined termination events occur, such as when the lender sends a written notice demanding repayment to the respective borrower, or upon the default of the respective borrower, whichever is earlier. After the lender exercises its exclusive purchase option, the respective borrower shall repay the respective loan by transferring all of his equity interest in Hangzhou Yuedu to the lender, or persons designated by the lender. If the transfer price for the equity interest in Hangzhou Yuedu is higher than the principal of the loan under the relevant Loan Agreement, any surplus would be considered interest for the loan.</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Subsidiary Guarantees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entered into several guarantee agreements in the aggregate amount of US$2.3 billion in respect of certain credit facilities taken by our subsidiaries. As of December 31, 2023, US$1.1 billion of such credit facilities had not been utilized.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Agreements with Youdao</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Youdao, which became listed on the New York Stock Exchange in October 2019, is currently our majority-controlled subsidiary. We have entered into agreements with Youdao with respect to various ongoing relationships between us, which became effective upon the completion of Youdao’s initial public offering in October 2019. These include a master transaction agreement, a transitional services agreement, a non-competition agreement, a cooperation framework agreement, an intellectual property license agreement and multiple loan agreements, each of which are summarized below.</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Master Transaction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entered into a master transaction agreement with Youdao to govern certain key aspects of our relationship with Youdao, including the allocation of liabilities. Pursuant to the master transaction agreement, Youdao is responsible for, among other things, the liabilities associated with the “Online Learning Business,” which is defined to include the online learning products and online learning services offered by Youdao as of the date of the master transaction agreement, excluding the NetEase open online courses and the K-12 curriculum course offered by us as of the date of the master transaction agreement and certain other specified businesses, and we are responsible for, among other things, the liabilities arising on or after June 30, 2019 associated with the “NetEase Business,” which is defined to include the business conducted by the NetEase as of the date of the master transaction agreement and any business that is derived from such businesses.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master transaction agreement will automatically terminate five years following the earlier of (i) the first date when we no longer own at least 20% of the voting power of Youdao’s then outstanding voting securities and (ii) the first date when we cease to be the largest beneficial owner of Youdao’s then outstanding voting securities. We refer to such earlier date as the “Control Ending Date.” It can also be terminated early or extended by mutual written consent of Youdao and us. The termination of the master transaction agreement will not affect the validity and effectiveness of the other business cooperation agreements described below.</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Transitional Services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transitional services agreement, we have agreed that, during the service period as described below, we will provide Youdao with various corporate support and services such as legal support, human resources support, financial reporting, internal control and internal audit support, technology and operational support, and administrative support. The price to be paid for the services provided under the transitional services agreement is calculated by multiplying the sum of the actual “direct costs” and “indirect costs” of providing such services by 100% plus a reasonable mark-up rate as determined by us. Direct costs include labor-related compensation and travel expenses, materials and supplies consumed in and agency fees arising from performing the services. Indirect costs include office occupancy, information technology support and other overhead costs of the departments incurring the direct costs of providing the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service period under the transitional services agreement commenced upon the completion of Youdao’s initial public offering and will end on the earliest of (i) the fifth anniversary of the completion of Youdao’s initial public offering, (ii) one year after the Control Ending Date, (iii) the date the transitional services agreement is terminated by Youdao or us, whichever is earlier.</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Non-competition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non-competition agreement, Youdao and we have each agreed to be subject to certain non-compete restrictions during a “Non-competition Period,” beginning from the completion of Youdao’s initial public offering and ending on the earlier of (i) five years after the Control Ending Date; (ii) the date on which Youdao’s ADSs cease to be listed on the New York Stock Exchange; and (iii) the tenth anniversary of the completion of Youdao’s initial public offering. Specifically:</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not to compete with Youdao in the provision of the Online Learning Business, provided that such non-compete restrictions shall not prevent us from (i) engaging in the Online Learning Business through or on behalf of Youdao, (ii) continuing to engage in the NetEase Business, (iii) owning a non-controlling interest in any company engaging in any business that is of the same nature as the Online Learning Business, or (iv) engaging in any other business that we and Youdao may agree from time to time.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Youdao has agreed not to compete with us in the NetEase Business or business of a similar nature, provided that such non-compete restrictions shall not prevent Youdao from (i) engaging in the NetEase Business or business of a similar nature through us or on our behalf, (ii) continuing to engage in any business that we operate as of the date of the non-competition agreement, (iii) owning a non-controlling interest in any company engaging in any business that is of the same nature as the NetEase Business, and (iv) engaging in any other business that we and Youdao may agree from time to time.</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non-competition agreement provides that if there is any ambiguity in the scope of business subject to the foregoing non-compete restrictions, our interpretation shall prevail.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we and Youdao have each undertaken to each other that during the Non-competition Period, should a party have a business or investment opportunity relating to the other party’s businesses covered by the foregoing non-compete restrictions, it shall notify the other party of such opportunity in writing. If the party receiving the notice elects not to or otherwise fails to take up the opportunity within 30 days, the notifying party may proceed to take up such business or investment opportunity.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non-competition agreement also provides for a mutual non-solicitation obligation that neither Youdao nor we may, during the Non-competition Period, hire, or solicit for hire, any active employees of or individuals providing consulting services to the other party, or any former employees of or individuals providing consulting services to the other party within six months of the termination of their employment or consulting services, without the other party’s consent, except for solicitation activities through generalized non-targeted advertisement not directed to such employees or individuals that do not result in a hiring within the Non-competition Period. In addition, during the Non-competition Period, we and Youdao have each agreed not to solicit business falling within the other party’s business scope from the other party’s customer, supplier, distributor or similar third parties.</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Cooperation Framework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cooperation framework agreement, we and Youdao have agreed to cooperate with each other in the marketing and promotion of each other’s services and products on our respective platforms. Also, we have agreed to purchase Youdao’s translation services and to allow our users to log on Youdao’s platforms with their NetEase Passports. The cooperation framework agreement became effective on the date of completion of Youdao’s initial public offering and will expire on the earlier of (i) the fifteenth anniversary of the effective date of such agreement or (ii) five years after the Control Ending Date.</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Intellectual Property License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intellectual property license agreement, we and Youdao grant to each other a worldwide, fully paid-up, non-sublicensable (subject to certain specified exceptions), non-transferable, limited and non-exclusive license of certain intellectual properties for a royalty as agreed by both parties solely to use, reproduce, modify, prepare derivative works of, perform, display, or otherwise exploit the licensed intellectual property within the term of such agreement. This agreement became effective on the completion of Youdao’s initial public offering and expires on the earlier of (i) the fifteen anniversary of the effective date of such agreement, and (ii) one year after the Control Ending Date with respect to the sharing of information and data and user registration information, or five years after the Control Ending Date with respect to other licenses under such agreement.</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Loan Agreements and Guarantees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entered into various loan agreements to extend loans to Youdao. These loans were used to provide working capital for the daily operations of Youdao with the original term of one year. In April 2021, we also entered into a 36-month revolving loan facility with Youdao in the principal amount of US$300 million to support its long-term growth. In September 2023, we and Youdao entered into an agreement to further extend such revolving loan facility agreement to March 31, 2027. As of December 31, 2023, the total principal amount of interest-bearing short-term loans outstanding to Youdao was RMB878.0 million (US$123.7 million). As of March 31, 2024, the total principal amount of interest-bearing long-term loans outstanding to Youdao was US$124.2 million (equivalent to RMB881.1 million), which was drawn down from the above-mentioned revolving loan facility.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Agreements with Cloud Music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Cloud Music, which became listed on the Hong Kong Stock Exchange in December 2021, is currently our majority-controlled subsidiary. On August 5, 2021, we entered into a framework agreement with Cloud Music to govern key aspects of the intragroup transactions between Cloud Music and us, or the Cloud Music Framework Agreement, including (a) from us to Cloud Music (i) intellectual property licensing services where we grant Cloud Music a royalty-free license to non-exclusively use certain intellectual property, including software copyrights, domain names, trademarks and logos relating or registered by us, in perpetuity, (ii) advertising agency services, (iii) bandwidth, server custody and rack services, (iv) information technology services, (v) shared services and (vi) product procurement, and (b) from Cloud Music to us, advertising services and others. On November 28, 2023, we entered into a new framework agreement, which superseded the original Cloud Music Framework Agreement, pursuant to which the intragroup transactions between Cloud Music and us set forth in the Cloud Music Framework Agreement were renewed for a term of three years (other than the intellectual property license which, as noted above, was granted in perpetuity), commencing from January 1,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           Interests of Experts and Counsel</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80" w:name="Item8FinancialInformation_197711"/>
      <w:bookmarkStart w:id="81" w:name="_7e072e99_5e89_401a_b995_f4d9a54fe6bd"/>
      <w:bookmarkEnd w:id="80"/>
      <w:bookmarkEnd w:id="81"/>
      <w:r>
        <w:rPr>
          <w:rFonts w:ascii="Times New Roman;Times;serif" w:hAnsi="Times New Roman;Times;serif"/>
          <w:b/>
          <w:sz w:val="20"/>
        </w:rPr>
        <w:t>Item 8.  Financial Information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          Consolidated Statements and Other Financial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Please see Item 18. “Financial Statements” for our audited consolidated financial statements filed as part of this annual report.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A.7        Legal Proceedings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From time to time, we become subject to legal proceedings and claims in the ordinary course of our business, including claims of alleged infringement of trademarks, copyrights and other intellectual property rights, and a variety of claims arising in connection with our e-mail and other communications and community features, such as claims alleging defamation or invasion of privacy. However, such legal proceedings or claims, even if not meritorious, could result in the expenditure of significant financial and management resources.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April 2018, PUBG Corporation and PUBG Santa Monica, Inc. (now known as Krafton, Inc. and Krafton Americas, Inc., respectively, or “the Krafton Parties”), filed a lawsuit against defendants NetEase, Inc., NetEase Information Technology Corp. and NetEase (Hong Kong) Limited in the U.S. District Court for the Northern District of California. The Krafton Parties subsequently dropped all claims against NetEase (Hong Kong) Limited, and added Hong Kong NetEase Interactive Entertainment Limited to the lawsuit. The Krafton Parties’ complaint generally alleged that two of NetEase’s mobile games, Rules of Survival and Knives Out, infringed the Krafton Parties’ copyrights and trade dress in their competing game, Player Unknown’s Battlegrounds. On March 11, 2019, NetEase entered into a settlement agreement with the Krafton Parties, and the lawsuit was dismissed. On October 15, 2019, the Krafton Parties filed a second lawsuit against the same NetEase defendants, also in the U.S. District Court for the Northern District of California, claiming NetEase had allegedly breached the settlement agreement. On March 3, 2020, the court dismissed the Krafton Parties’ new lawsuit, without prejudice, for lack of subject matter jurisdiction. On March 4, 2020, NetEase initiated a declaratory judgment action against the Krafton Parties in the Superior Court of California for the County of San Mateo, requesting a declaration that NetEase had not breached the settlement agreement. On March 13, 2020, the Krafton Parties filed a cross claim in the same Court, realleging that we breached the settlement agreement. In May 2023, the court held a bench trial and subsequently found that we had breached such settlement agreement and awarded the Krafton Parties US$6 million in liquidated damages but denied a request for injunctive relief by the Krafton Parties. After the court issued its final statement of decision, the parties settled the matter to avoid further litigation. The settlement amount we paid has no material impact on our consolidated financial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not currently a party to, nor are we aware of, any other legal proceeding, investigation or claim which, in the opinion of our management, is likely to have a material adverse effect on our business, financial condition or results of operations.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A.8         Dividend Policy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our current dividend policy, the determination to make dividend distributions and the amount of such distributions in any particular quarter will be made at the discretion of our board of directors and will be based upon our operations and earnings, cash flow, financial condition and other relevant factors. Prior to our current dividend policy, our quarterly dividends for each quarter in 2021 were determined by our board of directors in an amount equivalent to approximately 20% to 30% of our anticipated net income after tax in that quarter. Our board of directors declared dividends of US$0.4650 per ADS (US$0.0930 per ordinary share), US$0.5250 per ADS (US$0.1050 per ordinary share), US$0.4950 per ADS (US$0.0990 per ordinary share) and US$1.07985 per ADS (US$0.21597 per ordinary share) for the first, second, third and fourth quarters of 2023,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 holding company incorporated in the Cayman Islands, and our ability to pay dividends to our shareholders depends upon dividends, loans or advances that we receive from our subsidiaries and the VIEs. Please refer to Item 3.D. “Key Information—Risk Factors—Risks Related to Our Corporate Structure—Our corporate structure may restrict our ability to receive dividends from, and transfer funds to, our China mainland subsidiaries and VIEs, which could restrict our ability to act in response to changing market conditions and reallocate funds internally in a timely manner.”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Holders of our ADSs will be entitled to receive dividends, if any, subject to the terms of the deposit agreement (including the fees and expenses payable thereunder), to the same extent as the holders of our ordinary shares. Cash dividends will be paid to the depositary in U.S. dollars, which will distribute them to the holders of ADSs according to the terms of the deposit agreement. Other distributions, if any, will be paid by the depositary to the holders of ADSs in any means it deems legal, fair and practical.</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B.           Significant Changes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Except as disclosed elsewhere in this annual report, we have not experienced any significant changes since the date of our audited consolidated financial statements included in this annual report.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82" w:name="Item9TheOfferandListing_212738"/>
      <w:bookmarkStart w:id="83" w:name="_6d70d753_2f67_45a5_9330_1677faa32414"/>
      <w:bookmarkEnd w:id="82"/>
      <w:bookmarkEnd w:id="83"/>
      <w:r>
        <w:rPr>
          <w:rFonts w:ascii="Times New Roman;Times;serif" w:hAnsi="Times New Roman;Times;serif"/>
          <w:b/>
          <w:sz w:val="20"/>
        </w:rPr>
        <w:t>Item 9.   The Offer and Listing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 except for Item 9.A.4 and Item 9.C.</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ADSs have been listed on the NASDAQ Global Select Market since June 30, 2000 and trade under the symbol “NTES.” Our shares have been listed on the Hong Kong Stock Exchange since June 11, 2020 and trade under the symbol “9999.”</w:t>
      </w:r>
    </w:p>
    <w:p>
      <w:pPr>
        <w:pStyle w:val="TextBody"/>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bookmarkStart w:id="84" w:name="Item10AdditionalInformation_69482"/>
      <w:bookmarkStart w:id="85" w:name="_7131a452_330c_47f5_9b3b_0ff7b9860a18"/>
      <w:bookmarkEnd w:id="84"/>
      <w:bookmarkEnd w:id="85"/>
      <w:r>
        <w:rPr>
          <w:rFonts w:ascii="Times New Roman;Times;serif" w:hAnsi="Times New Roman;Times;serif"/>
          <w:b/>
          <w:sz w:val="20"/>
        </w:rPr>
        <w:t>Item 10. Additional Information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           Share Capital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           Memorandum and Articles of Association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presents a description of the terms and provisions of our currently effective memorandum and articles of association, which were adopted by a special resolution passed at the annual general meeting of our company held on June 15, 2023, insofar as they relate to the material terms of our ordinary shares.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General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were incorporated in the Cayman Islands on July 6, 1999 and operate under the Cayman Islands Companies Act, as revised and amended from time to time, or the Companies Act. Our corporate objectives and purpose are unrestricted.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Directors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Subject to any separate requirement for approval by our board or any committee of our board under applicable law or the designated stock exchange rules, a director may vote in respect of any contract or transaction in which he is interested, provided however, that the nature of the interest of any director in any such contract or transaction shall be disclosed by him at or prior to its consideration and any vote on that matter. A general notice or disclosure to the directors or otherwise contained in the minutes of a meeting or a written resolution of the directors or any committee thereof that a director is a shareholder of any specified firm or company and is to be regarded as interested in any transaction with such firm or company shall be sufficient disclosure and after such general notice it shall not be necessary to give special notice relating to any particular transaction.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board of directors may determine the remuneration to be paid to the directors. Our directors may exercise all the powers of our company to borrow money and to mortgage or charge its undertaking, property and uncalled capital or any part thereof, and to issue debentures, debenture stock and other securities, whether outright or as security for any of our debts, liabilities, or obligations or those of any third party.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shareholding qualification for directors may be fixed by our company in a general meeting, but unless and until so fixed, there are no shareholding qualifications. Further, there are no age limitations or retirement requirements applicable to our directors.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Rights, Preferences and Restrictions of Ordinary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General</w:t>
      </w:r>
      <w:r>
        <w:rPr>
          <w:rFonts w:ascii="Times New Roman;Times;serif" w:hAnsi="Times New Roman;Times;serif"/>
          <w:sz w:val="20"/>
        </w:rPr>
        <w:t>. All of our issued and outstanding shares are fully paid and non-assessable. Shares are issued in registered form. Our shareholders who are non-residents of the Cayman Islands may freely hold and vote their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Dividends</w:t>
      </w:r>
      <w:r>
        <w:rPr>
          <w:rFonts w:ascii="Times New Roman;Times;serif" w:hAnsi="Times New Roman;Times;serif"/>
          <w:sz w:val="20"/>
        </w:rPr>
        <w:t>. The holders of shares are entitled to such dividends as may be declared by our board of directors. Under Cayman Islands law, dividends may be declared and paid only out of funds legally available therefor, namely out of either profit or our share premium account, and provided further that a dividend may not be paid if this would result in our company being, immediately following such payment, unable to pay its debts as they fall due in the ordinary course of business. Any dividend which cannot be paid to a shareholder and/or which remains unclaimed after six (6) months from the date of declaration of such dividend may, in the discretion of our directors, be invested or otherwise made use of by our board for the benefit of our company until claimed. Any dividend which remains unclaimed after a period of six years from the date of declaration of such dividend shall be forfeited and shall revert to our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Voting Rights</w:t>
      </w:r>
      <w:r>
        <w:rPr>
          <w:rFonts w:ascii="Times New Roman;Times;serif" w:hAnsi="Times New Roman;Times;serif"/>
          <w:sz w:val="20"/>
        </w:rPr>
        <w:t>. Each share is entitled to one vote on all matters upon which the shares are entitled to vote, including the election of directors. A resolution put to the vote of any general meeting shall be decided on the vote of the requisite majority pursuant to a poll of the shareholders. A quorum required for a meeting of shareholders consists of one or more member’s holding shares which carry, in aggregate, not less than one third of the votes attaching to all issued and outstanding shares and entitled to vote, present at the meeting.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ordinary resolution to be made by the shareholders requires the affirmative vote of a simple majority of the votes which are cast by those shareholders who, being entitled to do so, vote at the shareholders’ meeting, while a special resolution (a) in respect of (i) any amendment to our memorandum of association or articles of association, or (ii) the voluntary liquidation or winding up of our company, requires the affirmative vote of no less than three-fourths (3/4) of the votes which are cast by those shareholders who, being entitled to do so, vote at the shareholders’ meeting, or (b) in respect of any other matter that requires a special resolution (other than those specified in (a) above), requires the affirmative vote of no less than two-thirds (2/3) of the votes which are cast by those shareholders who, being entitled to do so, vote at the shareholders’ meeting. A special resolution is required for certain significant corporate actions, such as amending our memorandum of association or articles or association, changing our company’s name, approving a statutory merger, or commencing a voluntary winding up. Our shareholders may by ordinary resolution, among other things, appoint or remove directors, appoint auditors, and increase our share capital. Both ordinary resolutions and special resolutions may also be passed by a unanimous written resolution signed by all the shareholders of our company entitled to vote.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Liquidation</w:t>
      </w:r>
      <w:r>
        <w:rPr>
          <w:rFonts w:ascii="Times New Roman;Times;serif" w:hAnsi="Times New Roman;Times;serif"/>
          <w:sz w:val="20"/>
        </w:rPr>
        <w:t>. Upon the winding up of our company, if the assets available for distribution among the holders of our shares shall be more than sufficient to repay the whole of the capital paid up at the commencement of the winding up, the excess shall be distributed among the holders of the shares in proportion to the capital paid up at the commencement of the winding up on the shares held by them respectively. If the assets available for distribution are insufficient to repay all of the paid-up capital, the assets will be distributed so that the losses are borne by our shareholders in proportion to the capital paid up, or which ought to have been paid up, at the commencement of the winding up on the shares held by them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Calls on Shares and Forfeiture of Shares</w:t>
      </w:r>
      <w:r>
        <w:rPr>
          <w:rFonts w:ascii="Times New Roman;Times;serif" w:hAnsi="Times New Roman;Times;serif"/>
          <w:sz w:val="20"/>
        </w:rPr>
        <w:t>. Our board of directors may from time to time make calls upon shareholders for any amounts unpaid on their shares in a notice served to such shareholders at least fourteen (14) days prior to the specified time or times of payment. The shares that have been called upon and remain unpaid are subject to forfeiture.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Redemption, Repurchase and Surrender of Shares</w:t>
      </w:r>
      <w:r>
        <w:rPr>
          <w:rFonts w:ascii="Times New Roman;Times;serif" w:hAnsi="Times New Roman;Times;serif"/>
          <w:sz w:val="20"/>
        </w:rPr>
        <w:t>. Subject to the provisions of the Companies Act, our memorandum and articles of association and, where applicable, the designated stock exchange rules and/or the rules of any competent governmental authority, we may issue shares on the terms that they are, or at our option or at the option of the holders are, subject to redemption on such terms and in such manner as may, before the issue of the shares, be determined by our board of directors or by a special resolution of our shareholders. Subject to the provisions of the Companies Act, our memorandum and articles of association and, where applicable, the designated stock exchange rules and/or the rules of any competent governmental authority, we may also repurchase any of our shares provided that the manner of such purchase has first been authorized by our board of directors or by our company in general meeting, provided that no repurchase may be made contrary to the terms or manner recommended by our directors. Under the Companies Act, the redemption or repurchase of any share may be paid out of our profits or out of the proceeds of a fresh issue of shares made for the purpose of such redemption or repurchase, or out of capital (including share premium account and capital redemption reserve) if we can, immediately following such payment, pay our debts as they fall due in the ordinary course of business. In addition, under the Companies Act no such share may be redeemed or repurchased (a) unless it is fully paid up, (b) if such redemption or repurchase would result in there being no shares outstanding, or (c) if we have commenced liquidation. In addition, we may accept the surrender of any fully paid share for no consideration.</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Variations of Rights of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rights attached to any class of shares (unless otherwise provided by the terms of issue of the shares of that class) may only be varied either with the consent in writing of the holders of three-fourths of the voting rights of the issued shares of that class or with the sanction of a resolution passed at a separate general meeting by the holders of a majority of not less than three-fourths of the shares of that class present and voting at such a meeting.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rights conferred upon the holders of the shares of any class issued with preferred or other rights shall not, unless otherwise expressly provided by the terms of issue of the shares of that class, be deemed to be varied by the creation or issue of further shares ranking equally with or in priority or subsequent to such existing class or the redemption or purchase of any shares of any class by our company. The rights of the holders of shares shall not be deemed to be varied or abrogated by the creation or issue of shares with preferred or other rights.</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General Meetings of Shareholders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company is required, in each financial year, to hold a general meeting as its annual general meeting, to be held within six (6) months after the end of such financial year (or such other period as may be permitted by the designated stock exchange rules), to be held at such time and place as our directors shall determine.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directors may whenever they think fit, and they shall on the requisition of one or more our shareholders holding together, at the date of the deposit of the requisition, shares representing not less than 10% of the voting rights of our company which carry the right of voting at general meetings of our company, on a one vote per share basis in the share capital of our company, proceed to convene a general meeting of our company and add resolutions to the meeting agenda. If the directors do not within twenty-one (21) days from the date of the deposit of the requisition duly proceed to convene a general meeting, the requisitionists, or any of them representing more than one-half of the total voting rights of all of them, may themselves convene a general meeting, but any meeting so convened shall not be held after the expiration of three months after the expiration of such twenty-one (21) days. At least twenty-one (21) days’ notice in writing shall be given of an annual general meeting and at least fourteen (14) days’ notice in writing shall be given of any extraordinary general meeting.</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Limitations on the Right to Own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are no limitations on the right to own our shares.</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Limitations on Transfer of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Subject to our articles of association and the designated stock exchanges rules, any shareholder may transfer all or any of his shares by an instrument of transfer in the usual or common form or in a form prescribed by the designated stock exchanges or in any other form approved by our board and may be under hand or, if the transferor or transferee is a clearing house or a central depository house or its nominee(s), by hand or by machine imprinted signature or by such other manner of execution as our board may approve from time to time.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directors may (a) decline to register any transfer of shares where holders proposing or effecting the transfers of the shares are subject to binding written agreements or applicable laws which restrict the transfer of the shares held by such holders and such holders have not complied with the terms of such agreements or the restrictions have not been waived in accordance with their terms, or such applicable law, as the case may be; (b) in their absolute discretion decline to register any transfer of shares which is not fully paid up or on which our company has a lien; and (c) decline to register any transfer of any share unless certain requirements as specified in our memorandum and articles of association have been satisfied.</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Anti-Takeover Provisions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Some provisions of our memorandum and articles of association may have the effect of delaying, deferring or preventing a change of control of our company, including provisions that authorize our board of directors to issue preference shares in one or more series and to designate the rights (including, without limitation, voting, dividend and redemption rights), restrictions, preferences, privileges and payment obligations of such preference shares without any further vote or action by our shareholders, and provisions which limit the ability of our shareholders to requisition and convene general meetings of shareholders.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However, under Cayman Islands law, our directors may only exercise the rights and powers granted to them under our currently effective amended and restated memorandum and articles of association for a proper purpose and for what they believe in good faith to be in the best interests of our company.</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Disclosure of Shareholder Ownership</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are no provisions in our memorandum or articles of association that require our company to disclose shareholder ownership above any particular ownership threshold.</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Changes in Capital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from time to time by ordinary resolution increase our share capital by such sum, to be divided into shares of such amount, as the resolution shall prescribe. The new shares shall be subject to the same provisions with reference to the payment of calls, lien, transfer, transmission, forfeiture and otherwise as the shares in the original share capital. We may by ordinary resolution:</w:t>
      </w:r>
    </w:p>
    <w:tbl>
      <w:tblPr>
        <w:tblW w:w="9171" w:type="dxa"/>
        <w:jc w:val="left"/>
        <w:tblInd w:w="0" w:type="dxa"/>
        <w:tblLayout w:type="fixed"/>
        <w:tblCellMar>
          <w:top w:w="28" w:type="dxa"/>
          <w:left w:w="28" w:type="dxa"/>
          <w:bottom w:w="28" w:type="dxa"/>
          <w:right w:w="28" w:type="dxa"/>
        </w:tblCellMar>
      </w:tblPr>
      <w:tblGrid>
        <w:gridCol w:w="124"/>
        <w:gridCol w:w="316"/>
        <w:gridCol w:w="873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87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 and divide all or any of our share capital into shares of larger amount than our existing shares;</w:t>
            </w:r>
          </w:p>
        </w:tc>
      </w:tr>
    </w:tbl>
    <w:tbl>
      <w:tblPr>
        <w:tblW w:w="10205" w:type="dxa"/>
        <w:jc w:val="left"/>
        <w:tblInd w:w="0" w:type="dxa"/>
        <w:tblLayout w:type="fixed"/>
        <w:tblCellMar>
          <w:top w:w="28" w:type="dxa"/>
          <w:left w:w="28" w:type="dxa"/>
          <w:bottom w:w="28" w:type="dxa"/>
          <w:right w:w="28" w:type="dxa"/>
        </w:tblCellMar>
      </w:tblPr>
      <w:tblGrid>
        <w:gridCol w:w="124"/>
        <w:gridCol w:w="310"/>
        <w:gridCol w:w="9771"/>
      </w:tblGrid>
      <w:tr>
        <w:trPr/>
        <w:tc>
          <w:tcPr>
            <w:tcW w:w="124" w:type="dxa"/>
            <w:tcBorders/>
            <w:vAlign w:val="center"/>
          </w:tcPr>
          <w:p>
            <w:pPr>
              <w:pStyle w:val="TableContents"/>
              <w:bidi w:val="0"/>
              <w:spacing w:before="0" w:after="283"/>
              <w:jc w:val="left"/>
              <w:rPr>
                <w:sz w:val="4"/>
                <w:szCs w:val="4"/>
              </w:rPr>
            </w:pPr>
            <w:r>
              <w:rPr>
                <w:sz w:val="4"/>
                <w:szCs w:val="4"/>
              </w:rPr>
            </w:r>
          </w:p>
        </w:tc>
        <w:tc>
          <w:tcPr>
            <w:tcW w:w="31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7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sub-divide our existing shares, or any of them, into shares of smaller amount than is fixed by our memorandum of association or into shares without nominal or par value; and</w:t>
            </w:r>
          </w:p>
        </w:tc>
      </w:tr>
    </w:tbl>
    <w:tbl>
      <w:tblPr>
        <w:tblW w:w="10205" w:type="dxa"/>
        <w:jc w:val="left"/>
        <w:tblInd w:w="0" w:type="dxa"/>
        <w:tblLayout w:type="fixed"/>
        <w:tblCellMar>
          <w:top w:w="28" w:type="dxa"/>
          <w:left w:w="28" w:type="dxa"/>
          <w:bottom w:w="28" w:type="dxa"/>
          <w:right w:w="28" w:type="dxa"/>
        </w:tblCellMar>
      </w:tblPr>
      <w:tblGrid>
        <w:gridCol w:w="124"/>
        <w:gridCol w:w="312"/>
        <w:gridCol w:w="9769"/>
      </w:tblGrid>
      <w:tr>
        <w:trPr/>
        <w:tc>
          <w:tcPr>
            <w:tcW w:w="124" w:type="dxa"/>
            <w:tcBorders/>
            <w:vAlign w:val="center"/>
          </w:tcPr>
          <w:p>
            <w:pPr>
              <w:pStyle w:val="TableContents"/>
              <w:bidi w:val="0"/>
              <w:spacing w:before="0" w:after="283"/>
              <w:jc w:val="left"/>
              <w:rPr>
                <w:sz w:val="4"/>
                <w:szCs w:val="4"/>
              </w:rPr>
            </w:pPr>
            <w:r>
              <w:rPr>
                <w:sz w:val="4"/>
                <w:szCs w:val="4"/>
              </w:rPr>
            </w:r>
          </w:p>
        </w:tc>
        <w:tc>
          <w:tcPr>
            <w:tcW w:w="31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76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 any shares which, at the date of the passing of the resolution, have not been taken or agreed to be taken by any person.</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by special resolution reduce our share capital and any capital redemption reserve fund in any manner authorized by the Companies Act.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Differences in Corporate Law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Companies Act of the Cayman Islands is modeled after that of the English companies’ legislation but does not follow recent English law statutory enactments and accordingly there are significant differences between the Companies Act of the Cayman Islands and the current Companies Act of England. In addition, the Companies Act of the Cayman Islands differs from laws applicable to U.S. corporations and their shareholders. Set forth below is a summary of the significant differences between the provisions of the Companies Act of the Cayman Islands applicable to us and the laws applicable to companies incorporated in the United States and their shareholders.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Mergers and Similar Arrangements</w:t>
      </w:r>
      <w:r>
        <w:rPr>
          <w:rFonts w:ascii="Times New Roman;Times;serif" w:hAnsi="Times New Roman;Times;serif"/>
          <w:sz w:val="20"/>
        </w:rPr>
        <w:t>. The Companies Act permits mergers and consolidations between 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(a “Plan”), which must then be authorized by each constituent company by way of (a) a special resolution of the shareholders of each such constituent company; and (b) such other authorization, if any, as may be specified in such constituent company’s articles of association. The consent of each holder of a fixed or floating security interest of a Cayman Islands constituent company must be obtained, unless the Grand Court of the Cayman Islands waives such requirement. The Plan must be filed with the Registrar of Companies together with, among other documents, a director’s declaration as to the solvency of the constituent company and of the consolidated or surviving company, a director’s declaration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Grand Court of the Cayman Islands) if they follow the required procedures set out in the Companies Act, subject to certain exceptions. Court approval is not required for a merger or consolidation which is effected in compliance with these statutory procedures.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Separate from the statutory provisions relating to mergers and consolidations, the Companies Act also contains statutory provisions that facilitate the reconstruction and amalgamation of companies by way of schemes of arrangement, provided that the arrangement in question is approved by (a) 75% in value of shareholders, or (b) a majority in number representing 75% in value of creditors, depending on the circumstances, that are present and voting either in person or by proxy at a meeting, or meetings convened for that purpose. The convening of the meetings and subsequently the arrangement must be sanctioned by the Grand Court of the Cayman Islands. While a dissenting shareholder would have the right to express to the court the view that the transaction ought not to be approved, the court can be expected to approve the arrangement if it satisfies itself that:</w:t>
      </w:r>
    </w:p>
    <w:tbl>
      <w:tblPr>
        <w:tblW w:w="6141" w:type="dxa"/>
        <w:jc w:val="left"/>
        <w:tblInd w:w="0" w:type="dxa"/>
        <w:tblLayout w:type="fixed"/>
        <w:tblCellMar>
          <w:top w:w="28" w:type="dxa"/>
          <w:left w:w="28" w:type="dxa"/>
          <w:bottom w:w="28" w:type="dxa"/>
          <w:right w:w="28" w:type="dxa"/>
        </w:tblCellMar>
      </w:tblPr>
      <w:tblGrid>
        <w:gridCol w:w="124"/>
        <w:gridCol w:w="256"/>
        <w:gridCol w:w="57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statutory provisions as to required vote have been complied with;</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shareholders have been fairly represented at the meeting in question and the statutory majority are acting bona fide without coercion of the minority to promote interests adverse to those of the class;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arrangement is such that may be reasonably approved by an intelligent and honest man of that class acting in respect of his interest; and</w:t>
            </w:r>
          </w:p>
        </w:tc>
      </w:tr>
    </w:tbl>
    <w:tbl>
      <w:tblPr>
        <w:tblW w:w="10056" w:type="dxa"/>
        <w:jc w:val="left"/>
        <w:tblInd w:w="0" w:type="dxa"/>
        <w:tblLayout w:type="fixed"/>
        <w:tblCellMar>
          <w:top w:w="28" w:type="dxa"/>
          <w:left w:w="28" w:type="dxa"/>
          <w:bottom w:w="28" w:type="dxa"/>
          <w:right w:w="28" w:type="dxa"/>
        </w:tblCellMar>
      </w:tblPr>
      <w:tblGrid>
        <w:gridCol w:w="124"/>
        <w:gridCol w:w="256"/>
        <w:gridCol w:w="96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arrangement is not one that would more properly be sanctioned under some other provision of the Companies Act.</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Companies Act contains a statutory power of compulsory acquisition which may facilitate the “squeeze out” of dissentient minority shareholders upon a tender offer. When a tender offer is made and accepted by holders of 90% of the affected shares within four months, the offeror may, within a two-month period after expiry of such four-month period, require the holders of the remaining shares to transfer such shares to the offeror on the terms of the offer. An objection can be made to the Grand Court of the Cayman Islands but this is unlikely to succeed unless there is evidence of fraud, bad faith or collusion.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an arrangement and reconstruction by way of a scheme of arrangement is thus approved and sanctioned, or if a tender offer is made and accepted, in accordance with the foregoing statutory provisions, a dissenting shareholder would have no rights comparable to appraisal rights, which would otherwise ordinarily be available to dissenting shareholders of United States corporations, providing rights to receive payment in cash for the judicially determined value of the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Shareholders’ Suits</w:t>
      </w:r>
      <w:r>
        <w:rPr>
          <w:rFonts w:ascii="Times New Roman;Times;serif" w:hAnsi="Times New Roman;Times;serif"/>
          <w:sz w:val="20"/>
        </w:rPr>
        <w:t>. In principle, we will normally be the proper plaintiff and as a general rule a derivative action may not be brought by a minority shareholder. However, based on English authorities, which would in all likelihood be of persuasive authority in the Cayman Islands, there are exceptions to the foregoing principle, including when: (a) a company acts or proposes to act illegally or ultra vires; (b) the act complained of, although not ultra vires, could only be effected duly if authorized by more than a simple majority vote that has not been obtained; and (c) those who control the company are perpetrating a “fraud on the minority.”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Indemnification</w:t>
      </w:r>
      <w:r>
        <w:rPr>
          <w:rFonts w:ascii="Times New Roman;Times;serif" w:hAnsi="Times New Roman;Times;serif"/>
          <w:sz w:val="20"/>
        </w:rPr>
        <w:t>. Cayman Islands law does not (other than as set forth hereafter)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articles of association provide for indemnification of officers and directors for losses, damages, costs and expenses incurred in their capacities as such, except through their own willful neglect or default.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Insofar as indemnification or liability arising under the Securities Act of 1933 may be permitted to directors, officers or persons controlling the registrant pursuant to the foregoing provisions, we have been informed that in the opinion of the SEC such indemnification is against public policy as expressed in the Securities Act of 1933 and is therefore unenforceable.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          Material Contracts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not entered into any material contracts other than in the ordinary course of business and other than those described in Item 4. “Information on the Company” or elsewhere in this annual report.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          Exchange Controls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Foreign currency exchange in the PRC is primarily governed by the Foreign Exchange Administration Rules issued by the State Council on January 29, 1996 and effective as of April 1, 1996 (and amended on January 14, 1997 and August 1, 2008) and the Regulations of Settlement, Sale and Payment of Foreign Exchange which came into effect on July 1, 1996.</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Foreign Exchange Administration Rules, Renminbi is freely convertible for current account items, including the distribution of dividends payments, interest payments, trade and service-related foreign exchange transactions. Conversion of Renminbi for capital account items, such as direct investment, loans, securities investment and repatriation of investment, however, is still generally subject to the approval or verification of SAFE or its competent local branches.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March 2015, SAFE released the Circular on Reforming the Management Approach regarding the Foreign Exchange Capital Settlement of Foreign Invested Enterprises, or the Foreign Exchange Capital Settlement Circular, which became effective from June 1, 2015. This circular replaced SAFE’s previous related circulars, including the Circular on Issues Relating to the Improvement of Business Operation with Respect to the Administration of Foreign Exchange Capital Payment and Settlement of Foreign Invested Enterprises. The Foreign Exchange Capital Settlement Circular clarifies that foreign invested enterprises may settle a specified proportion of their foreign exchange capital in banks at their discretion, and may choose the timing for such settlement. The proportion of foreign exchange capital to be settled at foreign invested enterprises’ discretion for the time being is 100% and the SAFE may adjust the proportion in due time based on the situation of international balance of payments. The foreign invested enterprises’ capital and Renminbi capital gained from the settlement of foreign exchange capital may not be directly or indirectly used for expenditure beyond the business scope of the foreign invested enterprises or as prohibited by laws and regulations of the PRC. Such capital may not be directly or indirectly used for investments in securities, except as otherwise provided by laws and regulations. Except foreign-funded real estate enterprises, such capital may not be used for paying the costs relevant to the purchase of the real estate not for self-use. Such capital also may not be directly or indirectly used for issuing Renminbi entrusted loans except as permitted by the business scope of the foreign invested enterprise, for repaying inter-enterprise borrowings including any third-party advance, or for repaying the bank loans denominated in RMB that have been sub-lent to a third party. On June 9, 2016, SAFE issued the Circular on Reform and Regulating of the Administrative Policy of the Settlement under Capital Accounts, or SAFE Circular 16, which became effective on the same date. Pursuant to SAFE Circular 16, foreign invested enterprises may either continue to follow the current payment-based foreign currency settlement system or choose to follow the “conversion-at-will” system for foreign currency settlement. Where a Foreign Invested Enterprise elects the conversion-at-will system for foreign currency settlement, it may convert, in part or in whole, the amount of the foreign currency in its capital account into Renminbi. The converted Renminbi will be kept in a designated account labeled as settled but pending payment, and if such Foreign Invested Enterprise needs to make payment from such designated account, it is required to provide authenticity proof materials to declare the usage of such funds. Although SAFE Circular 16 effectively simplifies the administrative process for converting foreign currencies into Renminbi for settlement of capital account items, the Notice on Further Promoting the Reform of Foreign Exchange Administration and Improving Authenticity and Compliance Review (Hui Fa [2017] No. 3), or Notice No. 3, released by SAFE on January 26, 2017, requires a domestic company to provide explanations to the banks through which it seeks to exchange currency of the sources of funds for investment and the intended use of such funds. Under Notice No. 3, submission of relevant corporate documents, including board resolutions and relevant contracts is also required to support a domestic company’s claim of intended use. On October 23, 2019, the SAFE promulgated Notice of the State Administration of Foreign Exchange on Further Promoting the Facilitation of Cross-border Trade and Investment (Hui Fa [2019] No.28), or Notice No. 28, which took effect on the same date (except for Article 8.2, which became effective on January 1, 2020). Under Notice 28, foreign invested enterprises without an investment business scope are also allowed to utilize and convert capital received from foreign investors for making equity investment in China. Previously this had been limited to foreign invested enterprises who explicitly had an investment business scope. However, it is not clear how Notice 28 will be implemented in practice and the implementing rules for Notice 28 have yet to be promulgated by the SAFE. On April 10, 2020, SAFE promulgated the Notice of the SAFE on Optimizing Foreign Exchange Administration to Support the Development of Foreign-related Business (Hui Fa [2020] No.8), or Notice No. 8, which took effect on the same date. According to Notice 8, under the prerequisite of ensuring true and compliant use of funds and compliance with the prevailing administrative provisions on use of income under the capital account, enterprises which satisfy the criteria are allowed to use income under the capital account, such as capital funds, foreign debt and overseas listing, for domestic payment, without prior provision of proof materials for veracity to the bank for each transaction. We closely monitor any changes and new regulatory releases, especially given the recently increased frequency of SAFE enforcement actions, to ensure that our operations remain in compliance.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the payment of dividends by entities established in the PRC is subject to limitations. Regulations in the PRC currently permit payment of dividends only out of accumulated profits as determined in accordance with accounting standards and regulations in the PRC. Each of our China mainland subsidiaries that is a domestic company is also required to set aside at least 10.0% of its after-tax profit based on PRC accounting standards each year to its general reserves or statutory capital reserve fund until the accumulative amount of such reserves reach 50.0% of its respective registered capital. These restricted reserves are not distributable as cash dividends. In addition, if any of our China mainland subsidiaries incurs debt on its own behalf in the future, the instruments governing the debt may restrict its ability to pay dividends or make other distributions to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pursuant to regulations promulgated by SAFE, China mainland subsidiaries of offshore parent companies may be prohibited from making distributions of profits to such offshore parent companies and from paying the offshore parent companies proceeds from any reduction in capital, share transfer or liquidation in respect of such China mainland subsidiaries, if PRC shareholders with a direct or indirect stake in the offshore parent company fail to make the requisite SAFE registrations.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These regulations require PRC residents to file with the competent SAFE offices information about offshore companies in which they have directly or indirectly invested (including with respect to investments already made as of the inception of the new regulation) and to make follow-up filings in connection with certain material transaction involving such offshore companies, such as mergers or acquisitions, capital increases or decreases, and external equity investments or equity transfers.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Moreover, to discourage the outflow of capital from China, the overall current regulatory environment relating to foreign exchange regulation in China suggests that, as a matter of practice, SAFE has been making it increasingly difficult to exchange Renminbi into foreign currencies for offshore dividend payments or capital account settlement. For additional information on the SAFE regulations and the related risks to us, see Item 3.D. “Key Information—Risk Factors—Risks Related to Doing Business in China—The Chinese government has strengthened the regulation of investments made by Chinese residents in offshore companies and reinvestments in China made by these offshore companies. Our business may be adversely affected by these restrictions.”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more information about foreign exchange regulation, see Item 3.D. “Key Information—Risk Factors—Risks Related to Our Corporate Structure—Our corporate structure may restrict our ability to receive dividends from, and transfer funds to, our China mainland subsidiaries and VIEs, which could restrict our ability to act in response to changing market conditions and reallocate funds internally in a timely manner.” and “Key Information—Risk Factors—Risks Related to Doing Business in China—Restrictions on currency exchange may limit our ability to utilize our revenues effectively.”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           Taxation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summary of the material Cayman Islands, PRC, Hong Kong and United States federal income tax consequences relevant to the purchase, ownership or sale of our ordinary shares or ADSs is based upon laws and relevant interpretations thereof in effect as of the date of the filing of this annual report, all of which are subject to change. To the extent that the discussion relates to matters of Cayman Islands tax law, it represents the opinion of Maples and Calder (Hong Kong) LLP, our Cayman Islands counsel.</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Cayman Islands Taxation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by or to our company. There are no exchange control regulations or currency restrictions in the Cayman Islands.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People’s Republic of China Taxation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PRC Enterprise Income Tax Law and its implementation rules, an enterprise established outside of the PRC with “de facto management body” within the PRC is considered a resident enterprise and will be subject to the enterprise income tax on its global income at the rate of 25%. The implementation rules define the term “de facto management body” as the body that exercises full and substantial control and overall management over the business, productions, personnel, accounts and properties of an enterprise. In 2009, the STA issued a circular, known as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STA’s general position on how the “de facto management body” text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 We are not aware of any offshore holding companies with a similar corporate structure to ours that have been deemed a PRC resident enterprise by the PRC tax authorities. Accordingly, we believe that none of NetEase, Inc. and its subsidiaries outside of China is a PRC resident enterprise for PRC tax purposes. However, the tax resident status of an enterprise is subject to determination by the PRC tax authorities and uncertainties remain with respect to the interpretation of the term “de facto management body.”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the PRC tax authorities determine that NetEase, Inc. is a PRC resident enterprise for enterprise income tax purposes, we may be required to withhold a 10% withholding tax from dividends we pay to our shareholders that are non-resident enterprises, including the holders of our ADSs. In addition, non-resident enterprise shareholders (including our ADS holders) may be subject to a 10% PRC withholding tax on gains realized on the sale or other disposition of ADSs or ordinary shares, if such income is treated as sourced from within the PRC. In addition, gains derived by our non-PRC individual shareholders from the sale of our shares and ADSs may be subject to a 20% PRC withholding tax.</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Arrangement between the Mainland of China and the Hong Kong Special Administrative Region for the Avoidance of Double Taxation and the Prevention of Fiscal Evasion with respect to Taxes on Income, the withholding tax rate in respect to the payment of dividends by a PRC enterprise to a Hong Kong enterprise may be reduced to 5% from a standard rate of 10% if the Hong Kong enterprise directly holds at least 25% of the PRC enterprise. Pursuant to the Notice of the STA on the Issues concerning the Application of the Dividend Clauses of Tax Agreements, a Hong Kong resident enterprise must meet the following conditions, among others, in order to apply the reduced withholding tax rate: (i) it must be a company; (ii) it must directly own the required percentage of equity interests and voting rights in the PRC resident enterprise; and (iii) it must have directly owned such required percentage in the PRC resident enterprise throughout the 12 months prior to receiving the dividends.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It is unclear whether our non-PRC individual shareholders (including our ADS holders) would be subject to any PRC tax on dividends obtained by such non-PRC individual shareholders in the event we are determined to be a PRC resident enterprise. If any PRC tax were to apply to dividends realized by non-PRC individuals, it would generally apply at a rate of 20% unless a reduced rate is available under an applicable tax treaty. However, it is also unclear whether non-PRC shareholders of NetEase, Inc. would be able to claim the benefits of any tax treaties between their country of tax residence and the PRC in the event that NetEase, Inc. is treated as a PRC resident enterprise.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Provided that our Cayman Islands holding company, NetEase, Inc., is not deemed to be a PRC resident enterprise, holders of our ADSs and ordinary shares who are not PRC residents will not be subject to PRC income tax on dividends distributed by us or gains realized from the sale or other disposition of our shares or ADSs. STA Circular 7 further clarifies that, if a non-resident enterprise derives income by acquiring and selling shares in an offshore listed enterprise in the public market, such income will not be subject to PRC tax. In addition, STA Public Notice 37 provided certain key changes to the previous withholding regime, such as (i) the withholding obligation for a non-resident enterprise deriving dividend arises on the date on which the payment is actually made rather than on the date of the resolution that declared the dividends, (ii) non-resident enterprises shall report tax to relevant authorities if their withholding agents fail to perform the withholding obligation. However, there is uncertainty as to the application of STA Public Notice 37 and STA Circular 7, we and our non-PRC resident investors may be at risk of being required to file a return and being taxed under STA Public Notice 37 and STA Circular 7 and we may be required to expend valuable resources to comply with STA Public Notice 37 and STA Circular 7 or to establish that we should not be taxed under STA Public Notice 37 and STA Circular 7. See Item 3.D. “Key Information—Risk Factors—Risks Related to Doing Business in China—We and our shareholders face uncertainties with respect to indirect transfers of equity interests in PRC resident enterprises by a non-PRC company.”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Hong Kong Taxation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subsidiaries in Hong Kong were subject to income tax on their taxable income generated from operations in Hong Kong at a rate of 16.5%. For the years 2021, 2022 and 2023, the first HK$2 million of profits earned by one of our subsidiaries incorporated in Hong Kong was taxed at a rate of 8.25%, while the remaining profits were taxed at the 16.5% tax rate. The payments of dividends by these companies to us are not subject to any Hong Kong withholding tax.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principal register of members is maintained by our principal share registrar, Maples Fund Services (Cayman) Limited, in the Cayman Islands, and our Hong Kong register of members is maintained by the Hong Kong share registrar, Computershare Hong Kong Investor Services Limited, in Hong Kong.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Dealings in our ordinary shares registered on our Hong Kong share register are subject to Hong Kong stamp duty. The stamp duty is charged to each of the seller and purchaser at the rate of 0.1% of the consideration for, or (if greater) the value of, our ordinary shares transferred. In other words, a total of 0.2% is currently payable on a typical sale and purchase transaction of our ordinary shares. In addition, a fixed duty of HK$5.00 is charged on each instrument of transfer (if required).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 facilitate ADS-ordinary share conversion and trading between the Nasdaq and the Hong Kong Stock Exchange, we have moved a portion of our issued ordinary shares, including all of the ordinary shares deposited in our ADS program, from our Cayman share register to our Hong Kong share register. It is unclear whether, as a matter of Hong Kong law, the trading or conversion of ADSs constitutes a sale or purchase of the underlying Hong Kong-registered ordinary shares that is subject to Hong Kong stamp duty. We advise investors to consult their own tax advisors on this matter. See Item 3.D. “Key Information—Risk Factors—Risks Related to Our ADSs and Shares—There is uncertainty as to whether Hong Kong stamp duty will apply to deposits of our ordinary shares into or withdrawal of our ordinary shares from the ADS facility or trading of our ADSs.”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Material United States Federal Income Taxation Considerations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discussion is a summary of certain United States federal income tax considerations applicable to the purchase, ownership and disposition of our ordinary shares or ADSs by a U.S. Holder (as defined below) who holds such ordinary shares or ADSs as capital assets within the meaning of Section 1221 of the Code (generally, property held for investment). This summary does not purport to be a complete analysis of all potential United States federal income tax consequences of the purchase, ownership, and disposition of the ordinary shares or ADSs. This discussion is based on the Code as in effect on the date of this annual report and on United States Treasury regulations in effect or, in some cases, proposed, as of the date of the filing of this annual report, as well as judicial and administrative interpretations thereof available on or before such date. All of the foregoing authorities are subject to change, which change could apply retroactively and could affect the tax consequences described below. No assurance can be given that the IRS would not assert, or that a court would not sustain, a position contrary to any of the tax consequences described below.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summary does not address all aspects of United States federal income taxation that may be relevant to particular U.S. Holders in light of their specific circumstances (for example, U.S. Holders subject to the alternative minimum tax provisions of the Code) or to holders that may be subject to special rules under United States federal income tax law, including:</w:t>
      </w:r>
    </w:p>
    <w:tbl>
      <w:tblPr>
        <w:tblW w:w="5571" w:type="dxa"/>
        <w:jc w:val="left"/>
        <w:tblInd w:w="0" w:type="dxa"/>
        <w:tblLayout w:type="fixed"/>
        <w:tblCellMar>
          <w:top w:w="28" w:type="dxa"/>
          <w:left w:w="28" w:type="dxa"/>
          <w:bottom w:w="28" w:type="dxa"/>
          <w:right w:w="28" w:type="dxa"/>
        </w:tblCellMar>
      </w:tblPr>
      <w:tblGrid>
        <w:gridCol w:w="124"/>
        <w:gridCol w:w="256"/>
        <w:gridCol w:w="5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 dealers in stocks, securities, commodities or currencies;</w:t>
            </w:r>
          </w:p>
        </w:tc>
      </w:tr>
    </w:tbl>
    <w:tbl>
      <w:tblPr>
        <w:tblW w:w="7281" w:type="dxa"/>
        <w:jc w:val="left"/>
        <w:tblInd w:w="0" w:type="dxa"/>
        <w:tblLayout w:type="fixed"/>
        <w:tblCellMar>
          <w:top w:w="28" w:type="dxa"/>
          <w:left w:w="28" w:type="dxa"/>
          <w:bottom w:w="28" w:type="dxa"/>
          <w:right w:w="28" w:type="dxa"/>
        </w:tblCellMar>
      </w:tblPr>
      <w:tblGrid>
        <w:gridCol w:w="124"/>
        <w:gridCol w:w="256"/>
        <w:gridCol w:w="69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(including securities traders) that use a mark-to-market accounting method;</w:t>
            </w:r>
          </w:p>
        </w:tc>
      </w:tr>
    </w:tbl>
    <w:tbl>
      <w:tblPr>
        <w:tblW w:w="3156" w:type="dxa"/>
        <w:jc w:val="left"/>
        <w:tblInd w:w="0" w:type="dxa"/>
        <w:tblLayout w:type="fixed"/>
        <w:tblCellMar>
          <w:top w:w="28" w:type="dxa"/>
          <w:left w:w="28" w:type="dxa"/>
          <w:bottom w:w="28" w:type="dxa"/>
          <w:right w:w="28" w:type="dxa"/>
        </w:tblCellMar>
      </w:tblPr>
      <w:tblGrid>
        <w:gridCol w:w="124"/>
        <w:gridCol w:w="256"/>
        <w:gridCol w:w="27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banks and financial institutions;</w:t>
            </w:r>
          </w:p>
        </w:tc>
      </w:tr>
    </w:tbl>
    <w:tbl>
      <w:tblPr>
        <w:tblW w:w="2286" w:type="dxa"/>
        <w:jc w:val="left"/>
        <w:tblInd w:w="0" w:type="dxa"/>
        <w:tblLayout w:type="fixed"/>
        <w:tblCellMar>
          <w:top w:w="28" w:type="dxa"/>
          <w:left w:w="28" w:type="dxa"/>
          <w:bottom w:w="28" w:type="dxa"/>
          <w:right w:w="28" w:type="dxa"/>
        </w:tblCellMar>
      </w:tblPr>
      <w:tblGrid>
        <w:gridCol w:w="124"/>
        <w:gridCol w:w="256"/>
        <w:gridCol w:w="1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companies;</w:t>
            </w:r>
          </w:p>
        </w:tc>
      </w:tr>
    </w:tbl>
    <w:tbl>
      <w:tblPr>
        <w:tblW w:w="3216" w:type="dxa"/>
        <w:jc w:val="left"/>
        <w:tblInd w:w="0" w:type="dxa"/>
        <w:tblLayout w:type="fixed"/>
        <w:tblCellMar>
          <w:top w:w="28" w:type="dxa"/>
          <w:left w:w="28" w:type="dxa"/>
          <w:bottom w:w="28" w:type="dxa"/>
          <w:right w:w="28" w:type="dxa"/>
        </w:tblCellMar>
      </w:tblPr>
      <w:tblGrid>
        <w:gridCol w:w="124"/>
        <w:gridCol w:w="256"/>
        <w:gridCol w:w="28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regulated investment companies;</w:t>
            </w:r>
          </w:p>
        </w:tc>
      </w:tr>
    </w:tbl>
    <w:tbl>
      <w:tblPr>
        <w:tblW w:w="2826" w:type="dxa"/>
        <w:jc w:val="left"/>
        <w:tblInd w:w="0" w:type="dxa"/>
        <w:tblLayout w:type="fixed"/>
        <w:tblCellMar>
          <w:top w:w="28" w:type="dxa"/>
          <w:left w:w="28" w:type="dxa"/>
          <w:bottom w:w="28" w:type="dxa"/>
          <w:right w:w="28" w:type="dxa"/>
        </w:tblCellMar>
      </w:tblPr>
      <w:tblGrid>
        <w:gridCol w:w="124"/>
        <w:gridCol w:w="256"/>
        <w:gridCol w:w="24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 estate investment trusts;</w:t>
            </w:r>
          </w:p>
        </w:tc>
      </w:tr>
    </w:tbl>
    <w:tbl>
      <w:tblPr>
        <w:tblW w:w="4746" w:type="dxa"/>
        <w:jc w:val="left"/>
        <w:tblInd w:w="0" w:type="dxa"/>
        <w:tblLayout w:type="fixed"/>
        <w:tblCellMar>
          <w:top w:w="28" w:type="dxa"/>
          <w:left w:w="28" w:type="dxa"/>
          <w:bottom w:w="28" w:type="dxa"/>
          <w:right w:w="28" w:type="dxa"/>
        </w:tblCellMar>
      </w:tblPr>
      <w:tblGrid>
        <w:gridCol w:w="124"/>
        <w:gridCol w:w="256"/>
        <w:gridCol w:w="4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tax-exempt entities (including private foundations);</w:t>
            </w:r>
          </w:p>
        </w:tc>
      </w:tr>
    </w:tbl>
    <w:tbl>
      <w:tblPr>
        <w:tblW w:w="1656" w:type="dxa"/>
        <w:jc w:val="left"/>
        <w:tblInd w:w="0" w:type="dxa"/>
        <w:tblLayout w:type="fixed"/>
        <w:tblCellMar>
          <w:top w:w="28" w:type="dxa"/>
          <w:left w:w="28" w:type="dxa"/>
          <w:bottom w:w="28" w:type="dxa"/>
          <w:right w:w="28" w:type="dxa"/>
        </w:tblCellMar>
      </w:tblPr>
      <w:tblGrid>
        <w:gridCol w:w="124"/>
        <w:gridCol w:w="256"/>
        <w:gridCol w:w="12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2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grantor trusts;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holding ordinary shares or ADSs as part of a hedging, conversion, straddle, or other integrated transaction for U.S. federal income tax purposes;</w:t>
            </w:r>
          </w:p>
        </w:tc>
      </w:tr>
    </w:tbl>
    <w:tbl>
      <w:tblPr>
        <w:tblW w:w="8511" w:type="dxa"/>
        <w:jc w:val="left"/>
        <w:tblInd w:w="0" w:type="dxa"/>
        <w:tblLayout w:type="fixed"/>
        <w:tblCellMar>
          <w:top w:w="28" w:type="dxa"/>
          <w:left w:w="28" w:type="dxa"/>
          <w:bottom w:w="28" w:type="dxa"/>
          <w:right w:w="28" w:type="dxa"/>
        </w:tblCellMar>
      </w:tblPr>
      <w:tblGrid>
        <w:gridCol w:w="124"/>
        <w:gridCol w:w="256"/>
        <w:gridCol w:w="81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deemed to sell ordinary shares or ADSs under the constructive sale provisions of the Code;</w:t>
            </w:r>
          </w:p>
        </w:tc>
      </w:tr>
    </w:tbl>
    <w:tbl>
      <w:tblPr>
        <w:tblW w:w="5001" w:type="dxa"/>
        <w:jc w:val="left"/>
        <w:tblInd w:w="0" w:type="dxa"/>
        <w:tblLayout w:type="fixed"/>
        <w:tblCellMar>
          <w:top w:w="28" w:type="dxa"/>
          <w:left w:w="28" w:type="dxa"/>
          <w:bottom w:w="28" w:type="dxa"/>
          <w:right w:w="28" w:type="dxa"/>
        </w:tblCellMar>
      </w:tblPr>
      <w:tblGrid>
        <w:gridCol w:w="124"/>
        <w:gridCol w:w="256"/>
        <w:gridCol w:w="46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former citizens or residents of the United States;</w:t>
            </w:r>
          </w:p>
        </w:tc>
      </w:tr>
    </w:tbl>
    <w:tbl>
      <w:tblPr>
        <w:tblW w:w="5091" w:type="dxa"/>
        <w:jc w:val="left"/>
        <w:tblInd w:w="0" w:type="dxa"/>
        <w:tblLayout w:type="fixed"/>
        <w:tblCellMar>
          <w:top w:w="28" w:type="dxa"/>
          <w:left w:w="28" w:type="dxa"/>
          <w:bottom w:w="28" w:type="dxa"/>
          <w:right w:w="28" w:type="dxa"/>
        </w:tblCellMar>
      </w:tblPr>
      <w:tblGrid>
        <w:gridCol w:w="124"/>
        <w:gridCol w:w="256"/>
        <w:gridCol w:w="47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whose functional currency is not the U.S. dollar;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partnerships or other entities taxable as partnerships or pass-through entities for U.S. federal income tax purposes, or persons holding ADSs or ordinary shares through such entities;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 indirect or constructive owners of 10% or more of the total combined vote or value of all classes of our equity; and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 acquired ordinary shares or ADSs pursuant to the exercise of any employee share option or otherwise as compensation.</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summary also does not address the U.S. federal estate, gift, alternative minimum tax, and other non-income tax considerations, the Medicare contribution tax on certain net investment income, or any state, local or non-U.S. tax considerations, relating to the ownership or disposition of our ordinary shares or ADSs. Prospective purchasers are urged to consult their tax advisors about the United States federal, state and local and non-U.S. tax consequences to them of the purchase, ownership and disposition of our ordinary shares or ADSs.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purposes of this summary, “U.S. Holder” means a beneficial holder of our ordinary shares or ADSs who or that for United States federal income tax purposes is:</w:t>
      </w:r>
    </w:p>
    <w:tbl>
      <w:tblPr>
        <w:tblW w:w="4821" w:type="dxa"/>
        <w:jc w:val="left"/>
        <w:tblInd w:w="0" w:type="dxa"/>
        <w:tblLayout w:type="fixed"/>
        <w:tblCellMar>
          <w:top w:w="28" w:type="dxa"/>
          <w:left w:w="28" w:type="dxa"/>
          <w:bottom w:w="28" w:type="dxa"/>
          <w:right w:w="28" w:type="dxa"/>
        </w:tblCellMar>
      </w:tblPr>
      <w:tblGrid>
        <w:gridCol w:w="124"/>
        <w:gridCol w:w="256"/>
        <w:gridCol w:w="44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individual citizen or resident of the United States;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(or other entity classified as a corporation for United States federal income tax purposes) created or organized in or under the laws of the United States, any state thereof or the District of Columbia;</w:t>
            </w:r>
          </w:p>
        </w:tc>
      </w:tr>
    </w:tbl>
    <w:tbl>
      <w:tblPr>
        <w:tblW w:w="9231" w:type="dxa"/>
        <w:jc w:val="left"/>
        <w:tblInd w:w="0" w:type="dxa"/>
        <w:tblLayout w:type="fixed"/>
        <w:tblCellMar>
          <w:top w:w="28" w:type="dxa"/>
          <w:left w:w="28" w:type="dxa"/>
          <w:bottom w:w="28" w:type="dxa"/>
          <w:right w:w="28" w:type="dxa"/>
        </w:tblCellMar>
      </w:tblPr>
      <w:tblGrid>
        <w:gridCol w:w="124"/>
        <w:gridCol w:w="256"/>
        <w:gridCol w:w="88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estate, the income of which is subject to United States federal income taxation regardless of its source;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trust, (a) if a court within the United States is able to exercise primary supervision over the administration of such trust and one or more “United States persons” (within the meaning of Section 7701(a)(30) of the Code) have the authority to control all substantial decisions of the trust, or (b) if a valid election is in effect to be treated as a United States person.</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a partnership or other entity or arrangement classified as a partnership for United States federal income tax purposes holds ordinary shares or ADSs, the United States federal income tax treatment of a partner generally will depend on the status of the partner and the activities of the partnership. This summary does not address the tax consequences of any such partner. If you are a partner of a partnership holding ordinary shares or ADSs, you should consult your tax advisor regarding the U.S. federal income tax consequences of acquiring, owning or disposing of our ordinary shares or ADSs.</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ADSs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discussion below assumes that the representations contained in the deposit agreement are true and that the obligations in the deposit agreement and any related agreement will be performed in accordance with their terms. Based on such assumptions, a U.S. Holder of ADSs generally should be treated as the owner of the underlying ordinary shares represented by those ADSs for United States federal income tax purposes. Accordingly, no gain or loss will be recognized if a U.S. Holder exchanges ADSs for the underlying shares represented by those ADSs.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U.S. Treasury Department has expressed concern that parties to whom ADSs are released before shares are delivered to the depositary or intermediaries in the chain of ownership between holders and the issuer of the security underlying the ADSs, may be taking actions that are inconsistent with the claiming of foreign tax credits by U.S. Holders of ADSs. These actions would also be inconsistent with the claiming of the reduced rate of tax, described below, applicable to dividends received by certain non-corporate U.S. Holders. Accordingly, the creditability of non-U.S. withholding taxes (if any), and the availability of the reduced tax rate for dividends received by certain non-corporate U.S. Holders, each described below, could be affected by actions taken by such parties or intermediaries. For purposes of the discussion below, we assume that intermediaries in the chain of ownership between the holder of an ADS and us are acting consistently with the claim of U.S. foreign tax credits by U.S. Holders.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Taxation of Dividends and Other Distributions on the Ordinary Shares or ADSs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Subject to the passive foreign investment company, or PFIC, rules discussed below, the gross amount of any distributions (including withheld taxes, if any) paid by our company out of current or accumulated earnings and profits (as determined for United States federal income tax purposes) generally will be taxable to a U.S. Holder as foreign source dividend income on the date such distribution is actually or constructively received, and will not be eligible for the dividends received deduction generally allowed to corporations in respect of dividends received from other United States corporations. Distributions in excess of current and accumulated earnings and profits will be treated as a non-taxable return of capital to the extent of the U.S. Holder’s adjusted tax basis in the ordinary shares or ADSs, and thereafter as capital gain. However, we do not maintain calculations of our earnings and profits in accordance with United States federal income tax accounting principles. U.S. Holders should therefore assume that any distribution by our company with respect to the ordinary shares or ADSs will constitute dividend income even if that distribution would otherwise be treated as a non-taxable return of capital or as capital gain under the rules described above. U.S. Holders should consult their tax advisors with respect to the appropriate United States federal income tax treatment of any distribution received from our company. This discussion assumes that distributions, if any, will be made in U.S. dollars.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Certain dividends received by non-corporate U.S. Holders, including individuals, may be eligible for the special reduced rates normally applicable to long-term capital gains, provided that certain conditions are satisfied. A U.S. Holder is not able to claim the reduced rate for any year in which we are treated as a PFIC. See “Passive Foreign Investment Companies” below. Dividends may be taxed at the lower applicable capital gains rate provided that (1) our ordinary shares or ADSs, as applicable, are readily tradable on an established securities market in the United States, (2) our company is not a PFIC (as discussed below) for either our taxable year in which the dividends were paid or the preceding taxable year, and (3) certain holding period and other requirements are met. Because our ADSs are listed on the NASDAQ Global Select Market, they are considered for purposes of clause (1) above to be readily tradable on an established securities market in the United States. However, because our ordinary shares are not listed on an established securities market, we do not believe that dividends paid on our ordinary shares that are not represented by ADSs currently meet the conditions required for these reduced tax rates. There can be no assurance that our ADSs will be considered readily tradable on an established securities market in subsequent years.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Alternatively, certain non-corporate U.S. Holders may be eligible for the special reduced rates normally applicable to long-term capital gains if we are eligible for benefits under a comprehensive U.S. income tax treaty that includes an exchange of information program and which the U.S. Treasury Department has determined is satisfactory for these purposes. The United States does not have a comprehensive income tax treaty with the Cayman Islands. However, in the event that we were deemed to be a PRC resident enterprise under the enterprise income tax law, although no assurance can be given, we might be considered eligible for the benefits of the income tax treaty between the United States and the PRC, or the U.S.-PRC Tax Treaty, for purposes of these rules. U.S. Holders should consult their tax advisors regarding the availability of the reduced tax rates on dividends paid with respect to our ordinary shares or ADSs in light of their particular circumstances.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event that dividends from our company are subject to withholding by the PRC, a U.S. Holder may be eligible, subject to a number of complex limitations, to claim a foreign tax credit in respect of foreign withholding taxes imposed on dividends received on the ordinary shares or ADSs. For purposes of calculating the U.S. foreign tax credit, dividends paid on our ordinary shares or ADSs will be treated as income from sources outside the United States, and will generally constitute passive category income. A U.S. Holder who does not elect to claim a foreign tax credit for foreign income tax withheld, may instead claim a deduction, for United States federal income tax purposes, in respect of such withholdings, but only for a year in which such holder elects to do so for all creditable foreign income taxes. Recently issued U.S. Treasury regulations may restrict the availability of any such credit based on the nature of the tax imposed by the foreign jurisdiction, though under current IRS guidance, taxpayers generally may elect to determine the creditability of foreign taxes without regard to such restrictions for taxable years ending prior to the year further guidance is issued. The U.S. foreign tax credit rules are complex. U.S. Holders should consult their tax advisors regarding the foreign tax credit rules in light of their particular circumstances.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Taxation of Disposition of Ordinary Shares or ADSs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Subject to the PFIC rules discussed below, you will generally recognize taxable gain or loss on any sale or exchange or other taxable disposition of an ordinary share or ADS in an amount equal to the difference between the amount realized for the ordinary share or ADS and your adjusted tax basis in the ordinary share or ADS. The gain or loss will generally be capital gain or loss and will be long-term capital gain or loss if you have held the ordinary share or ADS for more than one year. Long-term capital gains of non-corporate U.S. Holders are eligible for reduced rates of taxation. The deductibility of a capital loss may be subject to limitations. Any gain or loss that you recognize generally will be treated as United States source gain or loss for United States foreign tax credit purposes. In the event PRC tax were to be imposed on any gain from the disposition of ordinary shares or ADSs, such gain may be treated as PRC source gain under the U.S.-PRC Tax Treaty, in which case a U.S. Holder eligible for treaty benefits may be able to claim a foreign tax credit, subject to applicable limitations. See the discussion above under the heading “Taxation of Dividends and Other Distributions on the Ordinary Shares or ADSs” regarding the potential availability of U.S.-PRC Tax Treaty benefits. Recently issued U.S. Treasury regulations may impose additional restrictions on the creditability of any PRC taxes on disposition gains, though under current IRS guidance, taxpayers generally may elect to determine the creditability of foreign taxes without regard to such restrictions for taxable years ending prior to the year further guidance is issued. Because the determination of treaty benefit eligibility is fact intensive and depends upon a holder’s particular circumstances, U.S. Holders should consult their tax advisors regarding U.S.-PRC Tax Treaty benefit eligibility. U.S. Holders are also encouraged to consult their own tax advisors regarding the tax consequences in the event PRC tax were to be imposed on a disposition of ordinary shares or ADSs, including the availability of the U.S. foreign tax credit and the ability and whether to treat any gain as PRC source gain for the purposes of the U.S. foreign tax credit in consideration of their particular circumstances.</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Passive Foreign Investment Companies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non-U.S. corporation will be classified as a PFIC for any taxable year in which, after taking into account the income and assets of the corporation and certain subsidiaries pursuant to applicable “look-through rules,” either (i) 75% or more of its gross income for such taxable year is “passive income” or (ii) 50% or more of the value of our assets (generally determined on the basis of a quarterly average) during such taxable year is attributable to assets that either produce passive income or are held for the production of passive income. Passive income generally includes dividends, interest, rents and royalties (other than certain rents and royalties derived in the active conduct of a trade or business), annuities and gains from assets that produce passive income.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will be treated as owning our proportionate share of the assets and earning our proportionate share of the income of any other corporation in which we own, directly or indirectly, 25% or more (by value) of the stock.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Additionally, if we are classified as a PFIC in any taxable year with respect to which a U.S. Holder owns ordinary shares or ADSs, we generally will continue to be treated as a PFIC with respect to such U.S. Holder in all succeeding taxable years, regardless of whether we continue to meet the tests described above, unless the U.S. Holder makes the “deemed sale election” described below. Furthermore, if we are treated as a PFIC then one or more of our subsidiaries may also be treated as PFICs with respect to a U.S. Holder (as discussed below under the heading “U.S. Federal Income Tax Treatment of a Shareholder of a PFIC”).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Based on the value of our assets, including goodwill, and the composition of our income and assets, we do not believe that we were a PFIC for the taxable year ended December 31, 2023. We have not obtained any opinion of counsel or any rulings from the IRS regarding our status as a PFIC. The PFIC determination is highly fact-intensive and made at the end of each taxable year. We hold and will continue to hold a substantial amount of cash and cash equivalents. In addition, the value of our assets, including goodwill, for purposes of the asset test will generally be determined by reference to the market price of the ADSs and ordinary shares, which may fluctuate significantly. Moreover, the application of the PFIC rules is subject to uncertainty in several respects. For these reasons, there can be no assurance that we were not a PFIC in any prior taxable years and will not be a PFIC in the current taxable year or any future taxable year or that the IRS will not challenge our determination concerning our PFIC status.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720" w:right="0" w:hanging="0"/>
        <w:jc w:val="left"/>
        <w:rPr>
          <w:rFonts w:ascii="Times New Roman;Times;serif" w:hAnsi="Times New Roman;Times;serif"/>
          <w:i/>
          <w:sz w:val="20"/>
        </w:rPr>
      </w:pPr>
      <w:r>
        <w:rPr>
          <w:rFonts w:ascii="Times New Roman;Times;serif" w:hAnsi="Times New Roman;Times;serif"/>
          <w:i/>
          <w:sz w:val="20"/>
        </w:rPr>
        <w:t>U.S. Federal Income Tax Treatment of a Shareholder of a PFIC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are classified as a PFIC for any taxable year during which a U.S. Holder owns ordinary shares or ADSs, the U.S. Holder, absent certain elections (including a mark-to-market election and a QEF election as described below), will generally be subject to adverse rules (regardless of whether our company continues to be classified as a PFIC) with respect to (i) any “excess distributions” (generally, any distributions received by the U.S. Holder on the ordinary shares or ADSs in a taxable year that are greater than 125% of the average annual distributions received by the U.S. Holder in the three preceding taxable years or, if shorter, the U.S. Holder’s holding period for the ordinary shares or ADSs) and (ii) any gain realized on the sale or other disposition of ordinary shares or ADSs.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these rules (a) the excess distribution or gain will be allocated ratably over the U.S. Holder’s holding period, (b) the amount allocated to the current taxable year and any taxable year prior to the first taxable year in which our company is classified as a PFIC will be taxed as ordinary income, and (c) the amount allocated to each of the other taxable years during which our company was classified as a PFIC will be subject to tax at the highest rate of tax in effect for the applicable category of taxpayer for that year and an interest charge will be imposed with respect to the resulting tax attributable to each such other taxable year.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are a PFIC in any year with respect to a U.S. Holder, and any of our subsidiaries are also PFICs (“lower-tier PFICs”), such U.S. Holder will be treated as owning a proportionate share (by value) of the shares of the lower-tier PFICs for purposes of these rules. Non-corporate U.S. Holders will not be eligible for the reduced tax rate on any dividends received from us if we are a PFIC in the taxable year in which such dividends are paid or in the preceding taxable year.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are classified as a PFIC and then cease to be so classified, a U.S. Holder may make an election (a “deemed sale election”) to be treated for U.S. federal income tax purposes as having sold such U.S. Holder’s ordinary shares or ADSs on the last day of our taxable year during which we were a PFIC. After the deemed sale election, the ordinary shares or ADSs with respect to which the deemed sale election was made will not be treated as shares in a PFIC unless we subsequently become a PFIC. However, gain recognized as a result of making the deemed sale election would be subject to the adverse rules described above and loss would not be recognized.</w:t>
      </w:r>
    </w:p>
    <w:p>
      <w:pPr>
        <w:pStyle w:val="TextBody"/>
        <w:bidi w:val="0"/>
        <w:spacing w:before="0" w:after="240"/>
        <w:ind w:left="720" w:right="0" w:hanging="0"/>
        <w:jc w:val="both"/>
        <w:rPr>
          <w:rFonts w:ascii="Times New Roman;Times;serif" w:hAnsi="Times New Roman;Times;serif"/>
          <w:i/>
          <w:sz w:val="20"/>
        </w:rPr>
      </w:pPr>
      <w:r>
        <w:rPr>
          <w:rFonts w:ascii="Times New Roman;Times;serif" w:hAnsi="Times New Roman;Times;serif"/>
          <w:i/>
          <w:sz w:val="20"/>
        </w:rPr>
        <w:t>Mark-to-Market Election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certain circumstances, a U.S. Holder may be eligible to make a mark-to-market election with respect to its ordinary shares or ADSs if such ordinary shares or ADSs qualify as “marketable stock” under applicable U.S. federal income tax rules. For purposes of these rules, “marketable stock” is stock which is “regularly traded” (traded in greater than de minimis quantities on at least 15 days during each calendar quarter) on a “qualified exchange” or other market within the meaning of applicable U.S. Treasury regulations. A “qualified exchange” includes a national securities exchange that is registered with the SEC.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U.S. Holder that makes an effective mark-to-market election must include in gross income, as ordinary income, rather than capital gain, for each taxable year an amount equal to the excess, if any, of the fair market value of the ordinary shares or ADSs, as applicable, at the close of the taxable year over the U.S. Holder’s adjusted basis in the ordinary shares or ADSs.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 electing U.S. Holder may also claim an ordinary loss deduction for the excess, if any, of the U.S. Holder’s adjusted tax basis in such ordinary shares or ADSs over their fair market value at the close of the taxable year, but this deduction is allowable only to the extent of any net mark-to-market gains previously included in income pursuant to the mark-to-market election. The adjusted tax basis of a U.S. Holder’s ordinary shares or ADSs with respect to which the mark-to-market election applies would be adjusted to reflect amounts included in gross income or allowed as a deduction because of such election. If a U.S. Holder makes an effective mark-to-market election with respect to our ordinary shares or ADSs, gains from an actual sale or other disposition of such ordinary shares or ADSs in a year in which we are a PFIC would be treated as ordinary income, and any losses incurred on such sale or other disposition would be treated as ordinary losses to the extent of any net mark-to-market gains previously included in income.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are classified as a PFIC for any taxable year in which a U.S. Holder owns ordinary shares or ADSs but before a mark-to-market election is made, the adverse PFIC rules described above will apply to any mark-to-market gain recognized in the year the election is made. Otherwise, a mark-to-market election will be effective for the taxable year for which the election is made and all subsequent taxable years unless the ordinary shares or ADSs are no longer regularly traded on a qualified exchange or the IRS consents to the revocation of the election. Our ADSs are listed on the NASDAQ Global Select Market, which is a qualified exchange or other market for purposes of the mark-to-market election. Consequently, if the ADSs continue to be so listed, and are “regularly traded” for purposes of these rules (for which no assurance can be given) we expect that the mark-to-market election would be available to a U.S. Holder with respect to our ADSs.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mark-to-market election may not be available with respect to the shares of lower-tier PFICs that are treated as owned by you. Consequently, you could be subject to the PFIC rules with respect to income of the lower-tier PFICs the value of which already had been taken into account indirectly via mark-to-market adjustments. Prospective investors should consult their tax advisors regarding the availability of, and the procedure for, and the effect of making, a mark-to-market election, and whether making the election would be advisable, including in light of their particular circumstances.</w:t>
      </w:r>
    </w:p>
    <w:p>
      <w:pPr>
        <w:pStyle w:val="TextBody"/>
        <w:bidi w:val="0"/>
        <w:spacing w:before="0" w:after="240"/>
        <w:ind w:left="720" w:right="0" w:hanging="0"/>
        <w:jc w:val="both"/>
        <w:rPr/>
      </w:pPr>
      <w:r>
        <w:rPr/>
        <w:t>“</w:t>
      </w:r>
      <w:r>
        <w:rPr>
          <w:rFonts w:ascii="Times New Roman;Times;serif" w:hAnsi="Times New Roman;Times;serif"/>
          <w:i/>
          <w:sz w:val="20"/>
        </w:rPr>
        <w:t>QEF” Election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PFIC rules permit a holder of PFIC stock in certain circumstances to avoid some of the disadvantageous tax treatment described above by making a “qualified electing fund,” or QEF, election to be taxed currently on its share of the PFIC’s undistributed income. We do not, however, intend to provide the information regarding our income that the U.S. Holder would need to make a QEF election if we are classified as a PFIC.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are a PFIC in any year with respect to a U.S. Holder, such U.S. Holder generally will be required to file an annual information return on IRS Form 8621 regarding distributions received on our ordinary shares or ADSs and any gain realized on the disposition of our ordinary shares or ADSs, and certain U.S. Holders will be required to file an annual information return (also on IRS Form 8621) relating to their ownership of our ordinary shares or ADSs.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U.S. Holders should consult their tax advisors regarding the potential application of the PFIC regime, including eligibility for and the manner and advisability of making a mark-to-market election and related reporting requirements.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 ASSURANCE CAN BE GIVEN THAT WE HAVE NOT BEEN A PFIC, ARE NOT CURRENTLY A PFIC OR THAT WE WILL NOT BECOME A PFIC IN THE FUTURE. U.S. HOLDERS SHOULD CONSULT THEIR OWN TAX ADVISORS WITH RESPECT TO THE OPERATION OF THE PFIC RULES AND RELATED REPORTING REQUIREMENTS IN LIGHT OF THEIR PARTICULAR CIRCUMSTANCES, INCLUDING THE ADVISABILITY AND EFFECTS OF MAKING ANY ELECTION THAT MAY BE AVAILABLE.</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Information Reporting and Backup Withholding; Specified Foreign Financial Assets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proceeds of a sale or other disposition, as well as dividends paid with respect to ordinary shares or ADSs by a United States payor (including any payments received from a U.S. financial intermediary), generally will be reported to the IRS and to the U.S. Holder as required under applicable regulations. Backup withholding tax (currently at a rate of 24%) may apply to these payments if the U.S. Holder is not otherwise exempt and:</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fails to furnish the holder’s taxpayer identification number, which for an individual is generally his or her social security number;</w:t>
            </w:r>
          </w:p>
        </w:tc>
      </w:tr>
    </w:tbl>
    <w:tbl>
      <w:tblPr>
        <w:tblW w:w="5766" w:type="dxa"/>
        <w:jc w:val="left"/>
        <w:tblInd w:w="0" w:type="dxa"/>
        <w:tblLayout w:type="fixed"/>
        <w:tblCellMar>
          <w:top w:w="28" w:type="dxa"/>
          <w:left w:w="28" w:type="dxa"/>
          <w:bottom w:w="28" w:type="dxa"/>
          <w:right w:w="28" w:type="dxa"/>
        </w:tblCellMar>
      </w:tblPr>
      <w:tblGrid>
        <w:gridCol w:w="124"/>
        <w:gridCol w:w="256"/>
        <w:gridCol w:w="5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furnishes an incorrect taxpayer identification number;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withholding agent is notified by the IRS that the holder previously failed to properly report payments of interest or dividends;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fails to certify under penalties of perjury that the holder has furnished a correct taxpayer identification number and that the IRS has not notified the holder that the holder is subject to backup withholding.</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Backup withholding is not an additional tax. Amounts withheld as backup withholding may be credited against a U.S. Holder’s U.S. federal income tax liability (if any) or refunded provided the required information is furnished to the IRS in a timely manner. U.S. Holders should consult their tax advisors as to their qualification for exemption from backup withholding tax and the procedure for establishing an exemption.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Certain U.S. Holders of specified foreign financial assets with an aggregate value in excess of the applicable dollar threshold are required to report information relating to their holding of stock or securities issued by a non-U.S. person (such as our company), subject to certain exceptions (including an exception for shares held in accounts maintained by certain financial institutions) with their tax return for each year in which they hold such stock or securities. U.S. Holders should consult their tax advisors regarding the information reporting obligations that may arise from their acquisition, ownership or disposition of our ordinary shares or ADSs.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ABOVE DISCUSSION DOES NOT COVER ALL TAX MATTERS THAT MAY BE OF IMPORTANCE TO A PARTICULAR INVESTOR. PROSPECTIVE INVESTORS ARE STRONGLY URGED TO CONSULT THEIR TAX ADVISORS ABOUT THE TAX CONSEQUENCES OF AN INVESTMENT IN OUR ORDINARY SHARES OR ADSs.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Enforcement of Civil Liabilities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an exempted company incorporated in the Cayman Islands because of the following benefits found there:</w:t>
      </w:r>
    </w:p>
    <w:tbl>
      <w:tblPr>
        <w:tblW w:w="3186" w:type="dxa"/>
        <w:jc w:val="left"/>
        <w:tblInd w:w="0" w:type="dxa"/>
        <w:tblLayout w:type="fixed"/>
        <w:tblCellMar>
          <w:top w:w="28" w:type="dxa"/>
          <w:left w:w="28" w:type="dxa"/>
          <w:bottom w:w="28" w:type="dxa"/>
          <w:right w:w="28" w:type="dxa"/>
        </w:tblCellMar>
      </w:tblPr>
      <w:tblGrid>
        <w:gridCol w:w="124"/>
        <w:gridCol w:w="256"/>
        <w:gridCol w:w="2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political and economic stability;</w:t>
            </w:r>
          </w:p>
        </w:tc>
      </w:tr>
    </w:tbl>
    <w:tbl>
      <w:tblPr>
        <w:tblW w:w="2811" w:type="dxa"/>
        <w:jc w:val="left"/>
        <w:tblInd w:w="0" w:type="dxa"/>
        <w:tblLayout w:type="fixed"/>
        <w:tblCellMar>
          <w:top w:w="28" w:type="dxa"/>
          <w:left w:w="28" w:type="dxa"/>
          <w:bottom w:w="28" w:type="dxa"/>
          <w:right w:w="28" w:type="dxa"/>
        </w:tblCellMar>
      </w:tblPr>
      <w:tblGrid>
        <w:gridCol w:w="124"/>
        <w:gridCol w:w="256"/>
        <w:gridCol w:w="24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effective judicial system;</w:t>
            </w:r>
          </w:p>
        </w:tc>
      </w:tr>
    </w:tbl>
    <w:tbl>
      <w:tblPr>
        <w:tblW w:w="2391" w:type="dxa"/>
        <w:jc w:val="left"/>
        <w:tblInd w:w="0" w:type="dxa"/>
        <w:tblLayout w:type="fixed"/>
        <w:tblCellMar>
          <w:top w:w="28" w:type="dxa"/>
          <w:left w:w="28" w:type="dxa"/>
          <w:bottom w:w="28" w:type="dxa"/>
          <w:right w:w="28" w:type="dxa"/>
        </w:tblCellMar>
      </w:tblPr>
      <w:tblGrid>
        <w:gridCol w:w="124"/>
        <w:gridCol w:w="256"/>
        <w:gridCol w:w="20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favorable tax system;</w:t>
            </w:r>
          </w:p>
        </w:tc>
      </w:tr>
    </w:tbl>
    <w:tbl>
      <w:tblPr>
        <w:tblW w:w="5451" w:type="dxa"/>
        <w:jc w:val="left"/>
        <w:tblInd w:w="0" w:type="dxa"/>
        <w:tblLayout w:type="fixed"/>
        <w:tblCellMar>
          <w:top w:w="28" w:type="dxa"/>
          <w:left w:w="28" w:type="dxa"/>
          <w:bottom w:w="28" w:type="dxa"/>
          <w:right w:w="28" w:type="dxa"/>
        </w:tblCellMar>
      </w:tblPr>
      <w:tblGrid>
        <w:gridCol w:w="124"/>
        <w:gridCol w:w="256"/>
        <w:gridCol w:w="5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absence of exchange control or currency restrictions; and</w:t>
            </w:r>
          </w:p>
        </w:tc>
      </w:tr>
    </w:tbl>
    <w:tbl>
      <w:tblPr>
        <w:tblW w:w="4761" w:type="dxa"/>
        <w:jc w:val="left"/>
        <w:tblInd w:w="0" w:type="dxa"/>
        <w:tblLayout w:type="fixed"/>
        <w:tblCellMar>
          <w:top w:w="28" w:type="dxa"/>
          <w:left w:w="28" w:type="dxa"/>
          <w:bottom w:w="28" w:type="dxa"/>
          <w:right w:w="28" w:type="dxa"/>
        </w:tblCellMar>
      </w:tblPr>
      <w:tblGrid>
        <w:gridCol w:w="124"/>
        <w:gridCol w:w="256"/>
        <w:gridCol w:w="43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professional and support services.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However, certain disadvantages accompany incorporation in the Cayman Islands. These disadvantages include, but are not limited to,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has a less developed body of securities laws as compared to the United States and provides significantly less protection to investors; and</w:t>
            </w:r>
          </w:p>
        </w:tc>
      </w:tr>
    </w:tbl>
    <w:tbl>
      <w:tblPr>
        <w:tblW w:w="8826" w:type="dxa"/>
        <w:jc w:val="left"/>
        <w:tblInd w:w="0" w:type="dxa"/>
        <w:tblLayout w:type="fixed"/>
        <w:tblCellMar>
          <w:top w:w="28" w:type="dxa"/>
          <w:left w:w="28" w:type="dxa"/>
          <w:bottom w:w="28" w:type="dxa"/>
          <w:right w:w="28" w:type="dxa"/>
        </w:tblCellMar>
      </w:tblPr>
      <w:tblGrid>
        <w:gridCol w:w="124"/>
        <w:gridCol w:w="256"/>
        <w:gridCol w:w="84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companies may not have standing to sue before the federal courts of the United States.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constitutional documents do not contain provisions requiring that disputes, including those arising under the securities laws of the United States, between us, our officers, directors and shareholders be arbitrated.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substantial portion of our current operations is conducted in China through our wholly-owned subsidiaries which are incorporated in China, Hong Kong, the BVI or the Cayman Islands. All or most of our assets are located in China. A majority of our directors and officers are nationals or residents of jurisdictions other than the United States and a substantial portion of their assets are located outside the United States.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Maples and Calder (Hong Kong) LLP, our counsel as to Cayman Islands law, and Zhong Lun Lawyers, our counsel as to Chinese law, have advised us, respectively, that there is uncertainty as to whether the courts of the Cayman Islands or China would: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(1)recognize or enforce judgments of United States courts obtained against us or our directors or officers predicated upon the civil liability provisions of the securities laws of the United States or any state in the United States; or</w:t>
      </w:r>
    </w:p>
    <w:p>
      <w:pPr>
        <w:pStyle w:val="TextBody"/>
        <w:bidi w:val="0"/>
        <w:ind w:left="0" w:right="0" w:hanging="0"/>
        <w:jc w:val="both"/>
        <w:rPr>
          <w:rFonts w:ascii="Times New Roman;Times;serif" w:hAnsi="Times New Roman;Times;serif"/>
          <w:sz w:val="20"/>
        </w:rPr>
      </w:pPr>
      <w:r>
        <w:rPr>
          <w:rFonts w:ascii="Times New Roman;Times;serif" w:hAnsi="Times New Roman;Times;serif"/>
          <w:sz w:val="20"/>
        </w:rPr>
        <w:t>(2)entertain original actions brought in the Cayman Islands or China against us or our directors or officers predicated upon the securities laws of the United States or any state in the United States.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Maples and Calder (Hong Kong) LLP has further advised us that there is uncertainty under Cayman Islands law with regard to whether a judgment obtained from the United States courts under the civil liability provisions of the securities laws will be determined by the courts of the Cayman Islands as penal or punitive in nature. If such a determination is made, the courts of the Cayman Islands will not recognize or enforce the judgment against a Cayman company. Because the courts of the Cayman Islands have yet to rule on whether such judgments are penal or punitive in nature, it is uncertain whether they would be enforceable in the Cayman Islands. Maples and Calder (Hong Kong) LLP has advised us that although there is no statutory enforcement in the Cayman Islands of judgments obtained in the federal or state courts of the United States, a judgment obtained in a foreign court of competent jurisdiction will be recognized and enforced in the courts of the Cayman Islands at common law, without any re-examination of the merits of the underlying dispute, by an action commenced on the foreign judgment debt in the Grand Court of the Cayman Islands, provided that such judgment: (a) is given by a foreign court of competent jurisdiction; (b) imposes on the judgment debtor a liability to pay a liquidated sum for which the judgment has been given; (c) is final; (d) is not in respect of taxes, a fine or a penalty; and (e) was not obtained in a manner and is not of a kind the enforcement of which is contrary to natural justice or the public policy of the Cayman Islands.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Zhong Lun Lawyers has advised us further that the recognition and enforcement of foreign judgments are provided for under Chinese Civil Procedures Law. Chinese courts may recognize and enforce foreign judgments in accordance with the requirements of Chinese Civil Procedures Law based either on treaties between China and the country where the judgment is made or on reciprocity between jurisdictions.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F.           Dividends and Paying Agents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G.           Statement by Experts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H.           Documents on Display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subject to the periodic reporting and other informational requirements of the Exchange Act. Under the Exchange Act, we are required to file reports and other information with the SEC. The SEC maintains a website that contains reports, proxy and information statements, and other information regarding issuers that file electronically with the SEC, including us, at http://www.sec.gov. Our corporate website can be accessed at http://ir.netease.com. The information on our website is not part of this annual report.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foreign private issuer, we are exempt from the rules under the Exchange Act prescribing the furnishing and content of quarterly reports and proxy statements, and officers, directors and principal shareholders are exempt from the reporting and short-swing profit recovery provisions contained in Section 16 of the Exchange Act.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financial statements have been prepared in accordance with U.S. GAAP.</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accordance with NASDAQ Marketplace Rule 5250(d)(1), we will post this annual report on Form 20-F on our website at http://ir.netease.com under the heading “Annual Reports.” In addition, we will provide hardcopies of our annual report free of charge to shareholders and ADS holders upon request.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            Subsidiary Information</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firstLine="72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J.</w:t>
      </w:r>
      <w:r>
        <w:rPr>
          <w:rFonts w:ascii="Times New Roman;Times;serif" w:hAnsi="Times New Roman;Times;serif"/>
          <w:sz w:val="20"/>
        </w:rPr>
        <w:t xml:space="preserve">             </w:t>
      </w:r>
      <w:r>
        <w:rPr>
          <w:rFonts w:ascii="Times New Roman;Times;serif" w:hAnsi="Times New Roman;Times;serif"/>
          <w:b/>
          <w:sz w:val="20"/>
        </w:rPr>
        <w:t>Annual Report to Security Holders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86" w:name="Item11QuantitativeandQualitativeDisclosu"/>
      <w:bookmarkStart w:id="87" w:name="_91edbeab_55f4_49c5_a728_aecea9a721c4"/>
      <w:bookmarkEnd w:id="86"/>
      <w:bookmarkEnd w:id="87"/>
      <w:r>
        <w:rPr>
          <w:rFonts w:ascii="Times New Roman;Times;serif" w:hAnsi="Times New Roman;Times;serif"/>
          <w:b/>
          <w:sz w:val="20"/>
        </w:rPr>
        <w:t>Item 11. Quantitative and Qualitative Disclosures About Market Risk</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Interest Rate Risk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exposure to market rate risk for changes in interest rates relates primarily to the interest income generated by excess cash invested in financial products issued by commercial banks in China, as well as interest expenses payable on our short-term and long-term bank borrowings. All of our short-term bank borrowings as of December 31, 2023 were at fixed rates.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Interest instruments carry a degree of interest rate risk. We have not been exposed nor do we anticipate being exposed to material risks due to changes in interest rates. However, our future net interest income may fall short of expectations due to changes in interest rates. Based on our interest instruments as of December 31, 2023, a 10% change in the interest rate would result in an increase or decrease of RMB412.0 million (US$58.0 million) of our total amount of net interest income or of RMB41.4 million (US$5.8 million) of our total amount of investment income from short-term investments in 2023.</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Foreign Currency Risk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significant majority of our revenues and expenses are denominated in Renminbi, but as noted above, a certain portion of our cash is also kept in U.S. dollars as well as various other currencies. Although we believe that, in general, our exposure to foreign exchange risks should be limited, the value of our ADSs will be affected by the foreign exchange rate between U.S. dollars, other foreign currencies and Renminbi. For example, to the extent that we need to convert U.S. dollars and other foreign currencies into Renminbi for our operational needs and the Renminbi appreciates against the U.S. dollars and other foreign currencies at that time, our financial position and the price of our ADSs may be adversely affected. Conversely, if we decide to convert our Renminbi into U.S. dollars for the purpose of declaring dividends on our ADSs or otherwise and the U.S. dollar or other foreign currencies appreciates against the Renminbi, the U.S. dollar equivalent of our earnings from our subsidiaries and controlled entities in China would be reduced.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conversion of Renminbi into foreign currencies, including U.S. dollars, is based on rates set by the PBOC. The PRC government allowed the Renminbi to appreciate by more than 20% against the U.S. dollar between July 2005 and July 2008. Between July 2008 and June 2010, this appreciation halted and the exchange rate between the Renminbi and the U.S. dollar remained within a narrow band. Since June 2010, Renminbi has fluctuated against the U.S. dollar, at certain times significantly and unpredictably. With the development of the foreign exchange market progressing towards interest rate liberalization and Renminbi internationalization and economic uncertainties in both China and the world, the PRC government may in the future announce further changes to the exchange rate system and we cannot assure you that the Renminbi will not appreciate or depreciate significantly in value against the U.S. dollar in the future. It is difficult to predict how market forces or PRC or U.S. government policy may impact the exchange rate between the Renminbi and the U.S. dollar in the future.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translate our monetary assets and liabilities which are denominated in currencies other than Renminbi into Renminbi as of each accounting period end, in accordance with applicable accounting standards. As a result of this foreign currency translation, we reported net foreign exchange losses of RMB133.0 million (US$18.7 million) in 2023, compared to net foreign exchange gains of RMB1.6 billion in 2022. To date, we have not entered into any hedging transactions in an effort to reduce our exposure to foreign currency exchange risk. While we may decide to enter into hedging transactions in the future, the effectiveness of these hedges may be limited and we may not be able to successfully hedge our exposure. Accordingly, we may incur economic losses in the future due to foreign exchange rate fluctuations, which could have a negative impact on our financial condition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December 31, 2023, we had U.S. dollar-denominated debt outstanding of US$930.0 million. If the U.S. dollar had appreciated/depreciated by 10% against the Renminbi, our U.S. dollar-denominated debt as of December 31, 2023 would have increased/decreased by RMB660.3 million in Renminbi terms.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December 31, 2023, we had U.S. dollar-denominated cash and cash equivalents and time deposits of US$10.2 billion. If the U.S. dollar had appreciated/depreciated by 10% against the Renminbi, our U.S. dollar-denominated cash and cash equivalents and time deposits as of December 31, 2023 would have increased/decreased by RMB7.2 billion in Renminbi terms.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8" w:name="Item12DescriptionofSecuritiesOtherthanEq"/>
      <w:bookmarkStart w:id="89" w:name="_43637f89_9058_4f6c_afaf_13e79dc91d64"/>
      <w:bookmarkEnd w:id="88"/>
      <w:bookmarkEnd w:id="89"/>
      <w:r>
        <w:rPr>
          <w:rFonts w:ascii="Times New Roman;Times;serif" w:hAnsi="Times New Roman;Times;serif"/>
          <w:b/>
          <w:sz w:val="20"/>
        </w:rPr>
        <w:t>Item 12. Description of Securities Other than Equity Securities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           Debt Securities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           Warrants and Rights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           Other Securities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           American Depositary Shares</w:t>
      </w:r>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Our ADSs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ADSs representing our ordinary shares trade on Nasdaq. Dealings in our ADSs on Nasdaq are conducted in U.S. dollars.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ADSs may be held either:</w:t>
      </w:r>
    </w:p>
    <w:tbl>
      <w:tblPr>
        <w:tblW w:w="10205" w:type="dxa"/>
        <w:jc w:val="left"/>
        <w:tblInd w:w="0" w:type="dxa"/>
        <w:tblLayout w:type="fixed"/>
        <w:tblCellMar>
          <w:top w:w="28" w:type="dxa"/>
          <w:left w:w="28" w:type="dxa"/>
          <w:bottom w:w="28" w:type="dxa"/>
          <w:right w:w="28" w:type="dxa"/>
        </w:tblCellMar>
      </w:tblPr>
      <w:tblGrid>
        <w:gridCol w:w="124"/>
        <w:gridCol w:w="283"/>
        <w:gridCol w:w="9798"/>
      </w:tblGrid>
      <w:tr>
        <w:trPr/>
        <w:tc>
          <w:tcPr>
            <w:tcW w:w="124" w:type="dxa"/>
            <w:tcBorders/>
            <w:vAlign w:val="center"/>
          </w:tcPr>
          <w:p>
            <w:pPr>
              <w:pStyle w:val="TableContents"/>
              <w:bidi w:val="0"/>
              <w:spacing w:before="0" w:after="283"/>
              <w:jc w:val="left"/>
              <w:rPr>
                <w:sz w:val="4"/>
                <w:szCs w:val="4"/>
              </w:rPr>
            </w:pPr>
            <w:r>
              <w:rPr>
                <w:sz w:val="4"/>
                <w:szCs w:val="4"/>
              </w:rPr>
            </w:r>
          </w:p>
        </w:tc>
        <w:tc>
          <w:tcPr>
            <w:tcW w:w="28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79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directly: (i) by having an American Depositary Receipt, also referred to as an ADR, which is a certificate evidencing a specific number of ADSs registered in the holder’s name; or (ii) by having uncertificated ADSs registered in the holder’s name; or</w:t>
            </w:r>
          </w:p>
        </w:tc>
      </w:tr>
    </w:tbl>
    <w:tbl>
      <w:tblPr>
        <w:tblW w:w="10205" w:type="dxa"/>
        <w:jc w:val="left"/>
        <w:tblInd w:w="0" w:type="dxa"/>
        <w:tblLayout w:type="fixed"/>
        <w:tblCellMar>
          <w:top w:w="28" w:type="dxa"/>
          <w:left w:w="28" w:type="dxa"/>
          <w:bottom w:w="28" w:type="dxa"/>
          <w:right w:w="28" w:type="dxa"/>
        </w:tblCellMar>
      </w:tblPr>
      <w:tblGrid>
        <w:gridCol w:w="124"/>
        <w:gridCol w:w="307"/>
        <w:gridCol w:w="9774"/>
      </w:tblGrid>
      <w:tr>
        <w:trPr/>
        <w:tc>
          <w:tcPr>
            <w:tcW w:w="124" w:type="dxa"/>
            <w:tcBorders/>
            <w:vAlign w:val="center"/>
          </w:tcPr>
          <w:p>
            <w:pPr>
              <w:pStyle w:val="TableContents"/>
              <w:bidi w:val="0"/>
              <w:spacing w:before="0" w:after="283"/>
              <w:jc w:val="left"/>
              <w:rPr>
                <w:sz w:val="4"/>
                <w:szCs w:val="4"/>
              </w:rPr>
            </w:pPr>
            <w:r>
              <w:rPr>
                <w:sz w:val="4"/>
                <w:szCs w:val="4"/>
              </w:rPr>
            </w:r>
          </w:p>
        </w:tc>
        <w:tc>
          <w:tcPr>
            <w:tcW w:w="30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77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indirectly, by holding a security entitlement in ADSs through a broker or other financial institution that is a direct or indirect participant in The Depository Trust Company, also called DTC.</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depositary for our ADSs is The Bank of New York Mellon, whose office is located at 240 Greenwich Street, New York, New York 10286, United States.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720" w:right="0" w:hanging="0"/>
        <w:jc w:val="left"/>
        <w:rPr>
          <w:rFonts w:ascii="Times New Roman;Times;serif" w:hAnsi="Times New Roman;Times;serif"/>
          <w:i/>
          <w:sz w:val="20"/>
        </w:rPr>
      </w:pPr>
      <w:r>
        <w:rPr>
          <w:rFonts w:ascii="Times New Roman;Times;serif" w:hAnsi="Times New Roman;Times;serif"/>
          <w:i/>
          <w:sz w:val="20"/>
        </w:rPr>
        <w:t>Fees and charges our ADS holders may have to pay</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Bank of New York Mellon collects its fees for delivery and surrender of ADSs directly from investors depositing ordinary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refuse to provide fee-attracting services until its fees for those services are paid.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454"/>
        <w:gridCol w:w="326"/>
        <w:gridCol w:w="1883"/>
        <w:gridCol w:w="2542"/>
      </w:tblGrid>
      <w:tr>
        <w:trPr/>
        <w:tc>
          <w:tcPr>
            <w:tcW w:w="5454"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07010" cy="175260"/>
                      <wp:effectExtent l="0" t="0" r="0" b="0"/>
                      <wp:wrapNone/>
                      <wp:docPr id="262" name="Frame2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25"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5454"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Persons depositing or withdrawing shares or ADS holders must pay:</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4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w:t>
            </w:r>
          </w:p>
        </w:tc>
      </w:tr>
      <w:tr>
        <w:trPr/>
        <w:tc>
          <w:tcPr>
            <w:tcW w:w="545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425" w:type="dxa"/>
            <w:gridSpan w:val="2"/>
            <w:tcBorders/>
            <w:vAlign w:val="center"/>
          </w:tcPr>
          <w:p>
            <w:pPr>
              <w:pStyle w:val="TableContents"/>
              <w:bidi w:val="0"/>
              <w:spacing w:before="0" w:after="0"/>
              <w:ind w:left="0" w:right="0" w:hanging="0"/>
              <w:jc w:val="left"/>
              <w:rPr/>
            </w:pPr>
            <w:r>
              <w:rPr/>
              <w:t>​</w:t>
            </w:r>
          </w:p>
        </w:tc>
      </w:tr>
      <w:tr>
        <w:trPr/>
        <w:tc>
          <w:tcPr>
            <w:tcW w:w="5454"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US$5.00 or less per 100 ADSs (or portion of 100 ADSs)</w:t>
            </w:r>
          </w:p>
        </w:tc>
        <w:tc>
          <w:tcPr>
            <w:tcW w:w="326" w:type="dxa"/>
            <w:tcBorders/>
            <w:vAlign w:val="center"/>
          </w:tcPr>
          <w:p>
            <w:pPr>
              <w:pStyle w:val="TableContents"/>
              <w:bidi w:val="0"/>
              <w:spacing w:before="0" w:after="0"/>
              <w:ind w:left="0" w:right="0" w:hanging="0"/>
              <w:jc w:val="left"/>
              <w:rPr/>
            </w:pPr>
            <w:r>
              <w:rPr/>
              <w:t>​</w:t>
            </w:r>
          </w:p>
        </w:tc>
        <w:tc>
          <w:tcPr>
            <w:tcW w:w="4425" w:type="dxa"/>
            <w:gridSpan w:val="2"/>
            <w:tcBorders/>
            <w:vAlign w:val="center"/>
          </w:tcPr>
          <w:p>
            <w:pPr>
              <w:pStyle w:val="TableContents"/>
              <w:bidi w:val="0"/>
              <w:spacing w:before="0" w:after="0"/>
              <w:jc w:val="both"/>
              <w:rPr/>
            </w:pPr>
            <w:r>
              <w:rPr/>
              <w:t>●</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ADSs, including issuances resulting from a distribution of ordinary shares or rights or other property</w:t>
            </w:r>
          </w:p>
        </w:tc>
      </w:tr>
      <w:tr>
        <w:trPr/>
        <w:tc>
          <w:tcPr>
            <w:tcW w:w="5454"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left"/>
              <w:rPr/>
            </w:pPr>
            <w:r>
              <w:rPr/>
              <w:t>​</w:t>
            </w:r>
          </w:p>
        </w:tc>
        <w:tc>
          <w:tcPr>
            <w:tcW w:w="4425" w:type="dxa"/>
            <w:gridSpan w:val="2"/>
            <w:tcBorders/>
            <w:vAlign w:val="center"/>
          </w:tcPr>
          <w:p>
            <w:pPr>
              <w:pStyle w:val="TableContents"/>
              <w:bidi w:val="0"/>
              <w:spacing w:before="0" w:after="0"/>
              <w:ind w:left="0" w:right="0" w:hanging="0"/>
              <w:jc w:val="both"/>
              <w:rPr/>
            </w:pPr>
            <w:r>
              <w:rPr/>
              <w:t>​</w:t>
            </w:r>
          </w:p>
        </w:tc>
      </w:tr>
      <w:tr>
        <w:trPr/>
        <w:tc>
          <w:tcPr>
            <w:tcW w:w="5454"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left"/>
              <w:rPr/>
            </w:pPr>
            <w:r>
              <w:rPr/>
              <w:t>​</w:t>
            </w:r>
          </w:p>
        </w:tc>
        <w:tc>
          <w:tcPr>
            <w:tcW w:w="4425" w:type="dxa"/>
            <w:gridSpan w:val="2"/>
            <w:tcBorders/>
            <w:vAlign w:val="center"/>
          </w:tcPr>
          <w:p>
            <w:pPr>
              <w:pStyle w:val="TableContents"/>
              <w:bidi w:val="0"/>
              <w:spacing w:before="0" w:after="0"/>
              <w:jc w:val="both"/>
              <w:rPr/>
            </w:pPr>
            <w:r>
              <w:rPr/>
              <w:t>●</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Cancellation of ADSs for the purpose of withdrawal, including if the deposit agreement terminates</w:t>
            </w:r>
          </w:p>
        </w:tc>
      </w:tr>
      <w:tr>
        <w:trPr/>
        <w:tc>
          <w:tcPr>
            <w:tcW w:w="5454"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left"/>
              <w:rPr/>
            </w:pPr>
            <w:r>
              <w:rPr/>
              <w:t>​</w:t>
            </w:r>
          </w:p>
        </w:tc>
        <w:tc>
          <w:tcPr>
            <w:tcW w:w="4425" w:type="dxa"/>
            <w:gridSpan w:val="2"/>
            <w:tcBorders/>
            <w:vAlign w:val="center"/>
          </w:tcPr>
          <w:p>
            <w:pPr>
              <w:pStyle w:val="TableContents"/>
              <w:bidi w:val="0"/>
              <w:spacing w:before="0" w:after="0"/>
              <w:ind w:left="0" w:right="0" w:hanging="0"/>
              <w:jc w:val="both"/>
              <w:rPr/>
            </w:pPr>
            <w:r>
              <w:rPr/>
              <w:t>​</w:t>
            </w:r>
          </w:p>
        </w:tc>
      </w:tr>
      <w:tr>
        <w:trPr/>
        <w:tc>
          <w:tcPr>
            <w:tcW w:w="5454"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US$0.02 or less per ADS </w:t>
            </w:r>
          </w:p>
        </w:tc>
        <w:tc>
          <w:tcPr>
            <w:tcW w:w="326" w:type="dxa"/>
            <w:tcBorders/>
            <w:vAlign w:val="center"/>
          </w:tcPr>
          <w:p>
            <w:pPr>
              <w:pStyle w:val="TableContents"/>
              <w:bidi w:val="0"/>
              <w:spacing w:before="0" w:after="0"/>
              <w:ind w:left="0" w:right="0" w:hanging="0"/>
              <w:jc w:val="left"/>
              <w:rPr/>
            </w:pPr>
            <w:r>
              <w:rPr/>
              <w:t>​</w:t>
            </w:r>
          </w:p>
        </w:tc>
        <w:tc>
          <w:tcPr>
            <w:tcW w:w="4425" w:type="dxa"/>
            <w:gridSpan w:val="2"/>
            <w:tcBorders/>
            <w:vAlign w:val="center"/>
          </w:tcPr>
          <w:p>
            <w:pPr>
              <w:pStyle w:val="TableContents"/>
              <w:bidi w:val="0"/>
              <w:spacing w:before="0" w:after="0"/>
              <w:jc w:val="both"/>
              <w:rPr/>
            </w:pPr>
            <w:r>
              <w:rPr/>
              <w:t>●</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dividend or any cash distribution to ADS holders</w:t>
            </w:r>
          </w:p>
        </w:tc>
      </w:tr>
      <w:tr>
        <w:trPr/>
        <w:tc>
          <w:tcPr>
            <w:tcW w:w="5454"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left"/>
              <w:rPr/>
            </w:pPr>
            <w:r>
              <w:rPr/>
              <w:t>​</w:t>
            </w:r>
          </w:p>
        </w:tc>
        <w:tc>
          <w:tcPr>
            <w:tcW w:w="4425" w:type="dxa"/>
            <w:gridSpan w:val="2"/>
            <w:tcBorders/>
            <w:vAlign w:val="center"/>
          </w:tcPr>
          <w:p>
            <w:pPr>
              <w:pStyle w:val="TableContents"/>
              <w:bidi w:val="0"/>
              <w:spacing w:before="0" w:after="0"/>
              <w:ind w:left="0" w:right="0" w:hanging="0"/>
              <w:jc w:val="both"/>
              <w:rPr/>
            </w:pPr>
            <w:r>
              <w:rPr/>
              <w:t>​</w:t>
            </w:r>
          </w:p>
        </w:tc>
      </w:tr>
      <w:tr>
        <w:trPr/>
        <w:tc>
          <w:tcPr>
            <w:tcW w:w="545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fee equivalent to the fee that would be payable if securities distributed to you had been shares and the shares had been deposited for issuance of ADSs</w:t>
            </w:r>
          </w:p>
        </w:tc>
        <w:tc>
          <w:tcPr>
            <w:tcW w:w="326" w:type="dxa"/>
            <w:tcBorders/>
            <w:vAlign w:val="center"/>
          </w:tcPr>
          <w:p>
            <w:pPr>
              <w:pStyle w:val="TableContents"/>
              <w:bidi w:val="0"/>
              <w:spacing w:before="0" w:after="0"/>
              <w:ind w:left="0" w:right="0" w:hanging="0"/>
              <w:jc w:val="left"/>
              <w:rPr/>
            </w:pPr>
            <w:r>
              <w:rPr/>
              <w:t>​</w:t>
            </w:r>
          </w:p>
        </w:tc>
        <w:tc>
          <w:tcPr>
            <w:tcW w:w="4425" w:type="dxa"/>
            <w:gridSpan w:val="2"/>
            <w:tcBorders/>
            <w:vAlign w:val="center"/>
          </w:tcPr>
          <w:p>
            <w:pPr>
              <w:pStyle w:val="TableContents"/>
              <w:bidi w:val="0"/>
              <w:spacing w:before="0" w:after="0"/>
              <w:jc w:val="both"/>
              <w:rPr/>
            </w:pPr>
            <w:r>
              <w:rPr/>
              <w:t>●</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 of securities distributed to holders of deposited securities (including rights) that are distributed by the depositary to ADS holders</w:t>
            </w:r>
          </w:p>
        </w:tc>
      </w:tr>
      <w:tr>
        <w:trPr/>
        <w:tc>
          <w:tcPr>
            <w:tcW w:w="5454"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left"/>
              <w:rPr/>
            </w:pPr>
            <w:r>
              <w:rPr/>
              <w:t>​</w:t>
            </w:r>
          </w:p>
        </w:tc>
        <w:tc>
          <w:tcPr>
            <w:tcW w:w="4425" w:type="dxa"/>
            <w:gridSpan w:val="2"/>
            <w:tcBorders/>
            <w:vAlign w:val="center"/>
          </w:tcPr>
          <w:p>
            <w:pPr>
              <w:pStyle w:val="TableContents"/>
              <w:bidi w:val="0"/>
              <w:spacing w:before="0" w:after="0"/>
              <w:ind w:left="0" w:right="0" w:hanging="0"/>
              <w:jc w:val="both"/>
              <w:rPr/>
            </w:pPr>
            <w:r>
              <w:rPr/>
              <w:t>​</w:t>
            </w:r>
          </w:p>
        </w:tc>
      </w:tr>
      <w:tr>
        <w:trPr/>
        <w:tc>
          <w:tcPr>
            <w:tcW w:w="5454"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US$1.50 or less per certificate presented for transfer</w:t>
            </w:r>
          </w:p>
        </w:tc>
        <w:tc>
          <w:tcPr>
            <w:tcW w:w="326" w:type="dxa"/>
            <w:tcBorders/>
            <w:vAlign w:val="center"/>
          </w:tcPr>
          <w:p>
            <w:pPr>
              <w:pStyle w:val="TableContents"/>
              <w:bidi w:val="0"/>
              <w:spacing w:before="0" w:after="0"/>
              <w:ind w:left="0" w:right="0" w:hanging="0"/>
              <w:jc w:val="left"/>
              <w:rPr/>
            </w:pPr>
            <w:r>
              <w:rPr/>
              <w:t>​</w:t>
            </w:r>
          </w:p>
        </w:tc>
        <w:tc>
          <w:tcPr>
            <w:tcW w:w="4425" w:type="dxa"/>
            <w:gridSpan w:val="2"/>
            <w:tcBorders/>
            <w:vAlign w:val="center"/>
          </w:tcPr>
          <w:p>
            <w:pPr>
              <w:pStyle w:val="TableContents"/>
              <w:bidi w:val="0"/>
              <w:spacing w:before="0" w:after="0"/>
              <w:jc w:val="both"/>
              <w:rPr/>
            </w:pPr>
            <w:r>
              <w:rPr/>
              <w:t>●</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of American depositary receipts, or ADRs</w:t>
            </w:r>
          </w:p>
        </w:tc>
      </w:tr>
      <w:tr>
        <w:trPr/>
        <w:tc>
          <w:tcPr>
            <w:tcW w:w="5454"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left"/>
              <w:rPr/>
            </w:pPr>
            <w:r>
              <w:rPr/>
              <w:t>​</w:t>
            </w:r>
          </w:p>
        </w:tc>
        <w:tc>
          <w:tcPr>
            <w:tcW w:w="4425" w:type="dxa"/>
            <w:gridSpan w:val="2"/>
            <w:tcBorders/>
            <w:vAlign w:val="center"/>
          </w:tcPr>
          <w:p>
            <w:pPr>
              <w:pStyle w:val="TableContents"/>
              <w:bidi w:val="0"/>
              <w:spacing w:before="0" w:after="0"/>
              <w:ind w:left="0" w:right="0" w:hanging="0"/>
              <w:jc w:val="both"/>
              <w:rPr/>
            </w:pPr>
            <w:r>
              <w:rPr/>
              <w:t>​</w:t>
            </w:r>
          </w:p>
        </w:tc>
      </w:tr>
      <w:tr>
        <w:trPr/>
        <w:tc>
          <w:tcPr>
            <w:tcW w:w="5454"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Registration or transfer fees</w:t>
            </w:r>
          </w:p>
        </w:tc>
        <w:tc>
          <w:tcPr>
            <w:tcW w:w="326" w:type="dxa"/>
            <w:tcBorders/>
            <w:vAlign w:val="center"/>
          </w:tcPr>
          <w:p>
            <w:pPr>
              <w:pStyle w:val="TableContents"/>
              <w:bidi w:val="0"/>
              <w:spacing w:before="0" w:after="0"/>
              <w:ind w:left="0" w:right="0" w:hanging="0"/>
              <w:jc w:val="left"/>
              <w:rPr/>
            </w:pPr>
            <w:r>
              <w:rPr/>
              <w:t>​</w:t>
            </w:r>
          </w:p>
        </w:tc>
        <w:tc>
          <w:tcPr>
            <w:tcW w:w="4425" w:type="dxa"/>
            <w:gridSpan w:val="2"/>
            <w:tcBorders/>
            <w:vAlign w:val="center"/>
          </w:tcPr>
          <w:p>
            <w:pPr>
              <w:pStyle w:val="TableContents"/>
              <w:bidi w:val="0"/>
              <w:spacing w:before="0" w:after="0"/>
              <w:jc w:val="both"/>
              <w:rPr/>
            </w:pPr>
            <w:r>
              <w:rPr/>
              <w:t>●</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and registration of shares on our share register to or from the name of the depositary or its agent when you deposit or withdraw shares</w:t>
            </w:r>
          </w:p>
        </w:tc>
      </w:tr>
      <w:tr>
        <w:trPr/>
        <w:tc>
          <w:tcPr>
            <w:tcW w:w="5454"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left"/>
              <w:rPr/>
            </w:pPr>
            <w:r>
              <w:rPr/>
              <w:t>​</w:t>
            </w:r>
          </w:p>
        </w:tc>
        <w:tc>
          <w:tcPr>
            <w:tcW w:w="4425" w:type="dxa"/>
            <w:gridSpan w:val="2"/>
            <w:tcBorders/>
            <w:vAlign w:val="center"/>
          </w:tcPr>
          <w:p>
            <w:pPr>
              <w:pStyle w:val="TableContents"/>
              <w:bidi w:val="0"/>
              <w:spacing w:before="0" w:after="0"/>
              <w:ind w:left="0" w:right="0" w:hanging="0"/>
              <w:jc w:val="both"/>
              <w:rPr/>
            </w:pPr>
            <w:r>
              <w:rPr/>
              <w:t>​</w:t>
            </w:r>
          </w:p>
        </w:tc>
      </w:tr>
      <w:tr>
        <w:trPr/>
        <w:tc>
          <w:tcPr>
            <w:tcW w:w="5454"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Expenses of the depositary</w:t>
            </w:r>
          </w:p>
        </w:tc>
        <w:tc>
          <w:tcPr>
            <w:tcW w:w="326" w:type="dxa"/>
            <w:tcBorders/>
            <w:vAlign w:val="center"/>
          </w:tcPr>
          <w:p>
            <w:pPr>
              <w:pStyle w:val="TableContents"/>
              <w:bidi w:val="0"/>
              <w:spacing w:before="0" w:after="0"/>
              <w:ind w:left="0" w:right="0" w:hanging="0"/>
              <w:jc w:val="left"/>
              <w:rPr/>
            </w:pPr>
            <w:r>
              <w:rPr/>
              <w:t>​</w:t>
            </w:r>
          </w:p>
        </w:tc>
        <w:tc>
          <w:tcPr>
            <w:tcW w:w="4425" w:type="dxa"/>
            <w:gridSpan w:val="2"/>
            <w:tcBorders/>
            <w:vAlign w:val="center"/>
          </w:tcPr>
          <w:p>
            <w:pPr>
              <w:pStyle w:val="TableContents"/>
              <w:bidi w:val="0"/>
              <w:spacing w:before="0" w:after="0"/>
              <w:jc w:val="both"/>
              <w:rPr/>
            </w:pPr>
            <w:r>
              <w:rPr/>
              <w:t>●</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Cable (including SWIFT) and facsimile transmissions (when expressly provided in the deposit agreement)</w:t>
            </w:r>
          </w:p>
        </w:tc>
      </w:tr>
      <w:tr>
        <w:trPr/>
        <w:tc>
          <w:tcPr>
            <w:tcW w:w="5454"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left"/>
              <w:rPr/>
            </w:pPr>
            <w:r>
              <w:rPr/>
              <w:t>​</w:t>
            </w:r>
          </w:p>
        </w:tc>
        <w:tc>
          <w:tcPr>
            <w:tcW w:w="1883" w:type="dxa"/>
            <w:tcBorders/>
            <w:vAlign w:val="center"/>
          </w:tcPr>
          <w:p>
            <w:pPr>
              <w:pStyle w:val="TableContents"/>
              <w:bidi w:val="0"/>
              <w:spacing w:before="0" w:after="0"/>
              <w:ind w:left="0" w:right="0" w:hanging="0"/>
              <w:jc w:val="both"/>
              <w:rPr/>
            </w:pPr>
            <w:r>
              <w:rPr/>
              <w:t>​</w:t>
            </w:r>
          </w:p>
        </w:tc>
        <w:tc>
          <w:tcPr>
            <w:tcW w:w="2542" w:type="dxa"/>
            <w:tcBorders/>
            <w:vAlign w:val="center"/>
          </w:tcPr>
          <w:p>
            <w:pPr>
              <w:pStyle w:val="TableContents"/>
              <w:bidi w:val="0"/>
              <w:spacing w:before="0" w:after="0"/>
              <w:ind w:left="0" w:right="0" w:hanging="0"/>
              <w:jc w:val="both"/>
              <w:rPr/>
            </w:pPr>
            <w:r>
              <w:rPr/>
              <w:t>​</w:t>
            </w:r>
          </w:p>
        </w:tc>
      </w:tr>
      <w:tr>
        <w:trPr/>
        <w:tc>
          <w:tcPr>
            <w:tcW w:w="5454"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left"/>
              <w:rPr/>
            </w:pPr>
            <w:r>
              <w:rPr/>
              <w:t>​</w:t>
            </w:r>
          </w:p>
        </w:tc>
        <w:tc>
          <w:tcPr>
            <w:tcW w:w="4425" w:type="dxa"/>
            <w:gridSpan w:val="2"/>
            <w:tcBorders/>
            <w:vAlign w:val="center"/>
          </w:tcPr>
          <w:p>
            <w:pPr>
              <w:pStyle w:val="TableContents"/>
              <w:bidi w:val="0"/>
              <w:spacing w:before="0" w:after="0"/>
              <w:jc w:val="both"/>
              <w:rPr/>
            </w:pPr>
            <w:r>
              <w:rPr/>
              <w:t>●</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Converting foreign currency to U.S. dollars</w:t>
            </w:r>
          </w:p>
        </w:tc>
      </w:tr>
      <w:tr>
        <w:trPr/>
        <w:tc>
          <w:tcPr>
            <w:tcW w:w="5454"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left"/>
              <w:rPr/>
            </w:pPr>
            <w:r>
              <w:rPr/>
              <w:t>​</w:t>
            </w:r>
          </w:p>
        </w:tc>
        <w:tc>
          <w:tcPr>
            <w:tcW w:w="1883" w:type="dxa"/>
            <w:tcBorders/>
            <w:vAlign w:val="center"/>
          </w:tcPr>
          <w:p>
            <w:pPr>
              <w:pStyle w:val="TableContents"/>
              <w:bidi w:val="0"/>
              <w:spacing w:before="0" w:after="0"/>
              <w:ind w:left="0" w:right="0" w:hanging="0"/>
              <w:jc w:val="both"/>
              <w:rPr/>
            </w:pPr>
            <w:r>
              <w:rPr/>
              <w:t>​</w:t>
            </w:r>
          </w:p>
        </w:tc>
        <w:tc>
          <w:tcPr>
            <w:tcW w:w="2542" w:type="dxa"/>
            <w:tcBorders/>
            <w:vAlign w:val="center"/>
          </w:tcPr>
          <w:p>
            <w:pPr>
              <w:pStyle w:val="TableContents"/>
              <w:bidi w:val="0"/>
              <w:spacing w:before="0" w:after="0"/>
              <w:ind w:left="0" w:right="0" w:hanging="0"/>
              <w:jc w:val="both"/>
              <w:rPr/>
            </w:pPr>
            <w:r>
              <w:rPr/>
              <w:t>​</w:t>
            </w:r>
          </w:p>
        </w:tc>
      </w:tr>
      <w:tr>
        <w:trPr/>
        <w:tc>
          <w:tcPr>
            <w:tcW w:w="545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Taxes and other governmental charges the depositary or the custodian has to pay on any ADSs or shares underlying ADSs, such as stock transfer taxes, stamp duty or withholding taxes</w:t>
            </w:r>
          </w:p>
        </w:tc>
        <w:tc>
          <w:tcPr>
            <w:tcW w:w="326" w:type="dxa"/>
            <w:tcBorders/>
            <w:vAlign w:val="center"/>
          </w:tcPr>
          <w:p>
            <w:pPr>
              <w:pStyle w:val="TableContents"/>
              <w:bidi w:val="0"/>
              <w:spacing w:before="0" w:after="0"/>
              <w:ind w:left="0" w:right="0" w:hanging="0"/>
              <w:jc w:val="left"/>
              <w:rPr/>
            </w:pPr>
            <w:r>
              <w:rPr/>
              <w:t>​</w:t>
            </w:r>
          </w:p>
        </w:tc>
        <w:tc>
          <w:tcPr>
            <w:tcW w:w="4425" w:type="dxa"/>
            <w:gridSpan w:val="2"/>
            <w:tcBorders/>
            <w:vAlign w:val="center"/>
          </w:tcPr>
          <w:p>
            <w:pPr>
              <w:pStyle w:val="TableContents"/>
              <w:bidi w:val="0"/>
              <w:spacing w:before="0" w:after="0"/>
              <w:jc w:val="both"/>
              <w:rPr/>
            </w:pPr>
            <w:r>
              <w:rPr/>
              <w:t>●</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necessary</w:t>
            </w:r>
          </w:p>
        </w:tc>
      </w:tr>
      <w:tr>
        <w:trPr/>
        <w:tc>
          <w:tcPr>
            <w:tcW w:w="5454"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left"/>
              <w:rPr/>
            </w:pPr>
            <w:r>
              <w:rPr/>
              <w:t>​</w:t>
            </w:r>
          </w:p>
        </w:tc>
        <w:tc>
          <w:tcPr>
            <w:tcW w:w="1883" w:type="dxa"/>
            <w:tcBorders/>
            <w:vAlign w:val="center"/>
          </w:tcPr>
          <w:p>
            <w:pPr>
              <w:pStyle w:val="TableContents"/>
              <w:bidi w:val="0"/>
              <w:spacing w:before="0" w:after="0"/>
              <w:ind w:left="0" w:right="0" w:hanging="0"/>
              <w:jc w:val="both"/>
              <w:rPr/>
            </w:pPr>
            <w:r>
              <w:rPr/>
              <w:t>​</w:t>
            </w:r>
          </w:p>
        </w:tc>
        <w:tc>
          <w:tcPr>
            <w:tcW w:w="2542" w:type="dxa"/>
            <w:tcBorders/>
            <w:vAlign w:val="center"/>
          </w:tcPr>
          <w:p>
            <w:pPr>
              <w:pStyle w:val="TableContents"/>
              <w:bidi w:val="0"/>
              <w:spacing w:before="0" w:after="0"/>
              <w:ind w:left="0" w:right="0" w:hanging="0"/>
              <w:jc w:val="both"/>
              <w:rPr/>
            </w:pPr>
            <w:r>
              <w:rPr/>
              <w:t>​</w:t>
            </w:r>
          </w:p>
        </w:tc>
      </w:tr>
      <w:tr>
        <w:trPr/>
        <w:tc>
          <w:tcPr>
            <w:tcW w:w="545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Any charges incurred by the depositary or its agents for servicing the deposited securities</w:t>
            </w:r>
          </w:p>
        </w:tc>
        <w:tc>
          <w:tcPr>
            <w:tcW w:w="326" w:type="dxa"/>
            <w:tcBorders/>
            <w:vAlign w:val="center"/>
          </w:tcPr>
          <w:p>
            <w:pPr>
              <w:pStyle w:val="TableContents"/>
              <w:bidi w:val="0"/>
              <w:spacing w:before="0" w:after="0"/>
              <w:ind w:left="0" w:right="0" w:hanging="0"/>
              <w:jc w:val="left"/>
              <w:rPr/>
            </w:pPr>
            <w:r>
              <w:rPr/>
              <w:t>​</w:t>
            </w:r>
          </w:p>
        </w:tc>
        <w:tc>
          <w:tcPr>
            <w:tcW w:w="4425" w:type="dxa"/>
            <w:gridSpan w:val="2"/>
            <w:tcBorders/>
            <w:vAlign w:val="center"/>
          </w:tcPr>
          <w:p>
            <w:pPr>
              <w:pStyle w:val="TableContents"/>
              <w:bidi w:val="0"/>
              <w:spacing w:before="0" w:after="0"/>
              <w:jc w:val="both"/>
              <w:rPr/>
            </w:pPr>
            <w:r>
              <w:rPr/>
              <w:t>●</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necessary</w:t>
            </w:r>
          </w:p>
        </w:tc>
      </w:tr>
    </w:tbl>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i/>
          <w:sz w:val="20"/>
        </w:rPr>
      </w:pPr>
      <w:r>
        <w:rPr>
          <w:rFonts w:ascii="Times New Roman;Times;serif" w:hAnsi="Times New Roman;Times;serif"/>
          <w:i/>
          <w:sz w:val="20"/>
        </w:rPr>
        <w:t>Fees and other payments made by the depositary to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From time to time, the depositary may make payments to us to reimburse and/or share revenue from the fees collected from ADS holders, or waive fees and expenses for services provided, generally relating to costs and expenses arising out of establishment and maintenance of the ADS program. In performing its duties under the deposit agreement, the depositary may use brokers, dealers or other service providers that are affiliates of the depositary and that may earn or share fees or commissions. Our depositary has agreed to share with us certain fees payable to the depositary by holders of ADSs. For the year ended December 31, 2023, the depositary paid us US$5.8 million pursuant to this arrangement.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Ordinary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ordinary shares trade on the Hong Kong Stock Exchange in board lots of 100 ordinary shares. Dealings in our ordinary shares on the Hong Kong Stock Exchange will be conducted in Hong Kong dollars.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transaction costs of dealings in our ordinary shares on the Hong Kong Stock Exchange include:</w:t>
      </w:r>
    </w:p>
    <w:tbl>
      <w:tblPr>
        <w:tblW w:w="10205" w:type="dxa"/>
        <w:jc w:val="left"/>
        <w:tblInd w:w="0" w:type="dxa"/>
        <w:tblLayout w:type="fixed"/>
        <w:tblCellMar>
          <w:top w:w="0" w:type="dxa"/>
          <w:left w:w="0" w:type="dxa"/>
          <w:bottom w:w="0" w:type="dxa"/>
          <w:right w:w="0" w:type="dxa"/>
        </w:tblCellMar>
      </w:tblPr>
      <w:tblGrid>
        <w:gridCol w:w="124"/>
        <w:gridCol w:w="309"/>
        <w:gridCol w:w="9772"/>
      </w:tblGrid>
      <w:tr>
        <w:trPr/>
        <w:tc>
          <w:tcPr>
            <w:tcW w:w="12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977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Hong Kong Stock Exchange trading fee of 0.00565% of the consideration of the transaction, charged to each of the buyer and seller;</w:t>
            </w:r>
          </w:p>
        </w:tc>
      </w:tr>
    </w:tbl>
    <w:tbl>
      <w:tblPr>
        <w:tblW w:w="10205" w:type="dxa"/>
        <w:jc w:val="left"/>
        <w:tblInd w:w="0" w:type="dxa"/>
        <w:tblLayout w:type="fixed"/>
        <w:tblCellMar>
          <w:top w:w="0" w:type="dxa"/>
          <w:left w:w="0" w:type="dxa"/>
          <w:bottom w:w="0" w:type="dxa"/>
          <w:right w:w="0" w:type="dxa"/>
        </w:tblCellMar>
      </w:tblPr>
      <w:tblGrid>
        <w:gridCol w:w="124"/>
        <w:gridCol w:w="314"/>
        <w:gridCol w:w="9767"/>
      </w:tblGrid>
      <w:tr>
        <w:trPr/>
        <w:tc>
          <w:tcPr>
            <w:tcW w:w="12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976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Securities and Futures Commission of Hong Kong transaction levy of 0.0027% of the consideration of the transaction, charged to each of the buyer and seller;</w:t>
            </w:r>
          </w:p>
        </w:tc>
      </w:tr>
    </w:tbl>
    <w:tbl>
      <w:tblPr>
        <w:tblW w:w="10205" w:type="dxa"/>
        <w:jc w:val="left"/>
        <w:tblInd w:w="0" w:type="dxa"/>
        <w:tblLayout w:type="fixed"/>
        <w:tblCellMar>
          <w:top w:w="0" w:type="dxa"/>
          <w:left w:w="0" w:type="dxa"/>
          <w:bottom w:w="0" w:type="dxa"/>
          <w:right w:w="0" w:type="dxa"/>
        </w:tblCellMar>
      </w:tblPr>
      <w:tblGrid>
        <w:gridCol w:w="124"/>
        <w:gridCol w:w="300"/>
        <w:gridCol w:w="9781"/>
      </w:tblGrid>
      <w:tr>
        <w:trPr/>
        <w:tc>
          <w:tcPr>
            <w:tcW w:w="12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978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Accounting and Financial Reporting Council (AFRC) Transaction Levy of 0.00015% (rounded to the nearest cent) is charged to each of the buyer and seller;</w:t>
            </w:r>
          </w:p>
        </w:tc>
      </w:tr>
    </w:tbl>
    <w:tbl>
      <w:tblPr>
        <w:tblW w:w="7971" w:type="dxa"/>
        <w:jc w:val="left"/>
        <w:tblInd w:w="0" w:type="dxa"/>
        <w:tblLayout w:type="fixed"/>
        <w:tblCellMar>
          <w:top w:w="0" w:type="dxa"/>
          <w:left w:w="0" w:type="dxa"/>
          <w:bottom w:w="0" w:type="dxa"/>
          <w:right w:w="0" w:type="dxa"/>
        </w:tblCellMar>
      </w:tblPr>
      <w:tblGrid>
        <w:gridCol w:w="124"/>
        <w:gridCol w:w="331"/>
        <w:gridCol w:w="751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751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transfer deed stamp duty of HK$5.00 per transfer deed (if applicable), payable by the seller;</w:t>
            </w:r>
          </w:p>
        </w:tc>
      </w:tr>
    </w:tbl>
    <w:tbl>
      <w:tblPr>
        <w:tblW w:w="10205" w:type="dxa"/>
        <w:jc w:val="left"/>
        <w:tblInd w:w="0" w:type="dxa"/>
        <w:tblLayout w:type="fixed"/>
        <w:tblCellMar>
          <w:top w:w="0" w:type="dxa"/>
          <w:left w:w="0" w:type="dxa"/>
          <w:bottom w:w="0" w:type="dxa"/>
          <w:right w:w="0" w:type="dxa"/>
        </w:tblCellMar>
      </w:tblPr>
      <w:tblGrid>
        <w:gridCol w:w="124"/>
        <w:gridCol w:w="310"/>
        <w:gridCol w:w="9771"/>
      </w:tblGrid>
      <w:tr>
        <w:trPr/>
        <w:tc>
          <w:tcPr>
            <w:tcW w:w="12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w:t>
            </w:r>
          </w:p>
        </w:tc>
        <w:tc>
          <w:tcPr>
            <w:tcW w:w="977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i/>
                <w:sz w:val="20"/>
              </w:rPr>
              <w:t>ad valorem</w:t>
            </w:r>
            <w:r>
              <w:rPr>
                <w:rFonts w:ascii="Times New Roman;Times;serif" w:hAnsi="Times New Roman;Times;serif"/>
                <w:sz w:val="20"/>
              </w:rPr>
              <w:t xml:space="preserve"> stamp duty at a total rate of 0.2% of the value of the transaction, with 0.1% payable by each of the buyer and the seller;</w:t>
            </w:r>
          </w:p>
        </w:tc>
      </w:tr>
    </w:tbl>
    <w:tbl>
      <w:tblPr>
        <w:tblW w:w="10205" w:type="dxa"/>
        <w:jc w:val="left"/>
        <w:tblInd w:w="0" w:type="dxa"/>
        <w:tblLayout w:type="fixed"/>
        <w:tblCellMar>
          <w:top w:w="0" w:type="dxa"/>
          <w:left w:w="0" w:type="dxa"/>
          <w:bottom w:w="0" w:type="dxa"/>
          <w:right w:w="0" w:type="dxa"/>
        </w:tblCellMar>
      </w:tblPr>
      <w:tblGrid>
        <w:gridCol w:w="124"/>
        <w:gridCol w:w="267"/>
        <w:gridCol w:w="9814"/>
      </w:tblGrid>
      <w:tr>
        <w:trPr/>
        <w:tc>
          <w:tcPr>
            <w:tcW w:w="12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(f)</w:t>
            </w:r>
          </w:p>
        </w:tc>
        <w:tc>
          <w:tcPr>
            <w:tcW w:w="981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stock settlement fee, which is currently 0.002% of the gross transaction value, subject to a minimum fee of HK$2.00 and a maximum fee of HK$100.00 per side per trade;</w:t>
            </w:r>
          </w:p>
        </w:tc>
      </w:tr>
    </w:tbl>
    <w:tbl>
      <w:tblPr>
        <w:tblW w:w="10205" w:type="dxa"/>
        <w:jc w:val="left"/>
        <w:tblInd w:w="0" w:type="dxa"/>
        <w:tblLayout w:type="fixed"/>
        <w:tblCellMar>
          <w:top w:w="0" w:type="dxa"/>
          <w:left w:w="0" w:type="dxa"/>
          <w:bottom w:w="0" w:type="dxa"/>
          <w:right w:w="0" w:type="dxa"/>
        </w:tblCellMar>
      </w:tblPr>
      <w:tblGrid>
        <w:gridCol w:w="124"/>
        <w:gridCol w:w="295"/>
        <w:gridCol w:w="9786"/>
      </w:tblGrid>
      <w:tr>
        <w:trPr/>
        <w:tc>
          <w:tcPr>
            <w:tcW w:w="12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(g)</w:t>
            </w:r>
          </w:p>
        </w:tc>
        <w:tc>
          <w:tcPr>
            <w:tcW w:w="978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brokerage commission, which is freely negotiable with the broker (other than brokerage commissions for IPO transactions which are currently set at 1% of the subscription or purchase price and will be payable by the person subscribing for or purchasing the securities); and</w:t>
            </w:r>
          </w:p>
        </w:tc>
      </w:tr>
    </w:tbl>
    <w:tbl>
      <w:tblPr>
        <w:tblW w:w="10205" w:type="dxa"/>
        <w:jc w:val="left"/>
        <w:tblInd w:w="0" w:type="dxa"/>
        <w:tblLayout w:type="fixed"/>
        <w:tblCellMar>
          <w:top w:w="0" w:type="dxa"/>
          <w:left w:w="0" w:type="dxa"/>
          <w:bottom w:w="0" w:type="dxa"/>
          <w:right w:w="0" w:type="dxa"/>
        </w:tblCellMar>
      </w:tblPr>
      <w:tblGrid>
        <w:gridCol w:w="124"/>
        <w:gridCol w:w="287"/>
        <w:gridCol w:w="9794"/>
      </w:tblGrid>
      <w:tr>
        <w:trPr/>
        <w:tc>
          <w:tcPr>
            <w:tcW w:w="12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(h)</w:t>
            </w:r>
          </w:p>
        </w:tc>
        <w:tc>
          <w:tcPr>
            <w:tcW w:w="979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Hong Kong share registrar will charge between HK$2.50 to HK$20, depending on the speed of service (or such higher fee as may from time to time be permitted under the Hong Kong Listing Rules), for each transfer of ordinary shares from one registered owner to another, each share certificate canceled or issued by it and any applicable fee as stated in the share transfer forms used in Hong Kong.</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Investors must settle their trades executed on the Hong Kong Stock Exchange through their brokers directly or through custodians. For an investor who has deposited his/her ordinary shares in his/her stock account or in his/her designated CCASS participant’s stock account maintained with CCASS, settlement will be effected in CCASS in accordance with the General Rules of CCASS and CCASS Operational Procedures in effect from time to time. For an investor who holds the physical certificates, settlement certificates and the duly executed transfer forms must be delivered to his/her broker or custodian before the settlement date.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connection with the initial public offering of our ordinary shares in Hong Kong, or the Hong Kong Public Offering, we established a branch register of members in Hong Kong, or the Hong Kong share register, which is maintained by our Hong Kong Share Registrar, Computershare Hong Kong Investor Services Limited. Our principal register of members, or the Cayman share register, continues to be maintained by our Principal Share Registrar, Maples Fund Services (Cayman) Limited.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All ordinary shares offered in the Hong Kong Public Offering were registered on the Hong Kong share register in order to be listed and traded on the Hong Kong Stock Exchange.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Converting Ordinary Shares Trading in Hong Kong into ADSs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 investor who holds ordinary shares registered in Hong Kong and wishes to receive delivery of ADSs that trade on the Nasdaq must deposit or have his/her broker deposit the ordinary shares with the depositary’s Hong Kong custodian, The Hong Kong and Shanghai Banking Corporation Limited, or the custodian, in exchange for ADSs.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deposit of ordinary shares trading in Hong Kong in exchange for ADSs involves the following procedures:</w:t>
      </w:r>
    </w:p>
    <w:tbl>
      <w:tblPr>
        <w:tblW w:w="10205" w:type="dxa"/>
        <w:jc w:val="left"/>
        <w:tblInd w:w="0" w:type="dxa"/>
        <w:tblLayout w:type="fixed"/>
        <w:tblCellMar>
          <w:top w:w="0" w:type="dxa"/>
          <w:left w:w="0" w:type="dxa"/>
          <w:bottom w:w="0" w:type="dxa"/>
          <w:right w:w="0" w:type="dxa"/>
        </w:tblCellMar>
      </w:tblPr>
      <w:tblGrid>
        <w:gridCol w:w="124"/>
        <w:gridCol w:w="276"/>
        <w:gridCol w:w="9805"/>
      </w:tblGrid>
      <w:tr>
        <w:trPr/>
        <w:tc>
          <w:tcPr>
            <w:tcW w:w="12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980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If the ordinary shares have been deposited with CCASS, the investor must transfer the ordinary shares to the depositary’s account with the custodian within CCASS by following the CCASS procedures for transfer and submit and deliver a duly completed and signed ADS delivery form to the custodian via his/her broker.</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24"/>
        <w:gridCol w:w="294"/>
        <w:gridCol w:w="9787"/>
      </w:tblGrid>
      <w:tr>
        <w:trPr/>
        <w:tc>
          <w:tcPr>
            <w:tcW w:w="12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97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If the ordinary shares are held outside CCASS, the investor must arrange for the registration of a transfer of his/her ordinary shares into the depositary’s name and delivery of evidence of that registration to the custodian, and must sign and deliver an ADS delivery form to the depositary.</w:t>
            </w:r>
          </w:p>
        </w:tc>
      </w:tr>
    </w:tbl>
    <w:tbl>
      <w:tblPr>
        <w:tblW w:w="10205" w:type="dxa"/>
        <w:jc w:val="left"/>
        <w:tblInd w:w="0" w:type="dxa"/>
        <w:tblLayout w:type="fixed"/>
        <w:tblCellMar>
          <w:top w:w="0" w:type="dxa"/>
          <w:left w:w="0" w:type="dxa"/>
          <w:bottom w:w="0" w:type="dxa"/>
          <w:right w:w="0" w:type="dxa"/>
        </w:tblCellMar>
      </w:tblPr>
      <w:tblGrid>
        <w:gridCol w:w="124"/>
        <w:gridCol w:w="278"/>
        <w:gridCol w:w="9803"/>
      </w:tblGrid>
      <w:tr>
        <w:trPr/>
        <w:tc>
          <w:tcPr>
            <w:tcW w:w="12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980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Upon payment of its fees and expenses and of any taxes or charges, such as stamp taxes or stock transfer taxes or fees, if applicable, the depositary will register the corresponding number of ADSs in the name(s) requested by an investor and will deliver the ADSs as instructed in the ADS delivery form.</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ordinary shares deposited in CCASS, under normal circumstances, the above steps generally require two business days, provided that the investor has provided timely and complete instructions. For ordinary shares held outside CCASS in physical form, the above steps may take 14 business days, or more, to complete. Temporary delays may arise. For example, the transfer books of the depositary may from time to time be closed to ADS issuances. The investor will be unable to trade the ADSs until the procedures are completed.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Converting ADSs to Ordinary Shares Trading in Hong Kong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 investor who holds ADSs and wishes to receive ordinary shares that trade on the Hong Kong Stock Exchange must cancel the ADSs the investor holds and withdraw the ordinary shares from our ADS program and cause his/her broker or other financial institution to trade such ordinary shares on the Hong Kong Stock Exchange.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 investor that holds ADSs indirectly through a broker or other financial institution should follow the procedures of the broker or financial institution and instruct the broker to arrange for cancellation of the ADSs, and transfer of the underlying ordinary shares from the depositary’s account with the custodian within the CCASS system to the investor’s Hong Kong stock account.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investors holding ADSs directly, the following steps must be taken:</w:t>
      </w:r>
    </w:p>
    <w:tbl>
      <w:tblPr>
        <w:tblW w:w="10205" w:type="dxa"/>
        <w:jc w:val="left"/>
        <w:tblInd w:w="0" w:type="dxa"/>
        <w:tblLayout w:type="fixed"/>
        <w:tblCellMar>
          <w:top w:w="0" w:type="dxa"/>
          <w:left w:w="0" w:type="dxa"/>
          <w:bottom w:w="0" w:type="dxa"/>
          <w:right w:w="0" w:type="dxa"/>
        </w:tblCellMar>
      </w:tblPr>
      <w:tblGrid>
        <w:gridCol w:w="124"/>
        <w:gridCol w:w="276"/>
        <w:gridCol w:w="9805"/>
      </w:tblGrid>
      <w:tr>
        <w:trPr/>
        <w:tc>
          <w:tcPr>
            <w:tcW w:w="12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980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To withdraw the ordinary shares from our ADS program, an investor who holds ADSs may turn in such ADSs at the office of the depositary (and the applicable ADR(s) if the ADSs are held in certificated form), and send an instruction to cancel such ADSs to the depositary. Those instructions must have a Medallion signature guarantee.</w:t>
            </w:r>
          </w:p>
        </w:tc>
      </w:tr>
    </w:tbl>
    <w:tbl>
      <w:tblPr>
        <w:tblW w:w="10205" w:type="dxa"/>
        <w:jc w:val="left"/>
        <w:tblInd w:w="0" w:type="dxa"/>
        <w:tblLayout w:type="fixed"/>
        <w:tblCellMar>
          <w:top w:w="0" w:type="dxa"/>
          <w:left w:w="0" w:type="dxa"/>
          <w:bottom w:w="0" w:type="dxa"/>
          <w:right w:w="0" w:type="dxa"/>
        </w:tblCellMar>
      </w:tblPr>
      <w:tblGrid>
        <w:gridCol w:w="124"/>
        <w:gridCol w:w="294"/>
        <w:gridCol w:w="9787"/>
      </w:tblGrid>
      <w:tr>
        <w:trPr/>
        <w:tc>
          <w:tcPr>
            <w:tcW w:w="12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97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Upon payment or net of its fees and expenses and of any taxes or charges, such as stamp taxes or stock transfer taxes or fees, if applicable, the depositary will instruct the custodian to deliver the ordinary shares underlying the canceled ADSs to the CCASS account designated by the investor.</w:t>
            </w:r>
          </w:p>
        </w:tc>
      </w:tr>
    </w:tbl>
    <w:tbl>
      <w:tblPr>
        <w:tblW w:w="10205" w:type="dxa"/>
        <w:jc w:val="left"/>
        <w:tblInd w:w="0" w:type="dxa"/>
        <w:tblLayout w:type="fixed"/>
        <w:tblCellMar>
          <w:top w:w="0" w:type="dxa"/>
          <w:left w:w="0" w:type="dxa"/>
          <w:bottom w:w="0" w:type="dxa"/>
          <w:right w:w="0" w:type="dxa"/>
        </w:tblCellMar>
      </w:tblPr>
      <w:tblGrid>
        <w:gridCol w:w="124"/>
        <w:gridCol w:w="307"/>
        <w:gridCol w:w="9774"/>
      </w:tblGrid>
      <w:tr>
        <w:trPr/>
        <w:tc>
          <w:tcPr>
            <w:tcW w:w="12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977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If an investor prefers to receive the ordinary shares outside CCASS, he/she must so indicate in the instruction delivered to the depositary.</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the ordinary shares to be received in CCASS, under normal circumstances, the above steps generally require two business days, provided that the investor has provided timely and complete instructions. For the ordinary shares to be received outside CCASS in physical form, the above steps may take 14 business days, or more, to complete. The investor will be unable to trade the ordinary shares on the Hong Kong Stock Exchange until the procedures are completed.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Temporary delays may arise. For example, the transfer books of the depositary may from time to time be closed to ADS cancelations. In addition, completion of the above steps and procedures for delivery of ordinary shares in a CCASS account is subject to there being a sufficient number of ordinary shares on the Hong Kong share register to facilitate a withdrawal from the ADS program directly into the CCASS system. We are not under any obligation to maintain or increase the number of ordinary shares on the Hong Kong share register to facilitate such withdrawals.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Depositary Requirements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Before the depositary delivers ADSs or permits withdrawal of the ordinary shares, the depositary may require:</w:t>
      </w:r>
    </w:p>
    <w:tbl>
      <w:tblPr>
        <w:tblW w:w="10205" w:type="dxa"/>
        <w:jc w:val="left"/>
        <w:tblInd w:w="0" w:type="dxa"/>
        <w:tblLayout w:type="fixed"/>
        <w:tblCellMar>
          <w:top w:w="0" w:type="dxa"/>
          <w:left w:w="0" w:type="dxa"/>
          <w:bottom w:w="0" w:type="dxa"/>
          <w:right w:w="0" w:type="dxa"/>
        </w:tblCellMar>
      </w:tblPr>
      <w:tblGrid>
        <w:gridCol w:w="124"/>
        <w:gridCol w:w="312"/>
        <w:gridCol w:w="9769"/>
      </w:tblGrid>
      <w:tr>
        <w:trPr/>
        <w:tc>
          <w:tcPr>
            <w:tcW w:w="12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976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production of satisfactory proof of the identity and genuineness of any signature or other information it deems necessary; and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24"/>
        <w:gridCol w:w="312"/>
        <w:gridCol w:w="9769"/>
      </w:tblGrid>
      <w:tr>
        <w:trPr/>
        <w:tc>
          <w:tcPr>
            <w:tcW w:w="12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976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compliance with procedures it may establish, from time to time, consistent with the deposit agreement, including completion and presentation of transfer documents.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depositary may refuse to deliver, transfer, or register issuances, transfers and cancelations of ADSs generally when the transfer books of the depositary or of the Hong Kong ordinary share Registrar are closed or at any time if the depositary or we determine it advisable to do so.</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All costs attributable to the transfer of the ordinary shares to effect a withdrawal from or deposit of the ordinary shares into our ADS program will be borne by the investor requesting the transfer or deposit. In particular, holders of ordinary shares and ADSs should note that the Hong Kong Share Registrar will charge between HK$2.50 to HK$20, depending on the speed of service (or such higher fee as may from time to time be permitted under the Hong Kong Listing Rules), for each transfer of the ordinary shares from one registered owner to another, each share certificate canceled or issued by it and any applicable fee as stated in the share transfer forms used in Hong Kong. In addition, holders of the ordinary shares and ADSs must pay up to US$5.00 per 100 ADSs (or portion thereof) for each issuance of ADSs and each cancelation of ADSs, as the case may be, in connection with the deposit of the ordinary shares into, or withdrawal of the ordinary shares from, the ADS facility.</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bookmarkStart w:id="90" w:name="PARTII_489037"/>
      <w:bookmarkStart w:id="91" w:name="_02dd0777_7f0a_4bc6_9d0e_12bcbcec3e20"/>
      <w:bookmarkEnd w:id="90"/>
      <w:bookmarkEnd w:id="91"/>
      <w:r>
        <w:rPr>
          <w:rFonts w:ascii="Times New Roman;Times;serif" w:hAnsi="Times New Roman;Times;serif"/>
          <w:b/>
          <w:sz w:val="20"/>
        </w:rPr>
        <w:t>PART II.</w:t>
      </w:r>
    </w:p>
    <w:p>
      <w:pPr>
        <w:pStyle w:val="TextBody"/>
        <w:bidi w:val="0"/>
        <w:spacing w:before="0" w:after="240"/>
        <w:ind w:left="0" w:right="0" w:hanging="0"/>
        <w:jc w:val="both"/>
        <w:rPr>
          <w:rFonts w:ascii="Times New Roman;Times;serif" w:hAnsi="Times New Roman;Times;serif"/>
          <w:b/>
          <w:sz w:val="20"/>
        </w:rPr>
      </w:pPr>
      <w:bookmarkStart w:id="92" w:name="Item13DefaultsDividendArrearagesandDelin"/>
      <w:bookmarkEnd w:id="92"/>
      <w:r>
        <w:rPr>
          <w:rFonts w:ascii="Times New Roman;Times;serif" w:hAnsi="Times New Roman;Times;serif"/>
          <w:b/>
          <w:sz w:val="20"/>
        </w:rPr>
        <w:t>Item 13. Defaults, Dividend Arrearages and Delinquencies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firstLine="720"/>
        <w:jc w:val="both"/>
        <w:rPr/>
      </w:pPr>
      <w:r>
        <w:rPr/>
        <w:t>​</w:t>
      </w:r>
    </w:p>
    <w:p>
      <w:pPr>
        <w:pStyle w:val="TextBody"/>
        <w:bidi w:val="0"/>
        <w:spacing w:before="0" w:after="240"/>
        <w:ind w:left="0" w:right="0" w:hanging="0"/>
        <w:jc w:val="both"/>
        <w:rPr>
          <w:rFonts w:ascii="Times New Roman;Times;serif" w:hAnsi="Times New Roman;Times;serif"/>
          <w:b/>
          <w:sz w:val="20"/>
        </w:rPr>
      </w:pPr>
      <w:bookmarkStart w:id="93" w:name="Item14MaterialModificationstotheRightsof"/>
      <w:bookmarkStart w:id="94" w:name="_981e33e5_9008_4a4f_a79c_b27e92385605"/>
      <w:bookmarkEnd w:id="93"/>
      <w:bookmarkEnd w:id="94"/>
      <w:r>
        <w:rPr>
          <w:rFonts w:ascii="Times New Roman;Times;serif" w:hAnsi="Times New Roman;Times;serif"/>
          <w:b/>
          <w:sz w:val="20"/>
        </w:rPr>
        <w:t>Item 14. Material Modifications to the Rights of Security Holders and Use of Proceeds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firstLine="720"/>
        <w:jc w:val="both"/>
        <w:rPr/>
      </w:pPr>
      <w:r>
        <w:rPr/>
        <w:t>​</w:t>
      </w:r>
    </w:p>
    <w:p>
      <w:pPr>
        <w:pStyle w:val="TextBody"/>
        <w:bidi w:val="0"/>
        <w:spacing w:before="0" w:after="240"/>
        <w:ind w:left="0" w:right="0" w:hanging="0"/>
        <w:jc w:val="both"/>
        <w:rPr>
          <w:rFonts w:ascii="Times New Roman;Times;serif" w:hAnsi="Times New Roman;Times;serif"/>
          <w:b/>
          <w:sz w:val="20"/>
        </w:rPr>
      </w:pPr>
      <w:bookmarkStart w:id="95" w:name="Item15ControlsandProcedures_447054"/>
      <w:bookmarkStart w:id="96" w:name="_86cff24a_0075_4210_bc6e_7a9c194a7ce9"/>
      <w:bookmarkEnd w:id="95"/>
      <w:bookmarkEnd w:id="96"/>
      <w:r>
        <w:rPr>
          <w:rFonts w:ascii="Times New Roman;Times;serif" w:hAnsi="Times New Roman;Times;serif"/>
          <w:b/>
          <w:sz w:val="20"/>
        </w:rPr>
        <w:t>Item 15. Controls and Procedures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Disclosure Controls and Procedures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management, with the participation of William Lei Ding, our Chief Executive Officer, and Sarah Li, our Head of Financial Reporting (principal financial officer), have conducted an evaluation pursuant to Rule 13a-15 promulgated under the Exchange Act, as amended, of the effectiveness of our disclosure controls and procedures as of December 31, 2023. Based on this evaluation, our Chief Executive Officer and our Head of Financial Reporting concluded that such disclosure controls and procedures were effective as of December 31, 2023.</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Management’s Annual Report on Internal Control over Financial Reporting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management’s annual report on internal control over financial reporting is included in this annual report on pages F-2.</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Attestation report of the registered public accounting firm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PricewaterhouseCoopers Zhong Tian LLP, our independent registered public accounting firm that audited our financial statements included in this annual report, has issued an attestation report on the effectiveness of our internal control over the financial reporting period of December 31, 2023, which can be found on page F-3 of this annual report.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There were no changes in our internal controls over financial reporting identified in connection with the evaluation required by Rules 13a-15 or 15d-15 that occurred during the period covered by this annual report that has materially affected, or is reasonably likely to materially affect, our internal control over financial reporting.</w:t>
      </w:r>
    </w:p>
    <w:p>
      <w:pPr>
        <w:pStyle w:val="TextBody"/>
        <w:bidi w:val="0"/>
        <w:spacing w:before="0" w:after="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97" w:name="Item16AAuditCommitteeFinancialExpert_670"/>
      <w:bookmarkStart w:id="98" w:name="_42ba9634_4a82_4ed0_a007_a8a1a5b7e974"/>
      <w:bookmarkEnd w:id="97"/>
      <w:bookmarkEnd w:id="98"/>
      <w:r>
        <w:rPr>
          <w:rFonts w:ascii="Times New Roman;Times;serif" w:hAnsi="Times New Roman;Times;serif"/>
          <w:b/>
          <w:sz w:val="20"/>
        </w:rPr>
        <w:t>Item 16A.            Audit Committee Financial Expert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board of directors has determined that Mr. Joseph Tong qualifies as an “audit committee financial expert” as defined by the applicable rules of the SEC and that Mr. Tong is “independent” as that term is defined in NASDAQ Marketplace Rule 5605(a)(2).</w:t>
      </w:r>
    </w:p>
    <w:p>
      <w:pPr>
        <w:pStyle w:val="TextBody"/>
        <w:bidi w:val="0"/>
        <w:spacing w:before="0" w:after="0"/>
        <w:ind w:left="0" w:right="0" w:firstLine="720"/>
        <w:jc w:val="both"/>
        <w:rPr/>
      </w:pPr>
      <w:r>
        <w:rPr/>
        <w:t>​</w:t>
      </w:r>
    </w:p>
    <w:p>
      <w:pPr>
        <w:pStyle w:val="TextBody"/>
        <w:bidi w:val="0"/>
        <w:spacing w:before="0" w:after="240"/>
        <w:ind w:left="0" w:right="0" w:hanging="0"/>
        <w:jc w:val="both"/>
        <w:rPr>
          <w:rFonts w:ascii="Times New Roman;Times;serif" w:hAnsi="Times New Roman;Times;serif"/>
          <w:b/>
          <w:sz w:val="20"/>
        </w:rPr>
      </w:pPr>
      <w:bookmarkStart w:id="99" w:name="Item16BCodeofEthics_580028"/>
      <w:bookmarkStart w:id="100" w:name="_6fe09468_000a_4b00_8452_37f905059134"/>
      <w:bookmarkEnd w:id="99"/>
      <w:bookmarkEnd w:id="100"/>
      <w:r>
        <w:rPr>
          <w:rFonts w:ascii="Times New Roman;Times;serif" w:hAnsi="Times New Roman;Times;serif"/>
          <w:b/>
          <w:sz w:val="20"/>
        </w:rPr>
        <w:t>Item 16B.             Code of Ethics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adopted a Code of Business Conduct, or the Code, which applies to our employees, officers and non-employee directors, including our principal executive officer, principal financial officer, principal accounting officer or controller, and persons performing similar functions. The Code may also apply on a contractual basis to other persons (e.g. third party vendors) that provide goods or services to, or act on half of, the NetEase group. The Code is intended to qualify as a “code of ethics” within the meaning of the applicable rules of the SEC.</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Code is filed as an exhibit to this annual report on Form 20-F. It is also available on our website under the Investor Relations section at https://ir.netease.com.</w:t>
      </w:r>
    </w:p>
    <w:p>
      <w:pPr>
        <w:pStyle w:val="TextBody"/>
        <w:bidi w:val="0"/>
        <w:spacing w:before="0" w:after="0"/>
        <w:ind w:left="0" w:right="0" w:firstLine="720"/>
        <w:jc w:val="left"/>
        <w:rPr/>
      </w:pPr>
      <w:r>
        <w:rPr/>
        <w:t>​</w:t>
      </w:r>
    </w:p>
    <w:p>
      <w:pPr>
        <w:pStyle w:val="TextBody"/>
        <w:bidi w:val="0"/>
        <w:spacing w:before="0" w:after="200"/>
        <w:ind w:left="0" w:right="0" w:hanging="0"/>
        <w:jc w:val="left"/>
        <w:rPr>
          <w:rFonts w:ascii="Times New Roman;Times;serif" w:hAnsi="Times New Roman;Times;serif"/>
          <w:b/>
          <w:sz w:val="20"/>
        </w:rPr>
      </w:pPr>
      <w:bookmarkStart w:id="101" w:name="Item16CPrincipalAccountantFeesandService"/>
      <w:bookmarkStart w:id="102" w:name="_ff0e54b2_fdb2_4390_97af_65e4f9ba05fc"/>
      <w:bookmarkEnd w:id="101"/>
      <w:bookmarkEnd w:id="102"/>
      <w:r>
        <w:rPr>
          <w:rFonts w:ascii="Times New Roman;Times;serif" w:hAnsi="Times New Roman;Times;serif"/>
          <w:b/>
          <w:sz w:val="20"/>
        </w:rPr>
        <w:t>Item 16C.            Principal Accountant Fees and Services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Disclosure of Fees Charged by Independent Accountants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summarizes the fees charged by PricewaterhouseCoopers Zhong Tian LLP and its affiliates for certain services rendered to us during 2022 and 2023.</w:t>
      </w:r>
    </w:p>
    <w:p>
      <w:pPr>
        <w:pStyle w:val="TextBody"/>
        <w:bidi w:val="0"/>
        <w:spacing w:before="0" w:after="0"/>
        <w:ind w:left="0" w:right="0" w:hanging="0"/>
        <w:jc w:val="left"/>
        <w:rPr/>
      </w:pPr>
      <w:r>
        <w:rPr/>
        <w:t>​</w:t>
      </w:r>
    </w:p>
    <w:tbl>
      <w:tblPr>
        <w:tblW w:w="4301" w:type="dxa"/>
        <w:jc w:val="left"/>
        <w:tblInd w:w="0" w:type="dxa"/>
        <w:tblLayout w:type="fixed"/>
        <w:tblCellMar>
          <w:top w:w="0" w:type="dxa"/>
          <w:left w:w="0" w:type="dxa"/>
          <w:bottom w:w="0" w:type="dxa"/>
          <w:right w:w="0" w:type="dxa"/>
        </w:tblCellMar>
      </w:tblPr>
      <w:tblGrid>
        <w:gridCol w:w="1411"/>
        <w:gridCol w:w="326"/>
        <w:gridCol w:w="972"/>
        <w:gridCol w:w="469"/>
        <w:gridCol w:w="1123"/>
      </w:tblGrid>
      <w:tr>
        <w:trPr/>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895985" cy="175260"/>
                      <wp:effectExtent l="0" t="0" r="0" b="0"/>
                      <wp:wrapNone/>
                      <wp:docPr id="263" name="Frame262"/>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07010" cy="175260"/>
                      <wp:effectExtent l="0" t="0" r="0" b="0"/>
                      <wp:wrapNone/>
                      <wp:docPr id="264" name="Frame2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17220" cy="175260"/>
                      <wp:effectExtent l="0" t="0" r="0" b="0"/>
                      <wp:wrapNone/>
                      <wp:docPr id="265" name="Frame264"/>
                      <a:graphic xmlns:a="http://schemas.openxmlformats.org/drawingml/2006/main">
                        <a:graphicData uri="http://schemas.microsoft.com/office/word/2010/wordprocessingShape">
                          <wps:wsp>
                            <wps:cNvSpPr txBox="1"/>
                            <wps:spPr>
                              <a:xfrm>
                                <a:off x="0" y="0"/>
                                <a:ext cx="617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97815" cy="175260"/>
                      <wp:effectExtent l="0" t="0" r="0" b="0"/>
                      <wp:wrapNone/>
                      <wp:docPr id="266" name="Frame265"/>
                      <a:graphic xmlns:a="http://schemas.openxmlformats.org/drawingml/2006/main">
                        <a:graphicData uri="http://schemas.microsoft.com/office/word/2010/wordprocessingShape">
                          <wps:wsp>
                            <wps:cNvSpPr txBox="1"/>
                            <wps:spPr>
                              <a:xfrm>
                                <a:off x="0" y="0"/>
                                <a:ext cx="297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713105" cy="175260"/>
                      <wp:effectExtent l="0" t="0" r="0" b="0"/>
                      <wp:wrapNone/>
                      <wp:docPr id="267" name="Frame266"/>
                      <a:graphic xmlns:a="http://schemas.openxmlformats.org/drawingml/2006/main">
                        <a:graphicData uri="http://schemas.microsoft.com/office/word/2010/wordprocessingShape">
                          <wps:wsp>
                            <wps:cNvSpPr txBox="1"/>
                            <wps:spPr>
                              <a:xfrm>
                                <a:off x="0" y="0"/>
                                <a:ext cx="713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64" w:type="dxa"/>
            <w:gridSpan w:val="3"/>
            <w:tcBorders/>
            <w:vAlign w:val="center"/>
          </w:tcPr>
          <w:p>
            <w:pPr>
              <w:pStyle w:val="TableContents"/>
              <w:bidi w:val="0"/>
              <w:spacing w:before="0" w:after="0"/>
              <w:ind w:left="0" w:right="0" w:hanging="0"/>
              <w:jc w:val="center"/>
              <w:rPr/>
            </w:pPr>
            <w:r>
              <w:rPr/>
              <w:t>​</w:t>
            </w:r>
          </w:p>
        </w:tc>
      </w:tr>
      <w:tr>
        <w:trPr/>
        <w:tc>
          <w:tcPr>
            <w:tcW w:w="1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64"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1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72"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2022</w:t>
            </w:r>
            <w:r>
              <w:rPr>
                <w:rFonts w:ascii="Times New Roman;Times;serif" w:hAnsi="Times New Roman;Times;serif"/>
                <w:b/>
                <w:sz w:val="12"/>
              </w:rPr>
              <w:t>(1)</w:t>
            </w:r>
          </w:p>
        </w:tc>
        <w:tc>
          <w:tcPr>
            <w:tcW w:w="469" w:type="dxa"/>
            <w:tcBorders/>
            <w:vAlign w:val="center"/>
          </w:tcPr>
          <w:p>
            <w:pPr>
              <w:pStyle w:val="TableContents"/>
              <w:bidi w:val="0"/>
              <w:spacing w:before="0" w:after="0"/>
              <w:ind w:left="0" w:right="0" w:hanging="0"/>
              <w:jc w:val="left"/>
              <w:rPr/>
            </w:pPr>
            <w:r>
              <w:rPr/>
              <w:t>    </w:t>
            </w:r>
          </w:p>
        </w:tc>
        <w:tc>
          <w:tcPr>
            <w:tcW w:w="1123"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2023</w:t>
            </w:r>
            <w:r>
              <w:rPr>
                <w:rFonts w:ascii="Times New Roman;Times;serif" w:hAnsi="Times New Roman;Times;serif"/>
                <w:b/>
                <w:sz w:val="12"/>
              </w:rPr>
              <w:t>(1)</w:t>
            </w:r>
          </w:p>
        </w:tc>
      </w:tr>
      <w:tr>
        <w:trPr/>
        <w:tc>
          <w:tcPr>
            <w:tcW w:w="4301" w:type="dxa"/>
            <w:gridSpan w:val="5"/>
            <w:tcBorders/>
            <w:vAlign w:val="center"/>
          </w:tcPr>
          <w:p>
            <w:pPr>
              <w:pStyle w:val="TableContents"/>
              <w:bidi w:val="0"/>
              <w:spacing w:before="0" w:after="283"/>
              <w:ind w:left="0" w:right="0" w:hanging="0"/>
              <w:jc w:val="left"/>
              <w:rPr>
                <w:sz w:val="4"/>
                <w:szCs w:val="4"/>
              </w:rPr>
            </w:pPr>
            <w:r>
              <w:rPr>
                <w:sz w:val="4"/>
                <w:szCs w:val="4"/>
              </w:rPr>
            </w:r>
          </w:p>
        </w:tc>
      </w:tr>
      <w:tr>
        <w:trPr/>
        <w:tc>
          <w:tcPr>
            <w:tcW w:w="1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64"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 (in thousands)</w:t>
            </w:r>
          </w:p>
        </w:tc>
      </w:tr>
      <w:tr>
        <w:trPr/>
        <w:tc>
          <w:tcPr>
            <w:tcW w:w="141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Audit fees </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0"/>
              <w:ind w:left="0" w:right="0" w:hanging="0"/>
              <w:jc w:val="left"/>
              <w:rPr/>
            </w:pPr>
            <w:r>
              <w:rPr/>
              <w:t> </w:t>
            </w:r>
          </w:p>
        </w:tc>
        <w:tc>
          <w:tcPr>
            <w:tcW w:w="9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28,240</w:t>
            </w:r>
          </w:p>
        </w:tc>
        <w:tc>
          <w:tcPr>
            <w:tcW w:w="469" w:type="dxa"/>
            <w:tcBorders/>
            <w:shd w:fill="CCEEFF" w:val="clear"/>
            <w:vAlign w:val="center"/>
          </w:tcPr>
          <w:p>
            <w:pPr>
              <w:pStyle w:val="TableContents"/>
              <w:bidi w:val="0"/>
              <w:spacing w:before="0" w:after="0"/>
              <w:ind w:left="0" w:right="0" w:hanging="0"/>
              <w:jc w:val="left"/>
              <w:rPr/>
            </w:pPr>
            <w:r>
              <w:rPr/>
              <w:t> </w:t>
            </w:r>
          </w:p>
        </w:tc>
        <w:tc>
          <w:tcPr>
            <w:tcW w:w="11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30,491</w:t>
            </w:r>
          </w:p>
        </w:tc>
      </w:tr>
      <w:tr>
        <w:trPr/>
        <w:tc>
          <w:tcPr>
            <w:tcW w:w="141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Tax fees </w:t>
            </w:r>
            <w:r>
              <w:rPr>
                <w:rFonts w:ascii="Times New Roman;Times;serif" w:hAnsi="Times New Roman;Times;serif"/>
                <w:sz w:val="15"/>
              </w:rPr>
              <w:t>(3)</w:t>
            </w:r>
          </w:p>
        </w:tc>
        <w:tc>
          <w:tcPr>
            <w:tcW w:w="326" w:type="dxa"/>
            <w:tcBorders/>
            <w:vAlign w:val="center"/>
          </w:tcPr>
          <w:p>
            <w:pPr>
              <w:pStyle w:val="TableContents"/>
              <w:bidi w:val="0"/>
              <w:spacing w:before="0" w:after="0"/>
              <w:ind w:left="0" w:right="0" w:hanging="0"/>
              <w:jc w:val="left"/>
              <w:rPr/>
            </w:pPr>
            <w:r>
              <w:rPr/>
              <w:t> </w:t>
            </w:r>
          </w:p>
        </w:tc>
        <w:tc>
          <w:tcPr>
            <w:tcW w:w="9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2,913</w:t>
            </w:r>
          </w:p>
        </w:tc>
        <w:tc>
          <w:tcPr>
            <w:tcW w:w="469" w:type="dxa"/>
            <w:tcBorders/>
            <w:vAlign w:val="center"/>
          </w:tcPr>
          <w:p>
            <w:pPr>
              <w:pStyle w:val="TableContents"/>
              <w:bidi w:val="0"/>
              <w:spacing w:before="0" w:after="0"/>
              <w:ind w:left="0" w:right="0" w:hanging="0"/>
              <w:jc w:val="left"/>
              <w:rPr/>
            </w:pPr>
            <w:r>
              <w:rPr/>
              <w:t> </w:t>
            </w:r>
          </w:p>
        </w:tc>
        <w:tc>
          <w:tcPr>
            <w:tcW w:w="11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1,712</w:t>
            </w:r>
          </w:p>
        </w:tc>
      </w:tr>
      <w:tr>
        <w:trPr/>
        <w:tc>
          <w:tcPr>
            <w:tcW w:w="141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All other fees </w:t>
            </w:r>
            <w:r>
              <w:rPr>
                <w:rFonts w:ascii="Times New Roman;Times;serif" w:hAnsi="Times New Roman;Times;serif"/>
                <w:sz w:val="15"/>
              </w:rPr>
              <w:t>(4)</w:t>
            </w:r>
          </w:p>
        </w:tc>
        <w:tc>
          <w:tcPr>
            <w:tcW w:w="326" w:type="dxa"/>
            <w:tcBorders/>
            <w:shd w:fill="CCEEFF" w:val="clear"/>
            <w:vAlign w:val="center"/>
          </w:tcPr>
          <w:p>
            <w:pPr>
              <w:pStyle w:val="TableContents"/>
              <w:bidi w:val="0"/>
              <w:spacing w:before="0" w:after="0"/>
              <w:ind w:left="0" w:right="0" w:hanging="0"/>
              <w:jc w:val="left"/>
              <w:rPr/>
            </w:pPr>
            <w:r>
              <w:rPr/>
              <w:t> </w:t>
            </w:r>
          </w:p>
        </w:tc>
        <w:tc>
          <w:tcPr>
            <w:tcW w:w="9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w:t>
            </w:r>
          </w:p>
        </w:tc>
        <w:tc>
          <w:tcPr>
            <w:tcW w:w="469" w:type="dxa"/>
            <w:tcBorders/>
            <w:shd w:fill="CCEEFF" w:val="clear"/>
            <w:vAlign w:val="center"/>
          </w:tcPr>
          <w:p>
            <w:pPr>
              <w:pStyle w:val="TableContents"/>
              <w:bidi w:val="0"/>
              <w:spacing w:before="0" w:after="0"/>
              <w:ind w:left="0" w:right="0" w:hanging="0"/>
              <w:jc w:val="left"/>
              <w:rPr/>
            </w:pPr>
            <w:r>
              <w:rPr/>
              <w:t> </w:t>
            </w:r>
          </w:p>
        </w:tc>
        <w:tc>
          <w:tcPr>
            <w:tcW w:w="11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w:t>
            </w:r>
          </w:p>
        </w:tc>
      </w:tr>
      <w:tr>
        <w:trPr/>
        <w:tc>
          <w:tcPr>
            <w:tcW w:w="1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 </w:t>
            </w:r>
          </w:p>
        </w:tc>
        <w:tc>
          <w:tcPr>
            <w:tcW w:w="9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31,510</w:t>
            </w:r>
          </w:p>
        </w:tc>
        <w:tc>
          <w:tcPr>
            <w:tcW w:w="469" w:type="dxa"/>
            <w:tcBorders/>
            <w:vAlign w:val="center"/>
          </w:tcPr>
          <w:p>
            <w:pPr>
              <w:pStyle w:val="TableContents"/>
              <w:bidi w:val="0"/>
              <w:spacing w:before="0" w:after="0"/>
              <w:ind w:left="0" w:right="0" w:hanging="0"/>
              <w:jc w:val="left"/>
              <w:rPr/>
            </w:pPr>
            <w:r>
              <w:rPr/>
              <w:t> </w:t>
            </w:r>
          </w:p>
        </w:tc>
        <w:tc>
          <w:tcPr>
            <w:tcW w:w="1123"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32,549</w:t>
            </w:r>
          </w:p>
        </w:tc>
      </w:tr>
    </w:tbl>
    <w:tbl>
      <w:tblPr>
        <w:tblW w:w="10205" w:type="dxa"/>
        <w:jc w:val="left"/>
        <w:tblInd w:w="0" w:type="dxa"/>
        <w:tblLayout w:type="fixed"/>
        <w:tblCellMar>
          <w:top w:w="0" w:type="dxa"/>
          <w:left w:w="0" w:type="dxa"/>
          <w:bottom w:w="0" w:type="dxa"/>
          <w:right w:w="0" w:type="dxa"/>
        </w:tblCellMar>
      </w:tblPr>
      <w:tblGrid>
        <w:gridCol w:w="329"/>
        <w:gridCol w:w="9876"/>
      </w:tblGrid>
      <w:tr>
        <w:trPr/>
        <w:tc>
          <w:tcPr>
            <w:tcW w:w="3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fees disclosed are exclusive of out-of-pocket expenses, which totaled approximately RMB1.2 million and RMB1.3 million in 2022 and 2023, respectively.</w:t>
            </w:r>
          </w:p>
        </w:tc>
      </w:tr>
    </w:tbl>
    <w:tbl>
      <w:tblPr>
        <w:tblW w:w="10205" w:type="dxa"/>
        <w:jc w:val="left"/>
        <w:tblInd w:w="0" w:type="dxa"/>
        <w:tblLayout w:type="fixed"/>
        <w:tblCellMar>
          <w:top w:w="0" w:type="dxa"/>
          <w:left w:w="0" w:type="dxa"/>
          <w:bottom w:w="0" w:type="dxa"/>
          <w:right w:w="0" w:type="dxa"/>
        </w:tblCellMar>
      </w:tblPr>
      <w:tblGrid>
        <w:gridCol w:w="305"/>
        <w:gridCol w:w="9900"/>
      </w:tblGrid>
      <w:tr>
        <w:trPr/>
        <w:tc>
          <w:tcPr>
            <w:tcW w:w="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00"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Audit fees” means the aggregate fees billed in each of the fiscal years for professional services rendered by our principal auditors for the audit of our annual financial statements and our internal controls over financial reporting, as well as assistance with and review of documents filed with the SEC and other statutory and regulatory filings. </w:t>
            </w:r>
          </w:p>
        </w:tc>
      </w:tr>
    </w:tbl>
    <w:tbl>
      <w:tblPr>
        <w:tblW w:w="10205" w:type="dxa"/>
        <w:jc w:val="left"/>
        <w:tblInd w:w="0" w:type="dxa"/>
        <w:tblLayout w:type="fixed"/>
        <w:tblCellMar>
          <w:top w:w="0" w:type="dxa"/>
          <w:left w:w="0" w:type="dxa"/>
          <w:bottom w:w="0" w:type="dxa"/>
          <w:right w:w="0" w:type="dxa"/>
        </w:tblCellMar>
      </w:tblPr>
      <w:tblGrid>
        <w:gridCol w:w="329"/>
        <w:gridCol w:w="9876"/>
      </w:tblGrid>
      <w:tr>
        <w:trPr/>
        <w:tc>
          <w:tcPr>
            <w:tcW w:w="3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7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Tax fees” means the aggregate fees billed in each of the fiscal years for professional services rendered by our principal auditors for tax compliance and tax advice.</w:t>
            </w:r>
          </w:p>
        </w:tc>
      </w:tr>
    </w:tbl>
    <w:tbl>
      <w:tblPr>
        <w:tblW w:w="10205" w:type="dxa"/>
        <w:jc w:val="left"/>
        <w:tblInd w:w="0" w:type="dxa"/>
        <w:tblLayout w:type="fixed"/>
        <w:tblCellMar>
          <w:top w:w="0" w:type="dxa"/>
          <w:left w:w="0" w:type="dxa"/>
          <w:bottom w:w="0" w:type="dxa"/>
          <w:right w:w="0" w:type="dxa"/>
        </w:tblCellMar>
      </w:tblPr>
      <w:tblGrid>
        <w:gridCol w:w="338"/>
        <w:gridCol w:w="9867"/>
      </w:tblGrid>
      <w:tr>
        <w:trPr/>
        <w:tc>
          <w:tcPr>
            <w:tcW w:w="3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867"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All other fees” includes the aggregate fees billed in each of the fiscal years for non-audit services rendered which were not listed above.</w:t>
            </w:r>
          </w:p>
        </w:tc>
      </w:tr>
    </w:tbl>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Audit Committee Pre-approval Policies and Procedures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Our audit committee has adopted procedures which set forth the manner in which the committee will review and approve all audit and non-audit services to be provided by PricewaterhouseCoopers Zhong Tian LLP and its affiliates before that firm is retained for such services. The pre-approval procedures are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audit or non-audit service to be provided to us by the independent accountant must be submitted to the audit committee for review and approval, with a description of the services to be performed and the fees to be charged.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in its sole discretion then approves or disapproves the proposed services and documents such approval, if given, through written resolutions or in the minutes of meetings, as the case may be.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All of the services related to us provided by PricewaterhouseCoopers Zhong Tian LLP and its affiliates listed above have been approved by our audit committee.</w:t>
      </w:r>
    </w:p>
    <w:p>
      <w:pPr>
        <w:pStyle w:val="TextBody"/>
        <w:bidi w:val="0"/>
        <w:spacing w:before="0" w:after="0"/>
        <w:ind w:left="1080" w:right="0" w:hanging="0"/>
        <w:jc w:val="both"/>
        <w:rPr/>
      </w:pPr>
      <w:r>
        <w:rPr/>
        <w:t>​</w:t>
      </w:r>
    </w:p>
    <w:p>
      <w:pPr>
        <w:pStyle w:val="TextBody"/>
        <w:bidi w:val="0"/>
        <w:spacing w:before="0" w:after="200"/>
        <w:ind w:left="0" w:right="0" w:hanging="0"/>
        <w:jc w:val="both"/>
        <w:rPr>
          <w:rFonts w:ascii="Times New Roman;Times;serif" w:hAnsi="Times New Roman;Times;serif"/>
          <w:b/>
          <w:sz w:val="20"/>
        </w:rPr>
      </w:pPr>
      <w:bookmarkStart w:id="103" w:name="Item16DExemptionsfromtheListing_391120"/>
      <w:bookmarkStart w:id="104" w:name="_7b0e04c2_b96e_402a_ae4f_1e3710808850"/>
      <w:bookmarkEnd w:id="103"/>
      <w:bookmarkEnd w:id="104"/>
      <w:r>
        <w:rPr>
          <w:rFonts w:ascii="Times New Roman;Times;serif" w:hAnsi="Times New Roman;Times;serif"/>
          <w:b/>
          <w:sz w:val="20"/>
        </w:rPr>
        <w:t>Item 16D.            Exemptions from the Listing Standards for Audit Committees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have not sought an exemption from the applicable listing standards for the audit committee of our board of directors.</w:t>
      </w:r>
    </w:p>
    <w:p>
      <w:pPr>
        <w:pStyle w:val="TextBody"/>
        <w:bidi w:val="0"/>
        <w:spacing w:before="0" w:after="240"/>
        <w:ind w:left="0" w:right="0" w:hanging="0"/>
        <w:jc w:val="both"/>
        <w:rPr>
          <w:rFonts w:ascii="Times New Roman;Times;serif" w:hAnsi="Times New Roman;Times;serif"/>
          <w:b/>
          <w:sz w:val="20"/>
        </w:rPr>
      </w:pPr>
      <w:bookmarkStart w:id="105" w:name="Item16EPurchasesofEquitySecurities_37894"/>
      <w:bookmarkStart w:id="106" w:name="_e0fa86b0_305a_4639_a932_be50092305f5"/>
      <w:bookmarkEnd w:id="105"/>
      <w:bookmarkEnd w:id="106"/>
      <w:r>
        <w:rPr>
          <w:rFonts w:ascii="Times New Roman;Times;serif" w:hAnsi="Times New Roman;Times;serif"/>
          <w:b/>
          <w:sz w:val="20"/>
        </w:rPr>
        <w:t>Item 16E.             Purchases of Equity Securities by the Issuer and Affiliated Purchasers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February 25, 2021, we announced a share repurchase program authorized by our board of directors pursuant to which we were authorized to purchase up to US$2.0 billion of our outstanding ADSs and ordinary shares in open market transactions for a period not to exceed 24 months beginning on March 2, 2021. On August 31, 2021, our board of directors approved an amendment to such program to increase the total authorized purchase amount to US$3.0 billion. As of January 9, 2023, the US$3.0 billion was nearly fully used with approximately 33.6 million ADSs repurchased, and this share repurchase program was completed on the same day.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November 17, 2022, we announced a share repurchase program authorized by our board of directors pursuant to which we were authorized to purchase up to US$5.0 billion of our outstanding ADSs and ordinary shares in open market transactions for a period not to exceed 36 months. This new share repurchase program became effective on January 10, 2023, immediately following the expiration of the prior program. As of December 31, 2023, approximately 7.2 million ADSs were repurchased under this program for a total cost of US$644.1 million.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table below shows the ADSs that we repurchased for each month in 2023:</w:t>
      </w:r>
    </w:p>
    <w:p>
      <w:pPr>
        <w:pStyle w:val="TextBody"/>
        <w:bidi w:val="0"/>
        <w:spacing w:before="0" w:after="0"/>
        <w:ind w:left="0" w:right="0" w:firstLine="720"/>
        <w:jc w:val="left"/>
        <w:rPr/>
      </w:pPr>
      <w:r>
        <w:rPr/>
        <w:t>​</w:t>
      </w:r>
    </w:p>
    <w:tbl>
      <w:tblPr>
        <w:tblW w:w="7144" w:type="dxa"/>
        <w:jc w:val="left"/>
        <w:tblInd w:w="0" w:type="dxa"/>
        <w:tblLayout w:type="fixed"/>
        <w:tblCellMar>
          <w:top w:w="0" w:type="dxa"/>
          <w:left w:w="0" w:type="dxa"/>
          <w:bottom w:w="0" w:type="dxa"/>
          <w:right w:w="0" w:type="dxa"/>
        </w:tblCellMar>
      </w:tblPr>
      <w:tblGrid>
        <w:gridCol w:w="1441"/>
        <w:gridCol w:w="326"/>
        <w:gridCol w:w="1006"/>
        <w:gridCol w:w="326"/>
        <w:gridCol w:w="736"/>
        <w:gridCol w:w="326"/>
        <w:gridCol w:w="1321"/>
        <w:gridCol w:w="326"/>
        <w:gridCol w:w="1336"/>
      </w:tblGrid>
      <w:tr>
        <w:trPr/>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915035" cy="175260"/>
                      <wp:effectExtent l="0" t="0" r="0" b="0"/>
                      <wp:wrapNone/>
                      <wp:docPr id="268" name="Frame267"/>
                      <a:graphic xmlns:a="http://schemas.openxmlformats.org/drawingml/2006/main">
                        <a:graphicData uri="http://schemas.microsoft.com/office/word/2010/wordprocessingShape">
                          <wps:wsp>
                            <wps:cNvSpPr txBox="1"/>
                            <wps:spPr>
                              <a:xfrm>
                                <a:off x="0" y="0"/>
                                <a:ext cx="915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07010" cy="175260"/>
                      <wp:effectExtent l="0" t="0" r="0" b="0"/>
                      <wp:wrapNone/>
                      <wp:docPr id="269" name="Frame2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38810" cy="175260"/>
                      <wp:effectExtent l="0" t="0" r="0" b="0"/>
                      <wp:wrapNone/>
                      <wp:docPr id="270" name="Frame269"/>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07010" cy="175260"/>
                      <wp:effectExtent l="0" t="0" r="0" b="0"/>
                      <wp:wrapNone/>
                      <wp:docPr id="271" name="Frame2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467360" cy="175260"/>
                      <wp:effectExtent l="0" t="0" r="0" b="0"/>
                      <wp:wrapNone/>
                      <wp:docPr id="272" name="Frame271"/>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07010" cy="175260"/>
                      <wp:effectExtent l="0" t="0" r="0" b="0"/>
                      <wp:wrapNone/>
                      <wp:docPr id="273" name="Frame2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838835" cy="175260"/>
                      <wp:effectExtent l="0" t="0" r="0" b="0"/>
                      <wp:wrapNone/>
                      <wp:docPr id="274" name="Frame273"/>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07010" cy="175260"/>
                      <wp:effectExtent l="0" t="0" r="0" b="0"/>
                      <wp:wrapNone/>
                      <wp:docPr id="275" name="Frame2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848360" cy="175260"/>
                      <wp:effectExtent l="0" t="0" r="0" b="0"/>
                      <wp:wrapNone/>
                      <wp:docPr id="276" name="Frame275"/>
                      <a:graphic xmlns:a="http://schemas.openxmlformats.org/drawingml/2006/main">
                        <a:graphicData uri="http://schemas.microsoft.com/office/word/2010/wordprocessingShape">
                          <wps:wsp>
                            <wps:cNvSpPr txBox="1"/>
                            <wps:spPr>
                              <a:xfrm>
                                <a:off x="0" y="0"/>
                                <a:ext cx="848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w:t>
            </w:r>
          </w:p>
        </w:tc>
        <w:tc>
          <w:tcPr>
            <w:tcW w:w="326"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Approximate</w:t>
            </w:r>
          </w:p>
        </w:tc>
      </w:tr>
      <w:tr>
        <w:trPr/>
        <w:tc>
          <w:tcPr>
            <w:tcW w:w="14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ADSs</w:t>
            </w:r>
          </w:p>
        </w:tc>
        <w:tc>
          <w:tcPr>
            <w:tcW w:w="326"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Maximum</w:t>
            </w:r>
          </w:p>
        </w:tc>
      </w:tr>
      <w:tr>
        <w:trPr/>
        <w:tc>
          <w:tcPr>
            <w:tcW w:w="14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Purchased</w:t>
            </w:r>
          </w:p>
        </w:tc>
        <w:tc>
          <w:tcPr>
            <w:tcW w:w="326"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 Value</w:t>
            </w:r>
          </w:p>
        </w:tc>
      </w:tr>
      <w:tr>
        <w:trPr/>
        <w:tc>
          <w:tcPr>
            <w:tcW w:w="14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Part of</w:t>
            </w:r>
          </w:p>
        </w:tc>
        <w:tc>
          <w:tcPr>
            <w:tcW w:w="326"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ADSs</w:t>
            </w:r>
          </w:p>
        </w:tc>
      </w:tr>
      <w:tr>
        <w:trPr/>
        <w:tc>
          <w:tcPr>
            <w:tcW w:w="14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Publicly</w:t>
            </w:r>
          </w:p>
        </w:tc>
        <w:tc>
          <w:tcPr>
            <w:tcW w:w="326"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that May Yet</w:t>
            </w:r>
          </w:p>
        </w:tc>
      </w:tr>
      <w:tr>
        <w:trPr/>
        <w:tc>
          <w:tcPr>
            <w:tcW w:w="14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Announced</w:t>
            </w:r>
          </w:p>
        </w:tc>
        <w:tc>
          <w:tcPr>
            <w:tcW w:w="326"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w:t>
            </w:r>
          </w:p>
        </w:tc>
      </w:tr>
      <w:tr>
        <w:trPr/>
        <w:tc>
          <w:tcPr>
            <w:tcW w:w="14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2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Plans</w:t>
            </w:r>
          </w:p>
        </w:tc>
        <w:tc>
          <w:tcPr>
            <w:tcW w:w="326"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Purchased</w:t>
            </w:r>
          </w:p>
        </w:tc>
      </w:tr>
      <w:tr>
        <w:trPr/>
        <w:tc>
          <w:tcPr>
            <w:tcW w:w="14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ADSs</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w:t>
            </w:r>
          </w:p>
        </w:tc>
        <w:tc>
          <w:tcPr>
            <w:tcW w:w="32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w:t>
            </w:r>
          </w:p>
        </w:tc>
        <w:tc>
          <w:tcPr>
            <w:tcW w:w="326"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Under</w:t>
            </w:r>
          </w:p>
        </w:tc>
      </w:tr>
      <w:tr>
        <w:trPr/>
        <w:tc>
          <w:tcPr>
            <w:tcW w:w="14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Period</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Purchased</w:t>
            </w:r>
            <w:r>
              <w:rPr>
                <w:rFonts w:ascii="Times New Roman;Times;serif" w:hAnsi="Times New Roman;Times;serif"/>
                <w:b/>
                <w:sz w:val="12"/>
              </w:rPr>
              <w:t>(1)</w:t>
            </w:r>
          </w:p>
        </w:tc>
        <w:tc>
          <w:tcPr>
            <w:tcW w:w="326" w:type="dxa"/>
            <w:tcBorders/>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 ADS</w:t>
            </w:r>
          </w:p>
        </w:tc>
        <w:tc>
          <w:tcPr>
            <w:tcW w:w="326" w:type="dxa"/>
            <w:tcBorders/>
            <w:vAlign w:val="center"/>
          </w:tcPr>
          <w:p>
            <w:pPr>
              <w:pStyle w:val="TableContents"/>
              <w:bidi w:val="0"/>
              <w:spacing w:before="0" w:after="0"/>
              <w:ind w:left="0" w:right="0" w:hanging="0"/>
              <w:jc w:val="left"/>
              <w:rPr/>
            </w:pPr>
            <w:r>
              <w:rPr/>
              <w:t>    </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Programs</w:t>
            </w:r>
          </w:p>
        </w:tc>
        <w:tc>
          <w:tcPr>
            <w:tcW w:w="326" w:type="dxa"/>
            <w:tcBorders/>
            <w:vAlign w:val="center"/>
          </w:tcPr>
          <w:p>
            <w:pPr>
              <w:pStyle w:val="TableContents"/>
              <w:bidi w:val="0"/>
              <w:spacing w:before="0" w:after="0"/>
              <w:ind w:left="0" w:right="0" w:hanging="0"/>
              <w:jc w:val="left"/>
              <w:rPr/>
            </w:pPr>
            <w:r>
              <w:rPr/>
              <w:t>    </w:t>
            </w:r>
          </w:p>
        </w:tc>
        <w:tc>
          <w:tcPr>
            <w:tcW w:w="13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 Latest Plan</w:t>
            </w:r>
          </w:p>
        </w:tc>
      </w:tr>
      <w:tr>
        <w:trPr/>
        <w:tc>
          <w:tcPr>
            <w:tcW w:w="14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26" w:type="dxa"/>
            <w:tcBorders/>
            <w:vAlign w:val="center"/>
          </w:tcPr>
          <w:p>
            <w:pPr>
              <w:pStyle w:val="TableContents"/>
              <w:bidi w:val="0"/>
              <w:spacing w:before="0" w:after="0"/>
              <w:ind w:left="0" w:right="0" w:hanging="0"/>
              <w:jc w:val="left"/>
              <w:rPr/>
            </w:pPr>
            <w:r>
              <w:rPr/>
              <w:t>​</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26"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center"/>
              <w:rPr/>
            </w:pPr>
            <w:r>
              <w:rPr/>
              <w:t>​</w:t>
            </w:r>
          </w:p>
        </w:tc>
      </w:tr>
      <w:tr>
        <w:trPr/>
        <w:tc>
          <w:tcPr>
            <w:tcW w:w="14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January 2023</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1,221,499</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83.45</w:t>
            </w:r>
          </w:p>
        </w:tc>
        <w:tc>
          <w:tcPr>
            <w:tcW w:w="326" w:type="dxa"/>
            <w:tcBorders/>
            <w:shd w:fill="CCEEFF" w:val="clear"/>
            <w:vAlign w:val="center"/>
          </w:tcPr>
          <w:p>
            <w:pPr>
              <w:pStyle w:val="TableContents"/>
              <w:bidi w:val="0"/>
              <w:spacing w:before="0" w:after="0"/>
              <w:ind w:left="0" w:right="0" w:hanging="0"/>
              <w:jc w:val="left"/>
              <w:rPr/>
            </w:pPr>
            <w:r>
              <w:rPr/>
              <w:t> </w:t>
            </w:r>
          </w:p>
        </w:tc>
        <w:tc>
          <w:tcPr>
            <w:tcW w:w="13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101,937,668</w:t>
            </w:r>
          </w:p>
        </w:tc>
        <w:tc>
          <w:tcPr>
            <w:tcW w:w="326" w:type="dxa"/>
            <w:tcBorders/>
            <w:shd w:fill="CCEEFF" w:val="clear"/>
            <w:vAlign w:val="center"/>
          </w:tcPr>
          <w:p>
            <w:pPr>
              <w:pStyle w:val="TableContents"/>
              <w:bidi w:val="0"/>
              <w:spacing w:before="0" w:after="0"/>
              <w:ind w:left="0" w:right="0" w:hanging="0"/>
              <w:jc w:val="left"/>
              <w:rPr/>
            </w:pPr>
            <w:r>
              <w:rPr/>
              <w:t> </w:t>
            </w:r>
          </w:p>
        </w:tc>
        <w:tc>
          <w:tcPr>
            <w:tcW w:w="13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4,940,561,093</w:t>
            </w:r>
          </w:p>
        </w:tc>
      </w:tr>
      <w:tr>
        <w:trPr/>
        <w:tc>
          <w:tcPr>
            <w:tcW w:w="1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2023</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1,030,506</w:t>
            </w:r>
          </w:p>
        </w:tc>
        <w:tc>
          <w:tcPr>
            <w:tcW w:w="3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87.04</w:t>
            </w:r>
          </w:p>
        </w:tc>
        <w:tc>
          <w:tcPr>
            <w:tcW w:w="326" w:type="dxa"/>
            <w:tcBorders/>
            <w:vAlign w:val="center"/>
          </w:tcPr>
          <w:p>
            <w:pPr>
              <w:pStyle w:val="TableContents"/>
              <w:bidi w:val="0"/>
              <w:spacing w:before="0" w:after="0"/>
              <w:ind w:left="0" w:right="0" w:hanging="0"/>
              <w:jc w:val="left"/>
              <w:rPr/>
            </w:pPr>
            <w:r>
              <w:rPr/>
              <w:t> </w:t>
            </w:r>
          </w:p>
        </w:tc>
        <w:tc>
          <w:tcPr>
            <w:tcW w:w="13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89,693,273</w:t>
            </w:r>
          </w:p>
        </w:tc>
        <w:tc>
          <w:tcPr>
            <w:tcW w:w="326" w:type="dxa"/>
            <w:tcBorders/>
            <w:vAlign w:val="center"/>
          </w:tcPr>
          <w:p>
            <w:pPr>
              <w:pStyle w:val="TableContents"/>
              <w:bidi w:val="0"/>
              <w:spacing w:before="0" w:after="0"/>
              <w:ind w:left="0" w:right="0" w:hanging="0"/>
              <w:jc w:val="left"/>
              <w:rPr/>
            </w:pPr>
            <w:r>
              <w:rPr/>
              <w:t> </w:t>
            </w:r>
          </w:p>
        </w:tc>
        <w:tc>
          <w:tcPr>
            <w:tcW w:w="13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4,850,867,820</w:t>
            </w:r>
          </w:p>
        </w:tc>
      </w:tr>
      <w:tr>
        <w:trPr/>
        <w:tc>
          <w:tcPr>
            <w:tcW w:w="14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2023</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1,394,590</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84.58</w:t>
            </w:r>
          </w:p>
        </w:tc>
        <w:tc>
          <w:tcPr>
            <w:tcW w:w="326" w:type="dxa"/>
            <w:tcBorders/>
            <w:shd w:fill="CCEEFF" w:val="clear"/>
            <w:vAlign w:val="center"/>
          </w:tcPr>
          <w:p>
            <w:pPr>
              <w:pStyle w:val="TableContents"/>
              <w:bidi w:val="0"/>
              <w:spacing w:before="0" w:after="0"/>
              <w:ind w:left="0" w:right="0" w:hanging="0"/>
              <w:jc w:val="left"/>
              <w:rPr/>
            </w:pPr>
            <w:r>
              <w:rPr/>
              <w:t> </w:t>
            </w:r>
          </w:p>
        </w:tc>
        <w:tc>
          <w:tcPr>
            <w:tcW w:w="13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117,952,967</w:t>
            </w:r>
          </w:p>
        </w:tc>
        <w:tc>
          <w:tcPr>
            <w:tcW w:w="326" w:type="dxa"/>
            <w:tcBorders/>
            <w:shd w:fill="CCEEFF" w:val="clear"/>
            <w:vAlign w:val="center"/>
          </w:tcPr>
          <w:p>
            <w:pPr>
              <w:pStyle w:val="TableContents"/>
              <w:bidi w:val="0"/>
              <w:spacing w:before="0" w:after="0"/>
              <w:ind w:left="0" w:right="0" w:hanging="0"/>
              <w:jc w:val="left"/>
              <w:rPr/>
            </w:pPr>
            <w:r>
              <w:rPr/>
              <w:t> </w:t>
            </w:r>
          </w:p>
        </w:tc>
        <w:tc>
          <w:tcPr>
            <w:tcW w:w="13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4,732,914,853</w:t>
            </w:r>
          </w:p>
        </w:tc>
      </w:tr>
      <w:tr>
        <w:trPr/>
        <w:tc>
          <w:tcPr>
            <w:tcW w:w="1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2023</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931,852</w:t>
            </w:r>
          </w:p>
        </w:tc>
        <w:tc>
          <w:tcPr>
            <w:tcW w:w="3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89.60</w:t>
            </w:r>
          </w:p>
        </w:tc>
        <w:tc>
          <w:tcPr>
            <w:tcW w:w="326" w:type="dxa"/>
            <w:tcBorders/>
            <w:vAlign w:val="center"/>
          </w:tcPr>
          <w:p>
            <w:pPr>
              <w:pStyle w:val="TableContents"/>
              <w:bidi w:val="0"/>
              <w:spacing w:before="0" w:after="0"/>
              <w:ind w:left="0" w:right="0" w:hanging="0"/>
              <w:jc w:val="left"/>
              <w:rPr/>
            </w:pPr>
            <w:r>
              <w:rPr/>
              <w:t> </w:t>
            </w:r>
          </w:p>
        </w:tc>
        <w:tc>
          <w:tcPr>
            <w:tcW w:w="13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83,496,036</w:t>
            </w:r>
          </w:p>
        </w:tc>
        <w:tc>
          <w:tcPr>
            <w:tcW w:w="326" w:type="dxa"/>
            <w:tcBorders/>
            <w:vAlign w:val="center"/>
          </w:tcPr>
          <w:p>
            <w:pPr>
              <w:pStyle w:val="TableContents"/>
              <w:bidi w:val="0"/>
              <w:spacing w:before="0" w:after="0"/>
              <w:ind w:left="0" w:right="0" w:hanging="0"/>
              <w:jc w:val="left"/>
              <w:rPr/>
            </w:pPr>
            <w:r>
              <w:rPr/>
              <w:t> </w:t>
            </w:r>
          </w:p>
        </w:tc>
        <w:tc>
          <w:tcPr>
            <w:tcW w:w="13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4,649,418,817</w:t>
            </w:r>
          </w:p>
        </w:tc>
      </w:tr>
      <w:tr>
        <w:trPr/>
        <w:tc>
          <w:tcPr>
            <w:tcW w:w="14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2023</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1,168,774</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87.83</w:t>
            </w:r>
          </w:p>
        </w:tc>
        <w:tc>
          <w:tcPr>
            <w:tcW w:w="326" w:type="dxa"/>
            <w:tcBorders/>
            <w:shd w:fill="CCEEFF" w:val="clear"/>
            <w:vAlign w:val="center"/>
          </w:tcPr>
          <w:p>
            <w:pPr>
              <w:pStyle w:val="TableContents"/>
              <w:bidi w:val="0"/>
              <w:spacing w:before="0" w:after="0"/>
              <w:ind w:left="0" w:right="0" w:hanging="0"/>
              <w:jc w:val="left"/>
              <w:rPr/>
            </w:pPr>
            <w:r>
              <w:rPr/>
              <w:t> </w:t>
            </w:r>
          </w:p>
        </w:tc>
        <w:tc>
          <w:tcPr>
            <w:tcW w:w="13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102,651,737</w:t>
            </w:r>
          </w:p>
        </w:tc>
        <w:tc>
          <w:tcPr>
            <w:tcW w:w="326" w:type="dxa"/>
            <w:tcBorders/>
            <w:shd w:fill="CCEEFF" w:val="clear"/>
            <w:vAlign w:val="center"/>
          </w:tcPr>
          <w:p>
            <w:pPr>
              <w:pStyle w:val="TableContents"/>
              <w:bidi w:val="0"/>
              <w:spacing w:before="0" w:after="0"/>
              <w:ind w:left="0" w:right="0" w:hanging="0"/>
              <w:jc w:val="left"/>
              <w:rPr/>
            </w:pPr>
            <w:r>
              <w:rPr/>
              <w:t> </w:t>
            </w:r>
          </w:p>
        </w:tc>
        <w:tc>
          <w:tcPr>
            <w:tcW w:w="13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4,546,767,080</w:t>
            </w:r>
          </w:p>
        </w:tc>
      </w:tr>
      <w:tr>
        <w:trPr/>
        <w:tc>
          <w:tcPr>
            <w:tcW w:w="1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2023</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906,552</w:t>
            </w:r>
          </w:p>
        </w:tc>
        <w:tc>
          <w:tcPr>
            <w:tcW w:w="3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91.70</w:t>
            </w:r>
          </w:p>
        </w:tc>
        <w:tc>
          <w:tcPr>
            <w:tcW w:w="326" w:type="dxa"/>
            <w:tcBorders/>
            <w:vAlign w:val="center"/>
          </w:tcPr>
          <w:p>
            <w:pPr>
              <w:pStyle w:val="TableContents"/>
              <w:bidi w:val="0"/>
              <w:spacing w:before="0" w:after="0"/>
              <w:ind w:left="0" w:right="0" w:hanging="0"/>
              <w:jc w:val="left"/>
              <w:rPr/>
            </w:pPr>
            <w:r>
              <w:rPr/>
              <w:t> </w:t>
            </w:r>
          </w:p>
        </w:tc>
        <w:tc>
          <w:tcPr>
            <w:tcW w:w="13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83,131,308</w:t>
            </w:r>
          </w:p>
        </w:tc>
        <w:tc>
          <w:tcPr>
            <w:tcW w:w="326" w:type="dxa"/>
            <w:tcBorders/>
            <w:vAlign w:val="center"/>
          </w:tcPr>
          <w:p>
            <w:pPr>
              <w:pStyle w:val="TableContents"/>
              <w:bidi w:val="0"/>
              <w:spacing w:before="0" w:after="0"/>
              <w:ind w:left="0" w:right="0" w:hanging="0"/>
              <w:jc w:val="left"/>
              <w:rPr/>
            </w:pPr>
            <w:r>
              <w:rPr/>
              <w:t> </w:t>
            </w:r>
          </w:p>
        </w:tc>
        <w:tc>
          <w:tcPr>
            <w:tcW w:w="13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4,463,635,772</w:t>
            </w:r>
          </w:p>
        </w:tc>
      </w:tr>
      <w:tr>
        <w:trPr/>
        <w:tc>
          <w:tcPr>
            <w:tcW w:w="14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2023</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264,597</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97.43</w:t>
            </w:r>
          </w:p>
        </w:tc>
        <w:tc>
          <w:tcPr>
            <w:tcW w:w="326" w:type="dxa"/>
            <w:tcBorders/>
            <w:shd w:fill="CCEEFF" w:val="clear"/>
            <w:vAlign w:val="center"/>
          </w:tcPr>
          <w:p>
            <w:pPr>
              <w:pStyle w:val="TableContents"/>
              <w:bidi w:val="0"/>
              <w:spacing w:before="0" w:after="0"/>
              <w:ind w:left="0" w:right="0" w:hanging="0"/>
              <w:jc w:val="left"/>
              <w:rPr/>
            </w:pPr>
            <w:r>
              <w:rPr/>
              <w:t> </w:t>
            </w:r>
          </w:p>
        </w:tc>
        <w:tc>
          <w:tcPr>
            <w:tcW w:w="13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25,778,888</w:t>
            </w:r>
          </w:p>
        </w:tc>
        <w:tc>
          <w:tcPr>
            <w:tcW w:w="326" w:type="dxa"/>
            <w:tcBorders/>
            <w:shd w:fill="CCEEFF" w:val="clear"/>
            <w:vAlign w:val="center"/>
          </w:tcPr>
          <w:p>
            <w:pPr>
              <w:pStyle w:val="TableContents"/>
              <w:bidi w:val="0"/>
              <w:spacing w:before="0" w:after="0"/>
              <w:ind w:left="0" w:right="0" w:hanging="0"/>
              <w:jc w:val="left"/>
              <w:rPr/>
            </w:pPr>
            <w:r>
              <w:rPr/>
              <w:t> </w:t>
            </w:r>
          </w:p>
        </w:tc>
        <w:tc>
          <w:tcPr>
            <w:tcW w:w="13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4,437,856,884</w:t>
            </w:r>
          </w:p>
        </w:tc>
      </w:tr>
      <w:tr>
        <w:trPr/>
        <w:tc>
          <w:tcPr>
            <w:tcW w:w="1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2023</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97,549</w:t>
            </w:r>
          </w:p>
        </w:tc>
        <w:tc>
          <w:tcPr>
            <w:tcW w:w="3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98.42</w:t>
            </w:r>
          </w:p>
        </w:tc>
        <w:tc>
          <w:tcPr>
            <w:tcW w:w="326" w:type="dxa"/>
            <w:tcBorders/>
            <w:vAlign w:val="center"/>
          </w:tcPr>
          <w:p>
            <w:pPr>
              <w:pStyle w:val="TableContents"/>
              <w:bidi w:val="0"/>
              <w:spacing w:before="0" w:after="0"/>
              <w:ind w:left="0" w:right="0" w:hanging="0"/>
              <w:jc w:val="left"/>
              <w:rPr/>
            </w:pPr>
            <w:r>
              <w:rPr/>
              <w:t> </w:t>
            </w:r>
          </w:p>
        </w:tc>
        <w:tc>
          <w:tcPr>
            <w:tcW w:w="13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9,601,000</w:t>
            </w:r>
          </w:p>
        </w:tc>
        <w:tc>
          <w:tcPr>
            <w:tcW w:w="326" w:type="dxa"/>
            <w:tcBorders/>
            <w:vAlign w:val="center"/>
          </w:tcPr>
          <w:p>
            <w:pPr>
              <w:pStyle w:val="TableContents"/>
              <w:bidi w:val="0"/>
              <w:spacing w:before="0" w:after="0"/>
              <w:ind w:left="0" w:right="0" w:hanging="0"/>
              <w:jc w:val="left"/>
              <w:rPr/>
            </w:pPr>
            <w:r>
              <w:rPr/>
              <w:t> </w:t>
            </w:r>
          </w:p>
        </w:tc>
        <w:tc>
          <w:tcPr>
            <w:tcW w:w="13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4,428,255,884</w:t>
            </w:r>
          </w:p>
        </w:tc>
      </w:tr>
      <w:tr>
        <w:trPr/>
        <w:tc>
          <w:tcPr>
            <w:tcW w:w="14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 2023</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164,645</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98.34</w:t>
            </w:r>
          </w:p>
        </w:tc>
        <w:tc>
          <w:tcPr>
            <w:tcW w:w="326" w:type="dxa"/>
            <w:tcBorders/>
            <w:shd w:fill="CCEEFF" w:val="clear"/>
            <w:vAlign w:val="center"/>
          </w:tcPr>
          <w:p>
            <w:pPr>
              <w:pStyle w:val="TableContents"/>
              <w:bidi w:val="0"/>
              <w:spacing w:before="0" w:after="0"/>
              <w:ind w:left="0" w:right="0" w:hanging="0"/>
              <w:jc w:val="left"/>
              <w:rPr/>
            </w:pPr>
            <w:r>
              <w:rPr/>
              <w:t> </w:t>
            </w:r>
          </w:p>
        </w:tc>
        <w:tc>
          <w:tcPr>
            <w:tcW w:w="13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16,190,940</w:t>
            </w:r>
          </w:p>
        </w:tc>
        <w:tc>
          <w:tcPr>
            <w:tcW w:w="326" w:type="dxa"/>
            <w:tcBorders/>
            <w:shd w:fill="CCEEFF" w:val="clear"/>
            <w:vAlign w:val="center"/>
          </w:tcPr>
          <w:p>
            <w:pPr>
              <w:pStyle w:val="TableContents"/>
              <w:bidi w:val="0"/>
              <w:spacing w:before="0" w:after="0"/>
              <w:ind w:left="0" w:right="0" w:hanging="0"/>
              <w:jc w:val="left"/>
              <w:rPr/>
            </w:pPr>
            <w:r>
              <w:rPr/>
              <w:t> </w:t>
            </w:r>
          </w:p>
        </w:tc>
        <w:tc>
          <w:tcPr>
            <w:tcW w:w="13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4,412,064,944</w:t>
            </w:r>
          </w:p>
        </w:tc>
      </w:tr>
      <w:tr>
        <w:trPr/>
        <w:tc>
          <w:tcPr>
            <w:tcW w:w="1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October 2023</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167,019</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98.88</w:t>
            </w:r>
          </w:p>
        </w:tc>
        <w:tc>
          <w:tcPr>
            <w:tcW w:w="32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16,514,699</w:t>
            </w:r>
          </w:p>
        </w:tc>
        <w:tc>
          <w:tcPr>
            <w:tcW w:w="326"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4,395,550,245</w:t>
            </w:r>
          </w:p>
        </w:tc>
      </w:tr>
      <w:tr>
        <w:trPr/>
        <w:tc>
          <w:tcPr>
            <w:tcW w:w="14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November 2023</w:t>
            </w:r>
          </w:p>
        </w:tc>
        <w:tc>
          <w:tcPr>
            <w:tcW w:w="3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3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4,395,550,245</w:t>
            </w:r>
          </w:p>
        </w:tc>
      </w:tr>
      <w:tr>
        <w:trPr/>
        <w:tc>
          <w:tcPr>
            <w:tcW w:w="1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2023</w:t>
            </w:r>
          </w:p>
        </w:tc>
        <w:tc>
          <w:tcPr>
            <w:tcW w:w="326" w:type="dxa"/>
            <w:tcBorders/>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410,852</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96.52</w:t>
            </w:r>
          </w:p>
        </w:tc>
        <w:tc>
          <w:tcPr>
            <w:tcW w:w="326" w:type="dxa"/>
            <w:tcBorders/>
            <w:vAlign w:val="center"/>
          </w:tcPr>
          <w:p>
            <w:pPr>
              <w:pStyle w:val="TableContents"/>
              <w:bidi w:val="0"/>
              <w:spacing w:before="0" w:after="0"/>
              <w:ind w:left="0" w:right="0" w:hanging="0"/>
              <w:jc w:val="left"/>
              <w:rPr/>
            </w:pPr>
            <w:r>
              <w:rPr/>
              <w:t>​</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39,657,442</w:t>
            </w:r>
          </w:p>
        </w:tc>
        <w:tc>
          <w:tcPr>
            <w:tcW w:w="326"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4,355,892,803</w:t>
            </w:r>
          </w:p>
        </w:tc>
      </w:tr>
      <w:tr>
        <w:trPr/>
        <w:tc>
          <w:tcPr>
            <w:tcW w:w="14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7,758,435</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3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686,605,958</w:t>
            </w:r>
          </w:p>
        </w:tc>
        <w:tc>
          <w:tcPr>
            <w:tcW w:w="326" w:type="dxa"/>
            <w:tcBorders/>
            <w:shd w:fill="CCEEFF" w:val="clear"/>
            <w:vAlign w:val="center"/>
          </w:tcPr>
          <w:p>
            <w:pPr>
              <w:pStyle w:val="TableContents"/>
              <w:bidi w:val="0"/>
              <w:spacing w:before="0" w:after="0"/>
              <w:ind w:left="0" w:right="0" w:hanging="0"/>
              <w:jc w:val="left"/>
              <w:rPr/>
            </w:pPr>
            <w:r>
              <w:rPr/>
              <w:t>​</w:t>
            </w:r>
          </w:p>
        </w:tc>
        <w:tc>
          <w:tcPr>
            <w:tcW w:w="1336" w:type="dxa"/>
            <w:tcBorders/>
            <w:shd w:fill="CCEEFF" w:val="clear"/>
            <w:vAlign w:val="center"/>
          </w:tcPr>
          <w:p>
            <w:pPr>
              <w:pStyle w:val="TableContents"/>
              <w:bidi w:val="0"/>
              <w:spacing w:before="0" w:after="0"/>
              <w:ind w:left="0" w:right="0" w:hanging="0"/>
              <w:jc w:val="right"/>
              <w:rPr/>
            </w:pPr>
            <w:r>
              <w:rPr/>
              <w:t>​</w:t>
            </w:r>
          </w:p>
        </w:tc>
      </w:tr>
    </w:tbl>
    <w:p>
      <w:pPr>
        <w:pStyle w:val="TextBody"/>
        <w:bidi w:val="0"/>
        <w:ind w:left="0" w:right="0" w:hanging="0"/>
        <w:jc w:val="left"/>
        <w:rPr>
          <w:rFonts w:ascii="Times New Roman;Times;serif" w:hAnsi="Times New Roman;Times;serif"/>
          <w:sz w:val="20"/>
        </w:rPr>
      </w:pPr>
      <w:r>
        <w:rPr>
          <w:rFonts w:ascii="Times New Roman;Times;serif" w:hAnsi="Times New Roman;Times;serif"/>
          <w:sz w:val="20"/>
        </w:rPr>
        <w:t>(1)Our ADS to ordinary share ratio is one ADS for every five ordinary shares.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August 31, 2021, we announced a share purchase program authorized by our board of directors pursuant to which we were authorized to purchase up to US$50.0 million worth of Youdao’s outstanding ADSs on the New York Stock Exchange in open market transactions beginning on September 2, 2021 and for a period not to exceed 36 months. As of December 31, 2023, an aggregate of approximately 2.7 million ADSs had been purchased in the open market under this program for approximately US$22.0 million.</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107" w:name="Item16FChangeinRegistrantsCertifying_900"/>
      <w:bookmarkStart w:id="108" w:name="_52cdd3e7_f1c9_4661_9280_1ff725efc72e"/>
      <w:bookmarkEnd w:id="107"/>
      <w:bookmarkEnd w:id="108"/>
      <w:r>
        <w:rPr>
          <w:rFonts w:ascii="Times New Roman;Times;serif" w:hAnsi="Times New Roman;Times;serif"/>
          <w:b/>
          <w:sz w:val="20"/>
        </w:rPr>
        <w:t>Item 16F.             Change in Registrant’s Certifying Accountants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109" w:name="Item16GCorporateGovernance_267373"/>
      <w:bookmarkStart w:id="110" w:name="_c01108af_c74b_4295_9808_bd69bf0d53e3"/>
      <w:bookmarkEnd w:id="109"/>
      <w:bookmarkEnd w:id="110"/>
      <w:r>
        <w:rPr>
          <w:rFonts w:ascii="Times New Roman;Times;serif" w:hAnsi="Times New Roman;Times;serif"/>
          <w:b/>
          <w:sz w:val="20"/>
        </w:rPr>
        <w:t>Item 16G.            Corporate Governance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As permitted by NASDAQ, in lieu of the NASDAQ corporate governance rules, but subject to certain exceptions, we may follow the practices of our home country which for the purpose of such rules is the Cayman Islands. Specifically, our board of directors adopted our Share Plans without seeking shareholder approval which is generally required under Rule 5635(c) of the NASDAQ Marketplace Rules. There is no specific requirement under Cayman Islands law for shareholder approval to be obtained with respect to the establishment or amendment of equity compensation arrangements.</w:t>
      </w:r>
    </w:p>
    <w:p>
      <w:pPr>
        <w:pStyle w:val="TextBody"/>
        <w:bidi w:val="0"/>
        <w:spacing w:before="0" w:after="0"/>
        <w:ind w:left="0" w:right="0" w:firstLine="720"/>
        <w:jc w:val="left"/>
        <w:rPr/>
      </w:pPr>
      <w:r>
        <w:rPr/>
        <w:t>​</w:t>
      </w:r>
    </w:p>
    <w:p>
      <w:pPr>
        <w:pStyle w:val="TextBody"/>
        <w:bidi w:val="0"/>
        <w:spacing w:before="0" w:after="200"/>
        <w:ind w:left="0" w:right="0" w:hanging="0"/>
        <w:jc w:val="left"/>
        <w:rPr>
          <w:rFonts w:ascii="Times New Roman;Times;serif" w:hAnsi="Times New Roman;Times;serif"/>
          <w:b/>
          <w:sz w:val="20"/>
        </w:rPr>
      </w:pPr>
      <w:bookmarkStart w:id="111" w:name="Item16HMineSafetyDisclosure_744095"/>
      <w:bookmarkStart w:id="112" w:name="_79edf6d4_3c71_4b7a_b773_4720906586c8"/>
      <w:bookmarkEnd w:id="111"/>
      <w:bookmarkEnd w:id="112"/>
      <w:r>
        <w:rPr>
          <w:rFonts w:ascii="Times New Roman;Times;serif" w:hAnsi="Times New Roman;Times;serif"/>
          <w:b/>
          <w:sz w:val="20"/>
        </w:rPr>
        <w:t>Item 16H.          Mine Safety Disclosure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firstLine="720"/>
        <w:jc w:val="left"/>
        <w:rPr/>
      </w:pPr>
      <w:r>
        <w:rPr/>
        <w:t>​</w:t>
      </w:r>
    </w:p>
    <w:p>
      <w:pPr>
        <w:pStyle w:val="TextBody"/>
        <w:bidi w:val="0"/>
        <w:spacing w:before="0" w:after="200"/>
        <w:ind w:left="0" w:right="0" w:hanging="0"/>
        <w:jc w:val="left"/>
        <w:rPr>
          <w:rFonts w:ascii="Times New Roman;Times;serif" w:hAnsi="Times New Roman;Times;serif"/>
          <w:b/>
          <w:sz w:val="20"/>
        </w:rPr>
      </w:pPr>
      <w:bookmarkStart w:id="113" w:name="Item16IDisclosureRegardingForeignJurisdi"/>
      <w:bookmarkStart w:id="114" w:name="_ff414a7d_5d51_4973_8458_d83f0dfa8ee5"/>
      <w:bookmarkEnd w:id="113"/>
      <w:bookmarkEnd w:id="114"/>
      <w:r>
        <w:rPr>
          <w:rFonts w:ascii="Times New Roman;Times;serif" w:hAnsi="Times New Roman;Times;serif"/>
          <w:b/>
          <w:sz w:val="20"/>
        </w:rPr>
        <w:t>Item 16I.          Disclosure Regarding Foreign Jurisdictions that Prevent Inspections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15" w:name="Item16JInsiderTradingPolicies_612586"/>
      <w:bookmarkStart w:id="116" w:name="_d1dcf480_c349_4f8b_b19e_8b901f3617d1"/>
      <w:bookmarkStart w:id="117" w:name="_Hlk155802768"/>
      <w:bookmarkEnd w:id="115"/>
      <w:bookmarkEnd w:id="116"/>
      <w:bookmarkEnd w:id="117"/>
      <w:r>
        <w:rPr>
          <w:rFonts w:ascii="Times New Roman;Times;serif" w:hAnsi="Times New Roman;Times;serif"/>
          <w:b/>
          <w:sz w:val="20"/>
        </w:rPr>
        <w:t>Item 16J.            Insider Trading Policies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bookmarkStart w:id="118" w:name="Item16KCybersecurity_214482"/>
      <w:bookmarkStart w:id="119" w:name="_7d811310_047a_407a_9e72_aa06d595c21d"/>
      <w:bookmarkEnd w:id="118"/>
      <w:bookmarkEnd w:id="119"/>
      <w:r>
        <w:rPr>
          <w:rFonts w:ascii="Times New Roman;Times;serif" w:hAnsi="Times New Roman;Times;serif"/>
          <w:b/>
          <w:sz w:val="20"/>
        </w:rPr>
        <w:t xml:space="preserve">Item 16K.            Cybersecurity </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Cybersecurity Risk Management and Strategy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developed and implemented a cybersecurity risk management program intended to protect the confidentiality, integrity, and availability of our critical systems and information. Our cybersecurity risk management program is integrated into our overall enterprise risk management program and shares common methodologies, reporting channels and governance processes that apply across the risk management program to other risk areas.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Key elements of our cybersecurity risk management program include the following:</w:t>
      </w:r>
    </w:p>
    <w:tbl>
      <w:tblPr>
        <w:tblW w:w="9021" w:type="dxa"/>
        <w:jc w:val="left"/>
        <w:tblInd w:w="0" w:type="dxa"/>
        <w:tblLayout w:type="fixed"/>
        <w:tblCellMar>
          <w:top w:w="28" w:type="dxa"/>
          <w:left w:w="28" w:type="dxa"/>
          <w:bottom w:w="28" w:type="dxa"/>
          <w:right w:w="28" w:type="dxa"/>
        </w:tblCellMar>
      </w:tblPr>
      <w:tblGrid>
        <w:gridCol w:w="124"/>
        <w:gridCol w:w="256"/>
        <w:gridCol w:w="86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assessments designed to help identify material cybersecurity risks to our IT systems and information;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information security office, supported by security teams of business units, principally responsible for managing (1) our cybersecurity risk assessment processes, (2) our security controls, and (3) our response to cybersecurity incidents;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use of external service providers, where appropriate, to assess, test or otherwise assist with aspects of our security processes;</w:t>
            </w:r>
          </w:p>
        </w:tc>
      </w:tr>
    </w:tbl>
    <w:tbl>
      <w:tblPr>
        <w:tblW w:w="9876" w:type="dxa"/>
        <w:jc w:val="left"/>
        <w:tblInd w:w="0" w:type="dxa"/>
        <w:tblLayout w:type="fixed"/>
        <w:tblCellMar>
          <w:top w:w="28" w:type="dxa"/>
          <w:left w:w="28" w:type="dxa"/>
          <w:bottom w:w="28" w:type="dxa"/>
          <w:right w:w="28" w:type="dxa"/>
        </w:tblCellMar>
      </w:tblPr>
      <w:tblGrid>
        <w:gridCol w:w="124"/>
        <w:gridCol w:w="256"/>
        <w:gridCol w:w="9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cybersecurity awareness training of our employees, including incident response personnel and senior management;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information security incident management policy that includes procedures for responding to cybersecurity incidents;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security review process, where appropriate, to assess the risks associated with the use of key third-party service providers, suppliers, and vendors based on our assessment of their criticality to our operations and respective risk profile.</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the date of the filing of this annual report, we have not experienced any material cybersecurity incidents or identified any material cybersecurity threats that have affected or are reasonably likely to materially affect us, our business strategy, results of operations or financial condition. We face certain ongoing risks from cybersecurity threats that, if realized, could potentially materially affect us. See Item 3.D. “Key Information—Risk Factor—Risks Related to Our Operations Overall—Cybersecurity and the threat environment remain a dynamic and ever-changing landscape with new threats and increasingly sophisticated attacks continually emerging. Successful security breaches can lead to unauthorized access to our network, systems and, in turn, confidential information which may include personal and sensitive information. This could materially adversely affect our business, results of operations and financial condition and expose us to liability claims.”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Cybersecurity Governance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board of directors considers cybersecurity risk as part of its risk oversight function and has also designated the audit committee to oversee cybersecurity and other information security risks. The audit committee reviews our cybersecurity management and strategy periodically and receives regular reports from the management on our cybersecurity risks. In addition, our management updates the audit committee, where it deems appropriate, regarding cybersecurity incidents it considers to be significant.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At the management level, we have established an information security committee, which is responsible for implementing a global information security program which is aligned with our strategy, establishing and promoting the corresponding policies and procedures, and, as necessary, and assisting in ensuring adequate and timely disclosure of information security incidents and certain threats to our company’s management and board of directors, in accordance with our information security incident management policy.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information security committee is comprised of members of senior management and senior personnel, including our chief executive officer, the head of our information security office who has experience in dealing with cybersecurity issues, and other members of management, leaders of business units and the legal, IT and other departments.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information security committee reports to the audit committee on the state of information security risks on periodic basis, as well as on an as-needed basis in the case of information security incidents it deems significant.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20" w:name="PARTIII_277948"/>
      <w:bookmarkStart w:id="121" w:name="_25db3bd3_324d_4650_bba8_34604c7c591e"/>
      <w:bookmarkEnd w:id="120"/>
      <w:bookmarkEnd w:id="121"/>
      <w:r>
        <w:rPr>
          <w:rFonts w:ascii="Times New Roman;Times;serif" w:hAnsi="Times New Roman;Times;serif"/>
          <w:b/>
          <w:sz w:val="20"/>
        </w:rPr>
        <w:t>PART III.</w:t>
      </w:r>
    </w:p>
    <w:p>
      <w:pPr>
        <w:pStyle w:val="TextBody"/>
        <w:bidi w:val="0"/>
        <w:spacing w:before="0" w:after="240"/>
        <w:ind w:left="0" w:right="0" w:hanging="0"/>
        <w:jc w:val="left"/>
        <w:rPr>
          <w:rFonts w:ascii="Times New Roman;Times;serif" w:hAnsi="Times New Roman;Times;serif"/>
          <w:b/>
          <w:sz w:val="20"/>
        </w:rPr>
      </w:pPr>
      <w:bookmarkStart w:id="122" w:name="Item17FinancialStatements_687804"/>
      <w:bookmarkEnd w:id="122"/>
      <w:r>
        <w:rPr>
          <w:rFonts w:ascii="Times New Roman;Times;serif" w:hAnsi="Times New Roman;Times;serif"/>
          <w:b/>
          <w:sz w:val="20"/>
        </w:rPr>
        <w:t>Item 17.            Financial Statements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have elected to provide financial statements pursuant to Item 18.</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23" w:name="Item18FinancialStatements_986144"/>
      <w:bookmarkStart w:id="124" w:name="_6ce9f851_018d_4f68_bd5c_1e2dfa303967"/>
      <w:bookmarkEnd w:id="123"/>
      <w:bookmarkEnd w:id="124"/>
      <w:r>
        <w:rPr>
          <w:rFonts w:ascii="Times New Roman;Times;serif" w:hAnsi="Times New Roman;Times;serif"/>
          <w:b/>
          <w:sz w:val="20"/>
        </w:rPr>
        <w:t>Item 18.            Financial Statements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consolidated financial statements for NetEase, Inc. and its subsidiaries are included at the end of this annual report.</w:t>
      </w:r>
    </w:p>
    <w:p>
      <w:pPr>
        <w:pStyle w:val="TextBody"/>
        <w:bidi w:val="0"/>
        <w:spacing w:before="0" w:after="240"/>
        <w:ind w:left="0" w:right="0" w:hanging="0"/>
        <w:jc w:val="left"/>
        <w:rPr>
          <w:rFonts w:ascii="Times New Roman;Times;serif" w:hAnsi="Times New Roman;Times;serif"/>
          <w:b/>
          <w:sz w:val="20"/>
        </w:rPr>
      </w:pPr>
      <w:bookmarkStart w:id="125" w:name="Item19Exhibits_836195"/>
      <w:bookmarkStart w:id="126" w:name="_eee87c40_c750_4c2b_9919_d0ec4df19af4"/>
      <w:bookmarkEnd w:id="125"/>
      <w:bookmarkEnd w:id="126"/>
      <w:r>
        <w:rPr>
          <w:rFonts w:ascii="Times New Roman;Times;serif" w:hAnsi="Times New Roman;Times;serif"/>
          <w:b/>
          <w:sz w:val="20"/>
        </w:rPr>
        <w:t>Item 19.            Exhibits</w:t>
      </w:r>
    </w:p>
    <w:tbl>
      <w:tblPr>
        <w:tblW w:w="10205" w:type="dxa"/>
        <w:jc w:val="left"/>
        <w:tblInd w:w="0" w:type="dxa"/>
        <w:tblLayout w:type="fixed"/>
        <w:tblCellMar>
          <w:top w:w="0" w:type="dxa"/>
          <w:left w:w="0" w:type="dxa"/>
          <w:bottom w:w="0" w:type="dxa"/>
          <w:right w:w="0" w:type="dxa"/>
        </w:tblCellMar>
      </w:tblPr>
      <w:tblGrid>
        <w:gridCol w:w="706"/>
        <w:gridCol w:w="326"/>
        <w:gridCol w:w="9173"/>
      </w:tblGrid>
      <w:tr>
        <w:trPr/>
        <w:tc>
          <w:tcPr>
            <w:tcW w:w="70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24155" cy="175260"/>
                      <wp:effectExtent l="0" t="0" r="0" b="0"/>
                      <wp:wrapNone/>
                      <wp:docPr id="277" name="Frame276"/>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32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103505" cy="175260"/>
                      <wp:effectExtent l="0" t="0" r="0" b="0"/>
                      <wp:wrapNone/>
                      <wp:docPr id="278" name="Frame277"/>
                      <a:graphic xmlns:a="http://schemas.openxmlformats.org/drawingml/2006/main">
                        <a:graphicData uri="http://schemas.microsoft.com/office/word/2010/wordprocessingShape">
                          <wps:wsp>
                            <wps:cNvSpPr txBox="1"/>
                            <wps:spPr>
                              <a:xfrm>
                                <a:off x="0" y="0"/>
                                <a:ext cx="10350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9173"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912110" cy="175260"/>
                      <wp:effectExtent l="0" t="0" r="0" b="0"/>
                      <wp:wrapNone/>
                      <wp:docPr id="279" name="Frame278"/>
                      <a:graphic xmlns:a="http://schemas.openxmlformats.org/drawingml/2006/main">
                        <a:graphicData uri="http://schemas.microsoft.com/office/word/2010/wordprocessingShape">
                          <wps:wsp>
                            <wps:cNvSpPr txBox="1"/>
                            <wps:spPr>
                              <a:xfrm>
                                <a:off x="0" y="0"/>
                                <a:ext cx="291211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r>
      <w:tr>
        <w:trPr/>
        <w:tc>
          <w:tcPr>
            <w:tcW w:w="706" w:type="dxa"/>
            <w:tcBorders>
              <w:bottom w:val="single" w:sz="2" w:space="0" w:color="000000"/>
            </w:tcBorders>
            <w:tcMar>
              <w:bottom w:w="28" w:type="dxa"/>
            </w:tcMar>
            <w:vAlign w:val="center"/>
          </w:tcPr>
          <w:p>
            <w:pPr>
              <w:pStyle w:val="TableHeading"/>
              <w:bidi w:val="0"/>
              <w:spacing w:before="0" w:after="0"/>
              <w:ind w:left="0" w:right="0" w:hanging="0"/>
              <w:jc w:val="left"/>
              <w:rPr>
                <w:rFonts w:ascii="Times New Roman;Times;serif" w:hAnsi="Times New Roman;Times;serif"/>
                <w:b w:val="false"/>
                <w:sz w:val="16"/>
              </w:rPr>
            </w:pPr>
            <w:r>
              <w:rPr>
                <w:rFonts w:ascii="Times New Roman;Times;serif" w:hAnsi="Times New Roman;Times;serif"/>
                <w:b/>
                <w:sz w:val="16"/>
              </w:rPr>
              <w:t>Exhibit</w:t>
            </w:r>
            <w:r>
              <w:rPr>
                <w:rFonts w:ascii="Times New Roman;Times;serif" w:hAnsi="Times New Roman;Times;serif"/>
                <w:b w:val="false"/>
                <w:sz w:val="16"/>
              </w:rPr>
              <w:br/>
            </w:r>
            <w:r>
              <w:rPr>
                <w:rFonts w:ascii="Times New Roman;Times;serif" w:hAnsi="Times New Roman;Times;serif"/>
                <w:b/>
                <w:sz w:val="16"/>
              </w:rPr>
              <w:t>Number</w:t>
            </w:r>
          </w:p>
        </w:tc>
        <w:tc>
          <w:tcPr>
            <w:tcW w:w="326" w:type="dxa"/>
            <w:tcBorders>
              <w:bottom w:val="single" w:sz="2" w:space="0" w:color="000000"/>
            </w:tcBorders>
            <w:tcMar>
              <w:bottom w:w="28" w:type="dxa"/>
            </w:tcMar>
            <w:vAlign w:val="center"/>
          </w:tcPr>
          <w:p>
            <w:pPr>
              <w:pStyle w:val="TableHeading"/>
              <w:bidi w:val="0"/>
              <w:spacing w:before="0" w:after="0"/>
              <w:ind w:left="0" w:right="0" w:hanging="0"/>
              <w:jc w:val="left"/>
              <w:rPr/>
            </w:pPr>
            <w:r>
              <w:rPr/>
              <w:t>    </w:t>
            </w:r>
          </w:p>
        </w:tc>
        <w:tc>
          <w:tcPr>
            <w:tcW w:w="9173"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Document</w:t>
            </w:r>
          </w:p>
        </w:tc>
      </w:tr>
      <w:tr>
        <w:trPr/>
        <w:tc>
          <w:tcPr>
            <w:tcW w:w="706"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9173"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r:id="rId3">
              <w:r>
                <w:rPr>
                  <w:rStyle w:val="InternetLink"/>
                  <w:rFonts w:ascii="Times New Roman;Times;serif" w:hAnsi="Times New Roman;Times;serif"/>
                  <w:b w:val="false"/>
                  <w:i w:val="false"/>
                  <w:caps w:val="false"/>
                  <w:smallCaps w:val="false"/>
                  <w:sz w:val="20"/>
                </w:rPr>
                <w:t>Second Amended and Restated Memorandum of Association and Articles of Association of NetEase, Inc., as currently in effect (incorporated by reference to Exhibit 1.1 to our company’s Form 6-K (file no. 000-30666) furnished to the SEC on June 15, 2023)</w:t>
              </w:r>
            </w:hyperlink>
          </w:p>
        </w:tc>
      </w:tr>
      <w:tr>
        <w:trPr/>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Specimen American Depositary Receipt of NetEase.com, Inc. (incorporated by reference to Exhibit 4.1 to Amendment No. 1 to our company’s Registration Statement on Form F-1 (file no. 333-11724) filed with the SEC on May 15, 2000)</w:t>
            </w:r>
          </w:p>
        </w:tc>
      </w:tr>
      <w:tr>
        <w:trPr/>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Specimen Stock Certificate of NetEase.com, Inc. (incorporated by reference to Exhibit 4.2 to Amendment No. 1 to our company’s Registration Statement on Form F-1 (file no. 333-11724) filed with the SEC on May 15, 2000)</w:t>
            </w:r>
          </w:p>
        </w:tc>
      </w:tr>
      <w:tr>
        <w:trPr/>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r:id="rId4">
              <w:r>
                <w:rPr>
                  <w:rStyle w:val="InternetLink"/>
                  <w:rFonts w:ascii="Times New Roman;Times;serif" w:hAnsi="Times New Roman;Times;serif"/>
                  <w:b w:val="false"/>
                  <w:i w:val="false"/>
                  <w:caps w:val="false"/>
                  <w:smallCaps w:val="false"/>
                  <w:sz w:val="20"/>
                </w:rPr>
                <w:t>Deposit Agreement dated July 6, 2000 by and among NetEase.com, Inc., The Bank of New York and the owners and beneficial owners of American depositary receipts (incorporated by reference to Exhibit 1 to our company’s Registration Statement on Form F-6EF (File No. 333-115868) filed with the SEC on May 26, 2004)</w:t>
              </w:r>
            </w:hyperlink>
          </w:p>
        </w:tc>
      </w:tr>
      <w:tr>
        <w:trPr/>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w:anchor="ntes-20231231xex2d4.htm">
              <w:r>
                <w:rPr>
                  <w:rStyle w:val="InternetLink"/>
                  <w:rFonts w:ascii="Times New Roman;Times;serif" w:hAnsi="Times New Roman;Times;serif"/>
                  <w:b w:val="false"/>
                  <w:i w:val="false"/>
                  <w:caps w:val="false"/>
                  <w:smallCaps w:val="false"/>
                  <w:sz w:val="20"/>
                </w:rPr>
                <w:t>Description of Ordinary Shares</w:t>
              </w:r>
            </w:hyperlink>
            <w:r>
              <w:rPr>
                <w:rFonts w:ascii="Times New Roman;Times;serif" w:hAnsi="Times New Roman;Times;serif"/>
                <w:sz w:val="20"/>
              </w:rPr>
              <w:t xml:space="preserve"> </w:t>
            </w:r>
          </w:p>
        </w:tc>
      </w:tr>
      <w:tr>
        <w:trPr/>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w:anchor="ntes-20231231xex2d5.htm">
              <w:r>
                <w:rPr>
                  <w:rStyle w:val="InternetLink"/>
                  <w:rFonts w:ascii="Times New Roman;Times;serif" w:hAnsi="Times New Roman;Times;serif"/>
                  <w:b w:val="false"/>
                  <w:i w:val="false"/>
                  <w:caps w:val="false"/>
                  <w:smallCaps w:val="false"/>
                  <w:sz w:val="20"/>
                </w:rPr>
                <w:t>Description of American Depositary Shares</w:t>
              </w:r>
            </w:hyperlink>
          </w:p>
        </w:tc>
      </w:tr>
      <w:tr>
        <w:trPr/>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r:id="rId5">
              <w:r>
                <w:rPr>
                  <w:rStyle w:val="InternetLink"/>
                  <w:rFonts w:ascii="Times New Roman;Times;serif" w:hAnsi="Times New Roman;Times;serif"/>
                  <w:b w:val="false"/>
                  <w:i w:val="false"/>
                  <w:caps w:val="false"/>
                  <w:smallCaps w:val="false"/>
                  <w:sz w:val="20"/>
                </w:rPr>
                <w:t>Proxy Agreement dated April 15, 2009 between NetEase (Hangzhou) Network Co., Ltd. and Zhipeng Hu (incorporated by reference to Exhibit 3.3 to our company’s Annual Report on Form 20-F for the year ended December 31, 2014 filed with the SEC on April 24, 2015)</w:t>
              </w:r>
            </w:hyperlink>
          </w:p>
        </w:tc>
      </w:tr>
      <w:tr>
        <w:trPr/>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706"/>
        <w:gridCol w:w="326"/>
        <w:gridCol w:w="9173"/>
      </w:tblGrid>
      <w:tr>
        <w:trPr/>
        <w:tc>
          <w:tcPr>
            <w:tcW w:w="70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24155" cy="175260"/>
                      <wp:effectExtent l="0" t="0" r="0" b="0"/>
                      <wp:wrapNone/>
                      <wp:docPr id="280" name="Frame279"/>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32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103505" cy="175260"/>
                      <wp:effectExtent l="0" t="0" r="0" b="0"/>
                      <wp:wrapNone/>
                      <wp:docPr id="281" name="Frame280"/>
                      <a:graphic xmlns:a="http://schemas.openxmlformats.org/drawingml/2006/main">
                        <a:graphicData uri="http://schemas.microsoft.com/office/word/2010/wordprocessingShape">
                          <wps:wsp>
                            <wps:cNvSpPr txBox="1"/>
                            <wps:spPr>
                              <a:xfrm>
                                <a:off x="0" y="0"/>
                                <a:ext cx="10350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9173"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912110" cy="175260"/>
                      <wp:effectExtent l="0" t="0" r="0" b="0"/>
                      <wp:wrapNone/>
                      <wp:docPr id="282" name="Frame281"/>
                      <a:graphic xmlns:a="http://schemas.openxmlformats.org/drawingml/2006/main">
                        <a:graphicData uri="http://schemas.microsoft.com/office/word/2010/wordprocessingShape">
                          <wps:wsp>
                            <wps:cNvSpPr txBox="1"/>
                            <wps:spPr>
                              <a:xfrm>
                                <a:off x="0" y="0"/>
                                <a:ext cx="291211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r>
      <w:tr>
        <w:trPr/>
        <w:tc>
          <w:tcPr>
            <w:tcW w:w="706" w:type="dxa"/>
            <w:tcBorders>
              <w:bottom w:val="single" w:sz="2" w:space="0" w:color="000000"/>
            </w:tcBorders>
            <w:tcMar>
              <w:bottom w:w="28" w:type="dxa"/>
            </w:tcMar>
            <w:vAlign w:val="center"/>
          </w:tcPr>
          <w:p>
            <w:pPr>
              <w:pStyle w:val="TableHeading"/>
              <w:bidi w:val="0"/>
              <w:spacing w:before="0" w:after="0"/>
              <w:ind w:left="0" w:right="0" w:hanging="0"/>
              <w:jc w:val="left"/>
              <w:rPr>
                <w:rFonts w:ascii="Times New Roman;Times;serif" w:hAnsi="Times New Roman;Times;serif"/>
                <w:b w:val="false"/>
                <w:sz w:val="16"/>
              </w:rPr>
            </w:pPr>
            <w:r>
              <w:rPr>
                <w:rFonts w:ascii="Times New Roman;Times;serif" w:hAnsi="Times New Roman;Times;serif"/>
                <w:b/>
                <w:sz w:val="16"/>
              </w:rPr>
              <w:t>Exhibit</w:t>
            </w:r>
            <w:r>
              <w:rPr>
                <w:rFonts w:ascii="Times New Roman;Times;serif" w:hAnsi="Times New Roman;Times;serif"/>
                <w:b w:val="false"/>
                <w:sz w:val="16"/>
              </w:rPr>
              <w:br/>
            </w:r>
            <w:r>
              <w:rPr>
                <w:rFonts w:ascii="Times New Roman;Times;serif" w:hAnsi="Times New Roman;Times;serif"/>
                <w:b/>
                <w:sz w:val="16"/>
              </w:rPr>
              <w:t>Number</w:t>
            </w:r>
          </w:p>
        </w:tc>
        <w:tc>
          <w:tcPr>
            <w:tcW w:w="326" w:type="dxa"/>
            <w:tcBorders>
              <w:bottom w:val="single" w:sz="2" w:space="0" w:color="000000"/>
            </w:tcBorders>
            <w:tcMar>
              <w:bottom w:w="28" w:type="dxa"/>
            </w:tcMar>
            <w:vAlign w:val="center"/>
          </w:tcPr>
          <w:p>
            <w:pPr>
              <w:pStyle w:val="TableHeading"/>
              <w:bidi w:val="0"/>
              <w:spacing w:before="0" w:after="0"/>
              <w:ind w:left="0" w:right="0" w:hanging="0"/>
              <w:jc w:val="left"/>
              <w:rPr/>
            </w:pPr>
            <w:r>
              <w:rPr/>
              <w:t>    </w:t>
            </w:r>
          </w:p>
        </w:tc>
        <w:tc>
          <w:tcPr>
            <w:tcW w:w="9173"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Document</w:t>
            </w:r>
          </w:p>
        </w:tc>
      </w:tr>
      <w:tr>
        <w:trPr/>
        <w:tc>
          <w:tcPr>
            <w:tcW w:w="706"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9173"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r:id="rId6">
              <w:r>
                <w:rPr>
                  <w:rStyle w:val="InternetLink"/>
                  <w:rFonts w:ascii="Times New Roman;Times;serif" w:hAnsi="Times New Roman;Times;serif"/>
                  <w:b w:val="false"/>
                  <w:i w:val="false"/>
                  <w:caps w:val="false"/>
                  <w:smallCaps w:val="false"/>
                  <w:sz w:val="20"/>
                </w:rPr>
                <w:t>Shareholder Voting Rights Trust Agreement dated December 1, 2015 between NetEase (Hangzhou) Network Co., Ltd. and Tianlei Hu (incorporated by reference to Exhibit 3.8 to our company’s Annual Report on Form 20-F for the year ended December 31, 2015 filed with the SEC on April 22, 2016)</w:t>
              </w:r>
            </w:hyperlink>
          </w:p>
        </w:tc>
      </w:tr>
      <w:tr>
        <w:trPr/>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r:id="rId7">
              <w:r>
                <w:rPr>
                  <w:rStyle w:val="InternetLink"/>
                  <w:rFonts w:ascii="Times New Roman;Times;serif" w:hAnsi="Times New Roman;Times;serif"/>
                  <w:b w:val="false"/>
                  <w:i w:val="false"/>
                  <w:caps w:val="false"/>
                  <w:smallCaps w:val="false"/>
                  <w:sz w:val="20"/>
                </w:rPr>
                <w:t>Shareholder Voting Rights Trust Agreement dated December 1, 2015 between NetEase (Hangzhou) Network Co., Ltd. and Zhipeng Hu (incorporated by reference to Exhibit 3.9 to our company’s Annual Report on Form 20-F for the year ended December 31, 2015 filed with the SEC on April 22, 2016)</w:t>
              </w:r>
            </w:hyperlink>
          </w:p>
        </w:tc>
      </w:tr>
      <w:tr>
        <w:trPr/>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3.4</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r:id="rId8">
              <w:r>
                <w:rPr>
                  <w:rStyle w:val="InternetLink"/>
                  <w:rFonts w:ascii="Times New Roman;Times;serif" w:hAnsi="Times New Roman;Times;serif"/>
                  <w:b w:val="false"/>
                  <w:i w:val="false"/>
                  <w:caps w:val="false"/>
                  <w:smallCaps w:val="false"/>
                  <w:sz w:val="20"/>
                </w:rPr>
                <w:t>Amended and Restated Shareholder Voting Right Trust Agreement dated November 30, 2015 among NetEase Information Technology (Beijing) Co., Ltd., Beijing Guangyitong Advertising Co., Ltd., William Lei Ding and Xiaojun Hui (incorporated by reference to Exhibit 3.7 to our company’s Annual Report on Form 20-F for the year ended December 31, 2015 filed with the SEC on April 22, 2016)</w:t>
              </w:r>
            </w:hyperlink>
          </w:p>
        </w:tc>
      </w:tr>
      <w:tr>
        <w:trPr/>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3.5</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r:id="rId9">
              <w:r>
                <w:rPr>
                  <w:rStyle w:val="InternetLink"/>
                  <w:rFonts w:ascii="Times New Roman;Times;serif" w:hAnsi="Times New Roman;Times;serif"/>
                  <w:b w:val="false"/>
                  <w:i w:val="false"/>
                  <w:caps w:val="false"/>
                  <w:smallCaps w:val="false"/>
                  <w:sz w:val="20"/>
                </w:rPr>
                <w:t>Shareholder Voting Rights Trust Agreement dated September 26, 2016 between NetEase Youdao Information Technology (Beijing) Co., Ltd. and William Lei Ding (incorporated by reference to Exhibit 3.6 to our company’s Annual Report on Form 20-F for the year ended December 31, 2016 filed with the SEC on April 21, 2017)</w:t>
              </w:r>
            </w:hyperlink>
          </w:p>
        </w:tc>
      </w:tr>
      <w:tr>
        <w:trPr/>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3.6</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r:id="rId10">
              <w:r>
                <w:rPr>
                  <w:rStyle w:val="InternetLink"/>
                  <w:rFonts w:ascii="Times New Roman;Times;serif" w:hAnsi="Times New Roman;Times;serif"/>
                  <w:b w:val="false"/>
                  <w:i w:val="false"/>
                  <w:caps w:val="false"/>
                  <w:smallCaps w:val="false"/>
                  <w:sz w:val="20"/>
                </w:rPr>
                <w:t>Shareholder Voting Right Trust Agreement dated November 20, 2017 between NetEase Youdao Information Technology (Beijing) Co., Ltd. and Feng Zhou (incorporated by reference to Exhibit 3.8 to our company’s Annual Report on Form 20-F for the year ended December 31, 2017 filed with the SEC on April 20, 2018)</w:t>
              </w:r>
            </w:hyperlink>
          </w:p>
        </w:tc>
      </w:tr>
      <w:tr>
        <w:trPr/>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r:id="rId11">
              <w:r>
                <w:rPr>
                  <w:rStyle w:val="InternetLink"/>
                  <w:rFonts w:ascii="Times New Roman;Times;serif" w:hAnsi="Times New Roman;Times;serif"/>
                  <w:b w:val="false"/>
                  <w:i w:val="false"/>
                  <w:caps w:val="false"/>
                  <w:smallCaps w:val="false"/>
                  <w:sz w:val="20"/>
                </w:rPr>
                <w:t>2009 Restricted Share Unit Plan (incorporated by reference to Exhibit 10.1 to our company’s Registration Statement on Form S-8 (file no. 333-164249) filed with the SEC on January 8, 2010)</w:t>
              </w:r>
            </w:hyperlink>
          </w:p>
        </w:tc>
      </w:tr>
      <w:tr>
        <w:trPr/>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w:anchor="ntes-20231231xex4d2.htm">
              <w:r>
                <w:rPr>
                  <w:rStyle w:val="InternetLink"/>
                  <w:rFonts w:ascii="Times New Roman;Times;serif" w:hAnsi="Times New Roman;Times;serif"/>
                  <w:b w:val="false"/>
                  <w:i w:val="false"/>
                  <w:caps w:val="false"/>
                  <w:smallCaps w:val="false"/>
                  <w:sz w:val="20"/>
                </w:rPr>
                <w:t xml:space="preserve">Form of Employment Agreement between NetEase, Inc. and its executive officers </w:t>
              </w:r>
            </w:hyperlink>
          </w:p>
        </w:tc>
      </w:tr>
      <w:tr>
        <w:trPr/>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Copyright License Agreement dated February 3, 2000 between NetEase Information Technology (Beijing) Co., Ltd. and Guangzhou NetEase Computer System Co., Ltd. (incorporated by reference to Exhibit 10.8 to our company’s Registration Statement on Form F-1 (file no. 333-11724) filed with the SEC on March 27, 2000)</w:t>
            </w:r>
          </w:p>
        </w:tc>
      </w:tr>
      <w:tr>
        <w:trPr/>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4.4</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Trademark License Agreement dated February 3, 2000 between NetEase Information Technology (Beijing) Co., Ltd. and Guangzhou NetEase Computer System Co., Ltd. (incorporated by reference to Exhibit 10.9 to our company’s Registration Statement on Form F-1 (file no. 333-11724) filed with the SEC on March 27, 2000)</w:t>
            </w:r>
          </w:p>
        </w:tc>
      </w:tr>
      <w:tr>
        <w:trPr/>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Supplemental Agreement (to Copyright License Agreement) dated April 27, 2000 between NetEase Information Technology (Beijing) Co., Ltd. and Guangzhou NetEase Computer System Co., Ltd. (incorporated by reference to Exhibit 10.10 to Amendment No.1 to our company’s Registration Statement on Form F-1 (file no. 333-11724) filed with the SEC on May 15, 2000)</w:t>
            </w:r>
          </w:p>
        </w:tc>
      </w:tr>
      <w:tr>
        <w:trPr/>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4.6</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Notice of Renewal dated April 2, 2001 relating to the Copyright License Agreement and the Trademark License Agreement each dated February 3, 2000 and made between NetEase Information Technology (Beijing) Co., Ltd. and Guangzhou NetEase Computer System Co., Ltd. (incorporated by reference to Exhibit 4.14 to our company’s Annual Report on Form 20-F for the year ended December 31, 2000 filed with the SEC on August 31, 2001)</w:t>
            </w:r>
          </w:p>
        </w:tc>
      </w:tr>
      <w:tr>
        <w:trPr/>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4.7</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Online Advertising Agreement dated February 15, 2000 between Guangzhou NetEase Computer System Co., Ltd. and Beijing Guangyitong Advertising Co., Ltd. (incorporated by reference to Exhibit 10.15 to our company’s Registration Statement on Form F-1 (file no. 333-11724) filed with the SEC on March 27, 2000)</w:t>
            </w:r>
          </w:p>
        </w:tc>
      </w:tr>
      <w:tr>
        <w:trPr/>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4.8</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Notice of Renewal dated April 2, 2001 relating to the Online Advertising Agreement dated February 15, 2000 and made between Guangzhou NetEase Computer System Co., Ltd. and Beijing Guangyitong Advertising Co., Ltd. (incorporated by reference to Exhibit 4.21 to our company’s Annual Report on Form 20-F for the year ended December 31, 2000 filed with the SEC on August 31, 2001)</w:t>
            </w:r>
          </w:p>
        </w:tc>
      </w:tr>
      <w:tr>
        <w:trPr/>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706"/>
        <w:gridCol w:w="326"/>
        <w:gridCol w:w="9173"/>
      </w:tblGrid>
      <w:tr>
        <w:trPr/>
        <w:tc>
          <w:tcPr>
            <w:tcW w:w="70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24155" cy="175260"/>
                      <wp:effectExtent l="0" t="0" r="0" b="0"/>
                      <wp:wrapNone/>
                      <wp:docPr id="283" name="Frame282"/>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32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103505" cy="175260"/>
                      <wp:effectExtent l="0" t="0" r="0" b="0"/>
                      <wp:wrapNone/>
                      <wp:docPr id="284" name="Frame283"/>
                      <a:graphic xmlns:a="http://schemas.openxmlformats.org/drawingml/2006/main">
                        <a:graphicData uri="http://schemas.microsoft.com/office/word/2010/wordprocessingShape">
                          <wps:wsp>
                            <wps:cNvSpPr txBox="1"/>
                            <wps:spPr>
                              <a:xfrm>
                                <a:off x="0" y="0"/>
                                <a:ext cx="10350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9173"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912110" cy="175260"/>
                      <wp:effectExtent l="0" t="0" r="0" b="0"/>
                      <wp:wrapNone/>
                      <wp:docPr id="285" name="Frame284"/>
                      <a:graphic xmlns:a="http://schemas.openxmlformats.org/drawingml/2006/main">
                        <a:graphicData uri="http://schemas.microsoft.com/office/word/2010/wordprocessingShape">
                          <wps:wsp>
                            <wps:cNvSpPr txBox="1"/>
                            <wps:spPr>
                              <a:xfrm>
                                <a:off x="0" y="0"/>
                                <a:ext cx="291211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r>
      <w:tr>
        <w:trPr/>
        <w:tc>
          <w:tcPr>
            <w:tcW w:w="706" w:type="dxa"/>
            <w:tcBorders>
              <w:bottom w:val="single" w:sz="2" w:space="0" w:color="000000"/>
            </w:tcBorders>
            <w:tcMar>
              <w:bottom w:w="28" w:type="dxa"/>
            </w:tcMar>
            <w:vAlign w:val="center"/>
          </w:tcPr>
          <w:p>
            <w:pPr>
              <w:pStyle w:val="TableHeading"/>
              <w:bidi w:val="0"/>
              <w:spacing w:before="0" w:after="0"/>
              <w:ind w:left="0" w:right="0" w:hanging="0"/>
              <w:jc w:val="left"/>
              <w:rPr>
                <w:rFonts w:ascii="Times New Roman;Times;serif" w:hAnsi="Times New Roman;Times;serif"/>
                <w:b w:val="false"/>
                <w:sz w:val="16"/>
              </w:rPr>
            </w:pPr>
            <w:r>
              <w:rPr>
                <w:rFonts w:ascii="Times New Roman;Times;serif" w:hAnsi="Times New Roman;Times;serif"/>
                <w:b/>
                <w:sz w:val="16"/>
              </w:rPr>
              <w:t>Exhibit</w:t>
            </w:r>
            <w:r>
              <w:rPr>
                <w:rFonts w:ascii="Times New Roman;Times;serif" w:hAnsi="Times New Roman;Times;serif"/>
                <w:b w:val="false"/>
                <w:sz w:val="16"/>
              </w:rPr>
              <w:br/>
            </w:r>
            <w:r>
              <w:rPr>
                <w:rFonts w:ascii="Times New Roman;Times;serif" w:hAnsi="Times New Roman;Times;serif"/>
                <w:b/>
                <w:sz w:val="16"/>
              </w:rPr>
              <w:t>Number</w:t>
            </w:r>
          </w:p>
        </w:tc>
        <w:tc>
          <w:tcPr>
            <w:tcW w:w="326" w:type="dxa"/>
            <w:tcBorders>
              <w:bottom w:val="single" w:sz="2" w:space="0" w:color="000000"/>
            </w:tcBorders>
            <w:tcMar>
              <w:bottom w:w="28" w:type="dxa"/>
            </w:tcMar>
            <w:vAlign w:val="center"/>
          </w:tcPr>
          <w:p>
            <w:pPr>
              <w:pStyle w:val="TableHeading"/>
              <w:bidi w:val="0"/>
              <w:spacing w:before="0" w:after="0"/>
              <w:ind w:left="0" w:right="0" w:hanging="0"/>
              <w:jc w:val="left"/>
              <w:rPr/>
            </w:pPr>
            <w:r>
              <w:rPr/>
              <w:t>    </w:t>
            </w:r>
          </w:p>
        </w:tc>
        <w:tc>
          <w:tcPr>
            <w:tcW w:w="9173"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Document</w:t>
            </w:r>
          </w:p>
        </w:tc>
      </w:tr>
      <w:tr>
        <w:trPr/>
        <w:tc>
          <w:tcPr>
            <w:tcW w:w="706"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9173"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4.9</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Agreement dated May 12, 2000 between NetEase Information Technology (Beijing) Co., Ltd. and Guangzhou NetEase Computer System Co., Ltd. (incorporated by reference to Exhibit 10.41 to Amendment No. 1 to our company’s Registration Statement on Form F-1 (file no. 333-11724) filed with the SEC on May 15, 2000)</w:t>
            </w:r>
          </w:p>
        </w:tc>
      </w:tr>
      <w:tr>
        <w:trPr/>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4.10</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Supplemental Agreement dated May 12, 2000 (supplementing the Online Advertising Agreement dated February 15, 2000) between Guangzhou NetEase Computer System Co., Ltd. and Beijing Guangyitong Advertising Co., Ltd. (incorporated by reference to Exhibit 10.47 to Amendment No. 1 to our company’s Registration Statement on Form F - 1 (file no. 333 - 11724) filed with the SEC on May 15, 2000)</w:t>
            </w:r>
          </w:p>
        </w:tc>
      </w:tr>
      <w:tr>
        <w:trPr/>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4.11</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Letter of Agreement dated June 6, 2000 among William Lei Ding, Bo Ding and NetEase.com, Inc. (incorporated by reference to Exhibit 10.49 to Amendment No. 2 to our company’s Registration Statement on Form F-1 (file no. 333-11724) filed with the SEC on June 15, 2000)</w:t>
            </w:r>
          </w:p>
        </w:tc>
      </w:tr>
      <w:tr>
        <w:trPr/>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4.12</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Supplemental Agreement dated June 15, 2000 (supplementing the Online Advertising Agreement dated February 15, 2000), between Beijing Guangyitong Advertising Co., Ltd. and Guangzhou NetEase Computer System Co., Ltd. (incorporated by reference to Exhibit 10.50 to Amendment No. 2 to our company’s Registration Statement on Form F-1 (file no. 333-11724) filed with the SEC on June 15, 2000)</w:t>
            </w:r>
          </w:p>
        </w:tc>
      </w:tr>
      <w:tr>
        <w:trPr/>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4.13</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r:id="rId12">
              <w:r>
                <w:rPr>
                  <w:rStyle w:val="InternetLink"/>
                  <w:rFonts w:ascii="Times New Roman;Times;serif" w:hAnsi="Times New Roman;Times;serif"/>
                  <w:b w:val="false"/>
                  <w:i w:val="false"/>
                  <w:caps w:val="false"/>
                  <w:smallCaps w:val="false"/>
                  <w:sz w:val="20"/>
                </w:rPr>
                <w:t>Supplemental Letter of Agreement dated May 17, 2004 (supplementing the Letter Agreement dated June 6, 2000 by and among William Lei Ding, Bo Ding and NetEase.com, Inc.) by and among William Lei Ding, Bo Ding, Jun Liang and NetEase.com, Inc. (incorporated by reference to Exhibit 4.39 to our company’s Annual Report on Form 20-F for the year ended December 31, 2004 filed with the SEC on June 27, 2005)</w:t>
              </w:r>
            </w:hyperlink>
          </w:p>
        </w:tc>
      </w:tr>
      <w:tr>
        <w:trPr/>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4.14</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r:id="rId13">
              <w:r>
                <w:rPr>
                  <w:rStyle w:val="InternetLink"/>
                  <w:rFonts w:ascii="Times New Roman;Times;serif" w:hAnsi="Times New Roman;Times;serif"/>
                  <w:b w:val="false"/>
                  <w:i w:val="false"/>
                  <w:caps w:val="false"/>
                  <w:smallCaps w:val="false"/>
                  <w:sz w:val="20"/>
                </w:rPr>
                <w:t>Second Supplemental Letter of Agreement dated July 15, 2004 (supplementing the Letter Agreement dated June 6, 2000 by and among William Lei Ding, Bo Ding and NetEase.com, Inc., as supplemented by the Supplemental Letter of Agreement dated May 17, 2004 by and among William Lei Ding, Bo Ding, Jun Liang and NetEase.com, Inc.) by and among William Lei Ding, Bo Ding, Jun Liang and NetEase.com, Inc. (incorporated by reference to Exhibit 4.40 to our company’s Annual Report on Form 20-F for the year ended December 31, 2004 filed with the SEC on June 27, 2005)</w:t>
              </w:r>
            </w:hyperlink>
          </w:p>
        </w:tc>
      </w:tr>
      <w:tr>
        <w:trPr/>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4.15</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r:id="rId14">
              <w:r>
                <w:rPr>
                  <w:rStyle w:val="InternetLink"/>
                  <w:rFonts w:ascii="Times New Roman;Times;serif" w:hAnsi="Times New Roman;Times;serif"/>
                  <w:b w:val="false"/>
                  <w:i w:val="false"/>
                  <w:caps w:val="false"/>
                  <w:smallCaps w:val="false"/>
                  <w:sz w:val="20"/>
                </w:rPr>
                <w:t>No. 3 Supplemental Letter of Agreement dated July 20, 2004 (supplementing the Letter Agreement dated June 6, 2000 by and among William Lei Ding, Bo Ding and NetEase.com, Inc., as supplemented by the Supplemental Letter of Agreement dated May 17, 2004 and the Second Supplemental Letter of Agreement dated July 15, 2004, each by and among William Lei Ding, Bo Ding, Jun Liang and NetEase.com, Inc.) by and among William Lei Ding, Bo Ding, Jun Liang and NetEase.com, Inc. (incorporated by reference to Exhibit 4.41 to our company’s Annual Report on Form 20-F for the year ended December 31, 2004 filed with the SEC on June 27, 2005)</w:t>
              </w:r>
            </w:hyperlink>
          </w:p>
        </w:tc>
      </w:tr>
      <w:tr>
        <w:trPr/>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4.16</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r:id="rId15">
              <w:r>
                <w:rPr>
                  <w:rStyle w:val="InternetLink"/>
                  <w:rFonts w:ascii="Times New Roman;Times;serif" w:hAnsi="Times New Roman;Times;serif"/>
                  <w:b w:val="false"/>
                  <w:i w:val="false"/>
                  <w:caps w:val="false"/>
                  <w:smallCaps w:val="false"/>
                  <w:sz w:val="20"/>
                </w:rPr>
                <w:t>Form of Cooperative Agreement (incorporated by reference to Exhibit 4.25 to our company’s Annual Report on Form 20-F for the year ended December 31, 2012 filed with the SEC on April 22, 2013)</w:t>
              </w:r>
            </w:hyperlink>
          </w:p>
        </w:tc>
      </w:tr>
      <w:tr>
        <w:trPr/>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4.17</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r:id="rId16">
              <w:r>
                <w:rPr>
                  <w:rStyle w:val="InternetLink"/>
                  <w:rFonts w:ascii="Times New Roman;Times;serif" w:hAnsi="Times New Roman;Times;serif"/>
                  <w:b w:val="false"/>
                  <w:i w:val="false"/>
                  <w:caps w:val="false"/>
                  <w:smallCaps w:val="false"/>
                  <w:sz w:val="20"/>
                </w:rPr>
                <w:t>Amendment and Novation of Operating Agreement dated May 1, 2014 among NetEase Information Technology (Beijing) Co., Ltd., Beijing Guangyitong Advertising Co., Ltd., Bo Ding and William Lei Ding (incorporated by reference to Exhibit 4.33 to our company’s Annual Report on Form 20-F for the year ended December 31, 2014 filed with the SEC on April 24, 2015)</w:t>
              </w:r>
            </w:hyperlink>
          </w:p>
        </w:tc>
      </w:tr>
      <w:tr>
        <w:trPr/>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4.18</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r:id="rId17">
              <w:r>
                <w:rPr>
                  <w:rStyle w:val="InternetLink"/>
                  <w:rFonts w:ascii="Times New Roman;Times;serif" w:hAnsi="Times New Roman;Times;serif"/>
                  <w:b w:val="false"/>
                  <w:i w:val="false"/>
                  <w:caps w:val="false"/>
                  <w:smallCaps w:val="false"/>
                  <w:sz w:val="20"/>
                </w:rPr>
                <w:t>Loan Agreement dated May 1, 2014 between NetEase Information Technology (Beijing) Co., Ltd. and Xiaojun Hui (incorporated by reference to Exhibit 4.35 to our company’s Annual Report on Form 20-F for the year ended December 31, 2014 filed with the SEC on April 24, 2015)</w:t>
              </w:r>
            </w:hyperlink>
          </w:p>
        </w:tc>
      </w:tr>
      <w:tr>
        <w:trPr/>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4.19</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r:id="rId18">
              <w:r>
                <w:rPr>
                  <w:rStyle w:val="InternetLink"/>
                  <w:rFonts w:ascii="Times New Roman;Times;serif" w:hAnsi="Times New Roman;Times;serif"/>
                  <w:b w:val="false"/>
                  <w:i w:val="false"/>
                  <w:caps w:val="false"/>
                  <w:smallCaps w:val="false"/>
                  <w:sz w:val="20"/>
                </w:rPr>
                <w:t>Equity Pledge Agreement dated May 1, 2014 between NetEase Information Technology (Beijing) Co., Ltd. and Xiaojun Hui (incorporated by reference to Exhibit 4.36 to our company’s Annual Report on Form 20-F for the year ended December 31, 2014 filed with the SEC on April 24, 2015)</w:t>
              </w:r>
            </w:hyperlink>
          </w:p>
        </w:tc>
      </w:tr>
      <w:tr>
        <w:trPr/>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706"/>
        <w:gridCol w:w="326"/>
        <w:gridCol w:w="9173"/>
      </w:tblGrid>
      <w:tr>
        <w:trPr/>
        <w:tc>
          <w:tcPr>
            <w:tcW w:w="70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24155" cy="175260"/>
                      <wp:effectExtent l="0" t="0" r="0" b="0"/>
                      <wp:wrapNone/>
                      <wp:docPr id="286" name="Frame285"/>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32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03505" cy="175260"/>
                      <wp:effectExtent l="0" t="0" r="0" b="0"/>
                      <wp:wrapNone/>
                      <wp:docPr id="287" name="Frame286"/>
                      <a:graphic xmlns:a="http://schemas.openxmlformats.org/drawingml/2006/main">
                        <a:graphicData uri="http://schemas.microsoft.com/office/word/2010/wordprocessingShape">
                          <wps:wsp>
                            <wps:cNvSpPr txBox="1"/>
                            <wps:spPr>
                              <a:xfrm>
                                <a:off x="0" y="0"/>
                                <a:ext cx="10350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9173"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912110" cy="175260"/>
                      <wp:effectExtent l="0" t="0" r="0" b="0"/>
                      <wp:wrapNone/>
                      <wp:docPr id="288" name="Frame287"/>
                      <a:graphic xmlns:a="http://schemas.openxmlformats.org/drawingml/2006/main">
                        <a:graphicData uri="http://schemas.microsoft.com/office/word/2010/wordprocessingShape">
                          <wps:wsp>
                            <wps:cNvSpPr txBox="1"/>
                            <wps:spPr>
                              <a:xfrm>
                                <a:off x="0" y="0"/>
                                <a:ext cx="291211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r>
      <w:tr>
        <w:trPr/>
        <w:tc>
          <w:tcPr>
            <w:tcW w:w="706" w:type="dxa"/>
            <w:tcBorders>
              <w:bottom w:val="single" w:sz="2" w:space="0" w:color="000000"/>
            </w:tcBorders>
            <w:tcMar>
              <w:bottom w:w="28" w:type="dxa"/>
            </w:tcMar>
            <w:vAlign w:val="center"/>
          </w:tcPr>
          <w:p>
            <w:pPr>
              <w:pStyle w:val="TableHeading"/>
              <w:bidi w:val="0"/>
              <w:spacing w:before="0" w:after="0"/>
              <w:ind w:left="0" w:right="0" w:hanging="0"/>
              <w:jc w:val="left"/>
              <w:rPr>
                <w:rFonts w:ascii="Times New Roman;Times;serif" w:hAnsi="Times New Roman;Times;serif"/>
                <w:b w:val="false"/>
                <w:sz w:val="16"/>
              </w:rPr>
            </w:pPr>
            <w:r>
              <w:rPr>
                <w:rFonts w:ascii="Times New Roman;Times;serif" w:hAnsi="Times New Roman;Times;serif"/>
                <w:b/>
                <w:sz w:val="16"/>
              </w:rPr>
              <w:t>Exhibit</w:t>
            </w:r>
            <w:r>
              <w:rPr>
                <w:rFonts w:ascii="Times New Roman;Times;serif" w:hAnsi="Times New Roman;Times;serif"/>
                <w:b w:val="false"/>
                <w:sz w:val="16"/>
              </w:rPr>
              <w:br/>
            </w:r>
            <w:r>
              <w:rPr>
                <w:rFonts w:ascii="Times New Roman;Times;serif" w:hAnsi="Times New Roman;Times;serif"/>
                <w:b/>
                <w:sz w:val="16"/>
              </w:rPr>
              <w:t>Number</w:t>
            </w:r>
          </w:p>
        </w:tc>
        <w:tc>
          <w:tcPr>
            <w:tcW w:w="326" w:type="dxa"/>
            <w:tcBorders>
              <w:bottom w:val="single" w:sz="2" w:space="0" w:color="000000"/>
            </w:tcBorders>
            <w:tcMar>
              <w:bottom w:w="28" w:type="dxa"/>
            </w:tcMar>
            <w:vAlign w:val="center"/>
          </w:tcPr>
          <w:p>
            <w:pPr>
              <w:pStyle w:val="TableHeading"/>
              <w:bidi w:val="0"/>
              <w:spacing w:before="0" w:after="0"/>
              <w:ind w:left="0" w:right="0" w:hanging="0"/>
              <w:jc w:val="left"/>
              <w:rPr/>
            </w:pPr>
            <w:r>
              <w:rPr/>
              <w:t>    </w:t>
            </w:r>
          </w:p>
        </w:tc>
        <w:tc>
          <w:tcPr>
            <w:tcW w:w="9173"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Document</w:t>
            </w:r>
          </w:p>
        </w:tc>
      </w:tr>
      <w:tr>
        <w:trPr/>
        <w:tc>
          <w:tcPr>
            <w:tcW w:w="706"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9173"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4.20</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r:id="rId19">
              <w:r>
                <w:rPr>
                  <w:rStyle w:val="InternetLink"/>
                  <w:rFonts w:ascii="Times New Roman;Times;serif" w:hAnsi="Times New Roman;Times;serif"/>
                  <w:b w:val="false"/>
                  <w:i w:val="false"/>
                  <w:caps w:val="false"/>
                  <w:smallCaps w:val="false"/>
                  <w:sz w:val="20"/>
                </w:rPr>
                <w:t>Amended and Restated Letter of Agreement dated November 30, 2015 among NetEase, Inc., William Lei Ding and Xiaojun Hui (incorporated by reference to Exhibit 4.44 to our company’s Annual Report on Form 20-F for the year ended December 31, 2015 filed with the SEC on April 22, 2016)</w:t>
              </w:r>
            </w:hyperlink>
          </w:p>
        </w:tc>
      </w:tr>
      <w:tr>
        <w:trPr/>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4.21</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r:id="rId20">
              <w:r>
                <w:rPr>
                  <w:rStyle w:val="InternetLink"/>
                  <w:rFonts w:ascii="Times New Roman;Times;serif" w:hAnsi="Times New Roman;Times;serif"/>
                  <w:b w:val="false"/>
                  <w:i w:val="false"/>
                  <w:caps w:val="false"/>
                  <w:smallCaps w:val="false"/>
                  <w:sz w:val="20"/>
                </w:rPr>
                <w:t>Amended and Restated Loan Agreement dated December 1, 2015 between NetEase (Hangzhou) Network Co., Ltd. and Tianlei Hu (incorporated by reference to Exhibit 4.45 to our company’s Annual Report on Form 20-F for the year ended December 31, 2015 filed with the SEC on April 22, 2016)</w:t>
              </w:r>
            </w:hyperlink>
          </w:p>
        </w:tc>
      </w:tr>
      <w:tr>
        <w:trPr/>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4.22</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r:id="rId21">
              <w:r>
                <w:rPr>
                  <w:rStyle w:val="InternetLink"/>
                  <w:rFonts w:ascii="Times New Roman;Times;serif" w:hAnsi="Times New Roman;Times;serif"/>
                  <w:b w:val="false"/>
                  <w:i w:val="false"/>
                  <w:caps w:val="false"/>
                  <w:smallCaps w:val="false"/>
                  <w:sz w:val="20"/>
                </w:rPr>
                <w:t>Amended and Restated Loan Agreement dated December 1, 2015 between NetEase (Hangzhou) Network Co., Ltd. and Zhipeng Hu (incorporated by reference to Exhibit 4.46 to our company’s Annual Report on Form 20-F for the year ended December 31, 2015 filed with the SEC on April 22, 2016)</w:t>
              </w:r>
            </w:hyperlink>
          </w:p>
        </w:tc>
      </w:tr>
      <w:tr>
        <w:trPr/>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4.23</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r:id="rId22">
              <w:r>
                <w:rPr>
                  <w:rStyle w:val="InternetLink"/>
                  <w:rFonts w:ascii="Times New Roman;Times;serif" w:hAnsi="Times New Roman;Times;serif"/>
                  <w:b w:val="false"/>
                  <w:i w:val="false"/>
                  <w:caps w:val="false"/>
                  <w:smallCaps w:val="false"/>
                  <w:sz w:val="20"/>
                </w:rPr>
                <w:t>Amended and Restated Equity Pledge Agreement dated December 1, 2015 between NetEase (Hangzhou) Network Co., Ltd. and Tianlei Hu (incorporated by reference to Exhibit 4.47 to our company’s Annual Report on Form 20-F for the year ended December 31, 2015 filed with the SEC on April 22, 2016)</w:t>
              </w:r>
            </w:hyperlink>
          </w:p>
        </w:tc>
      </w:tr>
      <w:tr>
        <w:trPr/>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4.24</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r:id="rId23">
              <w:r>
                <w:rPr>
                  <w:rStyle w:val="InternetLink"/>
                  <w:rFonts w:ascii="Times New Roman;Times;serif" w:hAnsi="Times New Roman;Times;serif"/>
                  <w:b w:val="false"/>
                  <w:i w:val="false"/>
                  <w:caps w:val="false"/>
                  <w:smallCaps w:val="false"/>
                  <w:sz w:val="20"/>
                </w:rPr>
                <w:t>Amended and Restated Equity Pledge Agreement dated December 1, 2015 between NetEase (Hangzhou) Network Co., Ltd. and Zhipeng Hu. (incorporated by reference to Exhibit 4.48 to our company’s Annual Report on Form 20-F for the year ended December 31, 2015 filed with the SEC on April 22, 2016)</w:t>
              </w:r>
            </w:hyperlink>
          </w:p>
        </w:tc>
      </w:tr>
      <w:tr>
        <w:trPr/>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4.25</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r:id="rId24">
              <w:r>
                <w:rPr>
                  <w:rStyle w:val="InternetLink"/>
                  <w:rFonts w:ascii="Times New Roman;Times;serif" w:hAnsi="Times New Roman;Times;serif"/>
                  <w:b w:val="false"/>
                  <w:i w:val="false"/>
                  <w:caps w:val="false"/>
                  <w:smallCaps w:val="false"/>
                  <w:sz w:val="20"/>
                </w:rPr>
                <w:t>Amended and Restated Exclusive Purchase Option Agreement dated December 1, 2015 among NetEase (Hangzhou) Network Co., Ltd., Hangzhou NetEase Leihuo Technology Co., Ltd. and Tianlei Hu (incorporated by reference to Exhibit 4.49 to our company’s Annual Report on Form 20-F for the year ended December 31, 2015 filed with the SEC on April 22, 2016)</w:t>
              </w:r>
            </w:hyperlink>
          </w:p>
        </w:tc>
      </w:tr>
      <w:tr>
        <w:trPr/>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4.26</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r:id="rId25">
              <w:r>
                <w:rPr>
                  <w:rStyle w:val="InternetLink"/>
                  <w:rFonts w:ascii="Times New Roman;Times;serif" w:hAnsi="Times New Roman;Times;serif"/>
                  <w:b w:val="false"/>
                  <w:i w:val="false"/>
                  <w:caps w:val="false"/>
                  <w:smallCaps w:val="false"/>
                  <w:sz w:val="20"/>
                </w:rPr>
                <w:t>Amended and Restated Exclusive Purchase Option Agreement dated December 1, 2015 among NetEase (Hangzhou) Network Co., Ltd., Hangzhou NetEase Leihuo Technology Co., Ltd. and Zhipeng Hu (incorporated by reference to Exhibit 4.50 to our company’s Annual Report on Form 20-F for the year ended December 31, 2015 filed with the SEC on April 22, 2016)</w:t>
              </w:r>
            </w:hyperlink>
          </w:p>
        </w:tc>
      </w:tr>
      <w:tr>
        <w:trPr/>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4.27</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r:id="rId26">
              <w:r>
                <w:rPr>
                  <w:rStyle w:val="InternetLink"/>
                  <w:rFonts w:ascii="Times New Roman;Times;serif" w:hAnsi="Times New Roman;Times;serif"/>
                  <w:b w:val="false"/>
                  <w:i w:val="false"/>
                  <w:caps w:val="false"/>
                  <w:smallCaps w:val="false"/>
                  <w:sz w:val="20"/>
                </w:rPr>
                <w:t>Amended and Restated Operating Agreement dated December 1, 2015 among NetEase (Hangzhou) Network Co., Ltd., Hangzhou NetEase Leihuo Technology Co., Ltd., Tianlei Hu and Zhipeng Hu (incorporated by reference to Exhibit 4.51 to our company’s Annual Report on Form 20-F for the year ended December 31, 2015 filed with the SEC on April 22, 2016)</w:t>
              </w:r>
            </w:hyperlink>
          </w:p>
        </w:tc>
      </w:tr>
      <w:tr>
        <w:trPr/>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4.28</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r:id="rId27">
              <w:r>
                <w:rPr>
                  <w:rStyle w:val="InternetLink"/>
                  <w:rFonts w:ascii="Times New Roman;Times;serif" w:hAnsi="Times New Roman;Times;serif"/>
                  <w:b w:val="false"/>
                  <w:i w:val="false"/>
                  <w:caps w:val="false"/>
                  <w:smallCaps w:val="false"/>
                  <w:sz w:val="20"/>
                </w:rPr>
                <w:t>Loan Agreement dated September 26, 2016 between William Lei Ding and NetEase Youdao Information Technology (Beijing) Co., Ltd. (incorporated by reference to Exhibit 4.51 to our company’s Annual Report on Form 20-F for the year ended December 31, 2016 filed with the SEC on April 21, 2017)</w:t>
              </w:r>
            </w:hyperlink>
          </w:p>
        </w:tc>
      </w:tr>
      <w:tr>
        <w:trPr/>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4.29</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r:id="rId28">
              <w:r>
                <w:rPr>
                  <w:rStyle w:val="InternetLink"/>
                  <w:rFonts w:ascii="Times New Roman;Times;serif" w:hAnsi="Times New Roman;Times;serif"/>
                  <w:b w:val="false"/>
                  <w:i w:val="false"/>
                  <w:caps w:val="false"/>
                  <w:smallCaps w:val="false"/>
                  <w:sz w:val="20"/>
                </w:rPr>
                <w:t>Equity Pledge Agreement dated September 26, 2016 between William Lei Ding and NetEase Youdao Information Technology (Beijing) Co., Ltd. (incorporated by reference to Exhibit 4.52 to our company’s Annual Report on Form 20-F for the year ended December 31, 2016 filed with the SEC on April 21, 2017)</w:t>
              </w:r>
            </w:hyperlink>
          </w:p>
        </w:tc>
      </w:tr>
      <w:tr>
        <w:trPr/>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4.30</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r:id="rId29">
              <w:r>
                <w:rPr>
                  <w:rStyle w:val="InternetLink"/>
                  <w:rFonts w:ascii="Times New Roman;Times;serif" w:hAnsi="Times New Roman;Times;serif"/>
                  <w:b w:val="false"/>
                  <w:i w:val="false"/>
                  <w:caps w:val="false"/>
                  <w:smallCaps w:val="false"/>
                  <w:sz w:val="20"/>
                </w:rPr>
                <w:t>Exclusive Purchase Option Agreement dated September 26, 2016 among William Lei Ding, NetEase Youdao Information Technology (Beijing) Co., Ltd. and Beijing NetEase Youdao Computer System Co., Ltd. (incorporated by reference to Exhibit 4.53 to our company’s Annual Report on Form 20-F for the year ended December 31, 2016 filed with the SEC on April 21, 2017)</w:t>
              </w:r>
            </w:hyperlink>
          </w:p>
        </w:tc>
      </w:tr>
      <w:tr>
        <w:trPr/>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4.31</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r:id="rId30">
              <w:r>
                <w:rPr>
                  <w:rStyle w:val="InternetLink"/>
                  <w:rFonts w:ascii="Times New Roman;Times;serif" w:hAnsi="Times New Roman;Times;serif"/>
                  <w:b w:val="false"/>
                  <w:i w:val="false"/>
                  <w:caps w:val="false"/>
                  <w:smallCaps w:val="false"/>
                  <w:sz w:val="20"/>
                </w:rPr>
                <w:t>Operating Agreement dated September 26, 2016 among Beijing NetEase Youdao Computer System Co., Ltd., NetEase Youdao Information Technology (Beijing) Co., Ltd. and William Lei Ding. (incorporated by reference to Exhibit 4.54 to our company’s Annual Report on Form 20-F for the year ended December 31, 2016 filed with the SEC on April 21, 2017)</w:t>
              </w:r>
            </w:hyperlink>
          </w:p>
        </w:tc>
      </w:tr>
      <w:tr>
        <w:trPr/>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706"/>
        <w:gridCol w:w="326"/>
        <w:gridCol w:w="9173"/>
      </w:tblGrid>
      <w:tr>
        <w:trPr/>
        <w:tc>
          <w:tcPr>
            <w:tcW w:w="70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24155" cy="175260"/>
                      <wp:effectExtent l="0" t="0" r="0" b="0"/>
                      <wp:wrapNone/>
                      <wp:docPr id="289" name="Frame288"/>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32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03505" cy="175260"/>
                      <wp:effectExtent l="0" t="0" r="0" b="0"/>
                      <wp:wrapNone/>
                      <wp:docPr id="290" name="Frame289"/>
                      <a:graphic xmlns:a="http://schemas.openxmlformats.org/drawingml/2006/main">
                        <a:graphicData uri="http://schemas.microsoft.com/office/word/2010/wordprocessingShape">
                          <wps:wsp>
                            <wps:cNvSpPr txBox="1"/>
                            <wps:spPr>
                              <a:xfrm>
                                <a:off x="0" y="0"/>
                                <a:ext cx="10350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9173"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912110" cy="175260"/>
                      <wp:effectExtent l="0" t="0" r="0" b="0"/>
                      <wp:wrapNone/>
                      <wp:docPr id="291" name="Frame290"/>
                      <a:graphic xmlns:a="http://schemas.openxmlformats.org/drawingml/2006/main">
                        <a:graphicData uri="http://schemas.microsoft.com/office/word/2010/wordprocessingShape">
                          <wps:wsp>
                            <wps:cNvSpPr txBox="1"/>
                            <wps:spPr>
                              <a:xfrm>
                                <a:off x="0" y="0"/>
                                <a:ext cx="291211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r>
      <w:tr>
        <w:trPr/>
        <w:tc>
          <w:tcPr>
            <w:tcW w:w="706" w:type="dxa"/>
            <w:tcBorders>
              <w:bottom w:val="single" w:sz="2" w:space="0" w:color="000000"/>
            </w:tcBorders>
            <w:tcMar>
              <w:bottom w:w="28" w:type="dxa"/>
            </w:tcMar>
            <w:vAlign w:val="center"/>
          </w:tcPr>
          <w:p>
            <w:pPr>
              <w:pStyle w:val="TableHeading"/>
              <w:bidi w:val="0"/>
              <w:spacing w:before="0" w:after="0"/>
              <w:ind w:left="0" w:right="0" w:hanging="0"/>
              <w:jc w:val="left"/>
              <w:rPr>
                <w:rFonts w:ascii="Times New Roman;Times;serif" w:hAnsi="Times New Roman;Times;serif"/>
                <w:b w:val="false"/>
                <w:sz w:val="16"/>
              </w:rPr>
            </w:pPr>
            <w:r>
              <w:rPr>
                <w:rFonts w:ascii="Times New Roman;Times;serif" w:hAnsi="Times New Roman;Times;serif"/>
                <w:b/>
                <w:sz w:val="16"/>
              </w:rPr>
              <w:t>Exhibit</w:t>
            </w:r>
            <w:r>
              <w:rPr>
                <w:rFonts w:ascii="Times New Roman;Times;serif" w:hAnsi="Times New Roman;Times;serif"/>
                <w:b w:val="false"/>
                <w:sz w:val="16"/>
              </w:rPr>
              <w:br/>
            </w:r>
            <w:r>
              <w:rPr>
                <w:rFonts w:ascii="Times New Roman;Times;serif" w:hAnsi="Times New Roman;Times;serif"/>
                <w:b/>
                <w:sz w:val="16"/>
              </w:rPr>
              <w:t>Number</w:t>
            </w:r>
          </w:p>
        </w:tc>
        <w:tc>
          <w:tcPr>
            <w:tcW w:w="326" w:type="dxa"/>
            <w:tcBorders>
              <w:bottom w:val="single" w:sz="2" w:space="0" w:color="000000"/>
            </w:tcBorders>
            <w:tcMar>
              <w:bottom w:w="28" w:type="dxa"/>
            </w:tcMar>
            <w:vAlign w:val="center"/>
          </w:tcPr>
          <w:p>
            <w:pPr>
              <w:pStyle w:val="TableHeading"/>
              <w:bidi w:val="0"/>
              <w:spacing w:before="0" w:after="0"/>
              <w:ind w:left="0" w:right="0" w:hanging="0"/>
              <w:jc w:val="left"/>
              <w:rPr/>
            </w:pPr>
            <w:r>
              <w:rPr/>
              <w:t>    </w:t>
            </w:r>
          </w:p>
        </w:tc>
        <w:tc>
          <w:tcPr>
            <w:tcW w:w="9173"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Document</w:t>
            </w:r>
          </w:p>
        </w:tc>
      </w:tr>
      <w:tr>
        <w:trPr/>
        <w:tc>
          <w:tcPr>
            <w:tcW w:w="706"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9173"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4.32</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r:id="rId31">
              <w:r>
                <w:rPr>
                  <w:rStyle w:val="InternetLink"/>
                  <w:rFonts w:ascii="Times New Roman;Times;serif" w:hAnsi="Times New Roman;Times;serif"/>
                  <w:b w:val="false"/>
                  <w:i w:val="false"/>
                  <w:caps w:val="false"/>
                  <w:smallCaps w:val="false"/>
                  <w:sz w:val="20"/>
                </w:rPr>
                <w:t>Cooperation Agreement dated July 1, 2015 between NetEase Youdao Information Technology (Beijing) Co., Ltd. and Youdao Computer System Co., Ltd. (incorporated by reference to Exhibit 4.55 to our company’s Annual Report on Form 20-F for the year ended December 31, 2016 filed with the SEC on April 21, 2017)</w:t>
              </w:r>
            </w:hyperlink>
          </w:p>
        </w:tc>
      </w:tr>
      <w:tr>
        <w:trPr/>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4.33</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r:id="rId32">
              <w:r>
                <w:rPr>
                  <w:rStyle w:val="InternetLink"/>
                  <w:rFonts w:ascii="Times New Roman;Times;serif" w:hAnsi="Times New Roman;Times;serif"/>
                  <w:b w:val="false"/>
                  <w:i w:val="false"/>
                  <w:caps w:val="false"/>
                  <w:smallCaps w:val="false"/>
                  <w:sz w:val="20"/>
                </w:rPr>
                <w:t>Loan Agreement dated November 20, 2017 between Feng Zhou and NetEase Youdao Information Technology (Beijing) Co., Ltd. (incorporated by reference to Exhibit 4.52 to our company’s Annual Report on Form 20-F for the year ended December 31, 2017 filed with the SEC on April 20, 2018)</w:t>
              </w:r>
            </w:hyperlink>
          </w:p>
        </w:tc>
      </w:tr>
      <w:tr>
        <w:trPr/>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4.34</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r:id="rId33">
              <w:r>
                <w:rPr>
                  <w:rStyle w:val="InternetLink"/>
                  <w:rFonts w:ascii="Times New Roman;Times;serif" w:hAnsi="Times New Roman;Times;serif"/>
                  <w:b w:val="false"/>
                  <w:i w:val="false"/>
                  <w:caps w:val="false"/>
                  <w:smallCaps w:val="false"/>
                  <w:sz w:val="20"/>
                </w:rPr>
                <w:t>Equity Pledge Agreement dated November 20, 2017 between Feng Zhou and NetEase Youdao Information Technology (Beijing) Co., Ltd. (incorporated by reference to Exhibit 4.53 to our company’s Annual Report on Form 20-F for the year ended December 31, 2017 filed with the SEC on April 20, 2018)</w:t>
              </w:r>
            </w:hyperlink>
          </w:p>
        </w:tc>
      </w:tr>
      <w:tr>
        <w:trPr/>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4.35</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r:id="rId34">
              <w:r>
                <w:rPr>
                  <w:rStyle w:val="InternetLink"/>
                  <w:rFonts w:ascii="Times New Roman;Times;serif" w:hAnsi="Times New Roman;Times;serif"/>
                  <w:b w:val="false"/>
                  <w:i w:val="false"/>
                  <w:caps w:val="false"/>
                  <w:smallCaps w:val="false"/>
                  <w:sz w:val="20"/>
                </w:rPr>
                <w:t>Exclusive Purchase Option Agreement dated November 20, 2017 among NetEase Youdao Information Technology (Beijing) Co., Ltd., Feng Zhou and Beijing NetEase Youdao Computer System Co., Ltd. (incorporated by reference to Exhibit 4.54 to our company’s Annual Report on Form 20-F for the year ended December 31, 2017 filed with the SEC on April 20, 2018)</w:t>
              </w:r>
            </w:hyperlink>
          </w:p>
        </w:tc>
      </w:tr>
      <w:tr>
        <w:trPr/>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4.36</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r:id="rId35">
              <w:r>
                <w:rPr>
                  <w:rStyle w:val="InternetLink"/>
                  <w:rFonts w:ascii="Times New Roman;Times;serif" w:hAnsi="Times New Roman;Times;serif"/>
                  <w:b w:val="false"/>
                  <w:i w:val="false"/>
                  <w:caps w:val="false"/>
                  <w:smallCaps w:val="false"/>
                  <w:sz w:val="20"/>
                </w:rPr>
                <w:t>Operating Agreement dated November 20, 2017 among NetEase Youdao Information Technology (Beijing) Co., Ltd., Beijing NetEase Youdao Computer System Co., Ltd. and Feng Zhou (incorporated by reference to Exhibit 4.55 to our company’s Annual Report on Form 20-F for the year ended December 31, 2017 filed with the SEC on April 20, 2018)</w:t>
              </w:r>
            </w:hyperlink>
          </w:p>
        </w:tc>
      </w:tr>
      <w:tr>
        <w:trPr/>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4.37</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r:id="rId36">
              <w:r>
                <w:rPr>
                  <w:rStyle w:val="InternetLink"/>
                  <w:rFonts w:ascii="Times New Roman;Times;serif" w:hAnsi="Times New Roman;Times;serif"/>
                  <w:b w:val="false"/>
                  <w:i w:val="false"/>
                  <w:caps w:val="false"/>
                  <w:smallCaps w:val="false"/>
                  <w:sz w:val="20"/>
                </w:rPr>
                <w:t>Supplementary Agreement of Assignment among NetEase (Hangzhou) Network Co., Ltd., Hangzhou NetEase Leihuo Technology Co., Ltd., Zhipeng Hu, Tianlei Hu and Long Cheng dated April 18, 2019 (incorporated by reference to Exhibit 4.58 to our company’s Annual Report on Form 20-F for the year ended December 31, 2018 filed with the SEC on April 26, 2019)</w:t>
              </w:r>
            </w:hyperlink>
          </w:p>
        </w:tc>
      </w:tr>
      <w:tr>
        <w:trPr/>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4.38</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r:id="rId37">
              <w:r>
                <w:rPr>
                  <w:rStyle w:val="InternetLink"/>
                  <w:rFonts w:ascii="Times New Roman;Times;serif" w:hAnsi="Times New Roman;Times;serif"/>
                  <w:b w:val="false"/>
                  <w:i w:val="false"/>
                  <w:caps w:val="false"/>
                  <w:smallCaps w:val="false"/>
                  <w:sz w:val="20"/>
                </w:rPr>
                <w:t>Master Transaction Agreement dated September 27, 2019 between NetEase, Inc. and Youdao, Inc. (incorporated by reference to Exhibit 4.52 to our company’s Annual Report on Form 20-F for the year ended December 31, 2019 filed with the SEC on April 29, 2020)</w:t>
              </w:r>
            </w:hyperlink>
          </w:p>
        </w:tc>
      </w:tr>
      <w:tr>
        <w:trPr/>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4.39</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r:id="rId38">
              <w:r>
                <w:rPr>
                  <w:rStyle w:val="InternetLink"/>
                  <w:rFonts w:ascii="Times New Roman;Times;serif" w:hAnsi="Times New Roman;Times;serif"/>
                  <w:b w:val="false"/>
                  <w:i w:val="false"/>
                  <w:caps w:val="false"/>
                  <w:smallCaps w:val="false"/>
                  <w:sz w:val="20"/>
                </w:rPr>
                <w:t>Transitional Services Agreement dated September 27, 2019 between NetEase, Inc. and Youdao, Inc. (incorporated by reference to Exhibit 4.53 to our company’s Annual Report on Form 20-F for the year ended December 31, 2019 filed with the SEC on April 29, 2020)</w:t>
              </w:r>
            </w:hyperlink>
          </w:p>
        </w:tc>
      </w:tr>
      <w:tr>
        <w:trPr/>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4.40</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r:id="rId39">
              <w:r>
                <w:rPr>
                  <w:rStyle w:val="InternetLink"/>
                  <w:rFonts w:ascii="Times New Roman;Times;serif" w:hAnsi="Times New Roman;Times;serif"/>
                  <w:b w:val="false"/>
                  <w:i w:val="false"/>
                  <w:caps w:val="false"/>
                  <w:smallCaps w:val="false"/>
                  <w:sz w:val="20"/>
                </w:rPr>
                <w:t>Non-Competition Agreement dated September 27, 2019 between NetEase, Inc. and Youdao, Inc. (incorporated by reference to Exhibit 4.54 to our company’s Annual Report on Form 20-F for the year ended December 31, 2019 filed with the SEC on April 29, 2020)</w:t>
              </w:r>
            </w:hyperlink>
          </w:p>
        </w:tc>
      </w:tr>
      <w:tr>
        <w:trPr/>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4.41</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r:id="rId40">
              <w:r>
                <w:rPr>
                  <w:rStyle w:val="InternetLink"/>
                  <w:rFonts w:ascii="Times New Roman;Times;serif" w:hAnsi="Times New Roman;Times;serif"/>
                  <w:b w:val="false"/>
                  <w:i w:val="false"/>
                  <w:caps w:val="false"/>
                  <w:smallCaps w:val="false"/>
                  <w:sz w:val="20"/>
                </w:rPr>
                <w:t>Cooperation Framework Agreement dated September 27, 2019 between NetEase, Inc. and Youdao, Inc. (incorporated by reference to Exhibit 4.55 to our company’s Annual Report on Form 20-F for the year ended December 31, 2019 filed with the SEC on April 29, 2020)</w:t>
              </w:r>
            </w:hyperlink>
          </w:p>
        </w:tc>
      </w:tr>
      <w:tr>
        <w:trPr/>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4.42</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r:id="rId41">
              <w:r>
                <w:rPr>
                  <w:rStyle w:val="InternetLink"/>
                  <w:rFonts w:ascii="Times New Roman;Times;serif" w:hAnsi="Times New Roman;Times;serif"/>
                  <w:b w:val="false"/>
                  <w:i w:val="false"/>
                  <w:caps w:val="false"/>
                  <w:smallCaps w:val="false"/>
                  <w:sz w:val="20"/>
                </w:rPr>
                <w:t>Intellectual Property License Agreement dated September 27, 2019 between NetEase, Inc. and Youdao, Inc. (incorporated by reference to Exhibit 4.56 to our company’s Annual Report on Form 20-F for the year ended December 31, 2019 filed with the SEC on April 29, 2020)</w:t>
              </w:r>
            </w:hyperlink>
          </w:p>
        </w:tc>
      </w:tr>
      <w:tr>
        <w:trPr/>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4.43</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r:id="rId42">
              <w:r>
                <w:rPr>
                  <w:rStyle w:val="InternetLink"/>
                  <w:rFonts w:ascii="Times New Roman;Times;serif" w:hAnsi="Times New Roman;Times;serif"/>
                  <w:b w:val="false"/>
                  <w:i w:val="false"/>
                  <w:caps w:val="false"/>
                  <w:smallCaps w:val="false"/>
                  <w:sz w:val="20"/>
                </w:rPr>
                <w:t>Amended and Restated 2019 Share Incentive Plan (incorporated by reference to Exhibit 4.5 to our company’s Post-effective Amendment No. 1 to Registration Statement on Form S-8 (file no. 333-234189) filed with the SEC on March 2, 2023)</w:t>
              </w:r>
            </w:hyperlink>
          </w:p>
        </w:tc>
      </w:tr>
      <w:tr>
        <w:trPr/>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4.44+</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r:id="rId43">
              <w:r>
                <w:rPr>
                  <w:rStyle w:val="InternetLink"/>
                  <w:rFonts w:ascii="Times New Roman;Times;serif" w:hAnsi="Times New Roman;Times;serif"/>
                  <w:b w:val="false"/>
                  <w:i w:val="false"/>
                  <w:caps w:val="false"/>
                  <w:smallCaps w:val="false"/>
                  <w:sz w:val="20"/>
                </w:rPr>
                <w:t>Facility agreement of a five-year term loan facility and revolving loan facility agreement of US$1.0 billion between our company and the parties thereto dated June 2, 2021 (incorporated by reference to Exhibit 4.44 to our company’s Annual Report on Form 20-F for the year ended December 31, 2021 filed with the SEC on April 28, 2022)</w:t>
              </w:r>
            </w:hyperlink>
          </w:p>
        </w:tc>
      </w:tr>
      <w:tr>
        <w:trPr/>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706"/>
        <w:gridCol w:w="326"/>
        <w:gridCol w:w="9173"/>
      </w:tblGrid>
      <w:tr>
        <w:trPr/>
        <w:tc>
          <w:tcPr>
            <w:tcW w:w="70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24155" cy="175260"/>
                      <wp:effectExtent l="0" t="0" r="0" b="0"/>
                      <wp:wrapNone/>
                      <wp:docPr id="292" name="Frame291"/>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32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103505" cy="175260"/>
                      <wp:effectExtent l="0" t="0" r="0" b="0"/>
                      <wp:wrapNone/>
                      <wp:docPr id="293" name="Frame292"/>
                      <a:graphic xmlns:a="http://schemas.openxmlformats.org/drawingml/2006/main">
                        <a:graphicData uri="http://schemas.microsoft.com/office/word/2010/wordprocessingShape">
                          <wps:wsp>
                            <wps:cNvSpPr txBox="1"/>
                            <wps:spPr>
                              <a:xfrm>
                                <a:off x="0" y="0"/>
                                <a:ext cx="10350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9173"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912110" cy="175260"/>
                      <wp:effectExtent l="0" t="0" r="0" b="0"/>
                      <wp:wrapNone/>
                      <wp:docPr id="294" name="Frame293"/>
                      <a:graphic xmlns:a="http://schemas.openxmlformats.org/drawingml/2006/main">
                        <a:graphicData uri="http://schemas.microsoft.com/office/word/2010/wordprocessingShape">
                          <wps:wsp>
                            <wps:cNvSpPr txBox="1"/>
                            <wps:spPr>
                              <a:xfrm>
                                <a:off x="0" y="0"/>
                                <a:ext cx="291211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r>
      <w:tr>
        <w:trPr/>
        <w:tc>
          <w:tcPr>
            <w:tcW w:w="706" w:type="dxa"/>
            <w:tcBorders>
              <w:bottom w:val="single" w:sz="2" w:space="0" w:color="000000"/>
            </w:tcBorders>
            <w:tcMar>
              <w:bottom w:w="28" w:type="dxa"/>
            </w:tcMar>
            <w:vAlign w:val="center"/>
          </w:tcPr>
          <w:p>
            <w:pPr>
              <w:pStyle w:val="TableHeading"/>
              <w:bidi w:val="0"/>
              <w:spacing w:before="0" w:after="0"/>
              <w:ind w:left="0" w:right="0" w:hanging="0"/>
              <w:jc w:val="left"/>
              <w:rPr>
                <w:rFonts w:ascii="Times New Roman;Times;serif" w:hAnsi="Times New Roman;Times;serif"/>
                <w:b w:val="false"/>
                <w:sz w:val="16"/>
              </w:rPr>
            </w:pPr>
            <w:r>
              <w:rPr>
                <w:rFonts w:ascii="Times New Roman;Times;serif" w:hAnsi="Times New Roman;Times;serif"/>
                <w:b/>
                <w:sz w:val="16"/>
              </w:rPr>
              <w:t>Exhibit</w:t>
            </w:r>
            <w:r>
              <w:rPr>
                <w:rFonts w:ascii="Times New Roman;Times;serif" w:hAnsi="Times New Roman;Times;serif"/>
                <w:b w:val="false"/>
                <w:sz w:val="16"/>
              </w:rPr>
              <w:br/>
            </w:r>
            <w:r>
              <w:rPr>
                <w:rFonts w:ascii="Times New Roman;Times;serif" w:hAnsi="Times New Roman;Times;serif"/>
                <w:b/>
                <w:sz w:val="16"/>
              </w:rPr>
              <w:t>Number</w:t>
            </w:r>
          </w:p>
        </w:tc>
        <w:tc>
          <w:tcPr>
            <w:tcW w:w="326" w:type="dxa"/>
            <w:tcBorders>
              <w:bottom w:val="single" w:sz="2" w:space="0" w:color="000000"/>
            </w:tcBorders>
            <w:tcMar>
              <w:bottom w:w="28" w:type="dxa"/>
            </w:tcMar>
            <w:vAlign w:val="center"/>
          </w:tcPr>
          <w:p>
            <w:pPr>
              <w:pStyle w:val="TableHeading"/>
              <w:bidi w:val="0"/>
              <w:spacing w:before="0" w:after="0"/>
              <w:ind w:left="0" w:right="0" w:hanging="0"/>
              <w:jc w:val="left"/>
              <w:rPr/>
            </w:pPr>
            <w:r>
              <w:rPr/>
              <w:t>    </w:t>
            </w:r>
          </w:p>
        </w:tc>
        <w:tc>
          <w:tcPr>
            <w:tcW w:w="9173"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Document</w:t>
            </w:r>
          </w:p>
        </w:tc>
      </w:tr>
      <w:tr>
        <w:trPr/>
        <w:tc>
          <w:tcPr>
            <w:tcW w:w="706"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9173"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4.45+</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r:id="rId44">
              <w:r>
                <w:rPr>
                  <w:rStyle w:val="InternetLink"/>
                  <w:rFonts w:ascii="Times New Roman;Times;serif" w:hAnsi="Times New Roman;Times;serif"/>
                  <w:b w:val="false"/>
                  <w:i w:val="false"/>
                  <w:caps w:val="false"/>
                  <w:smallCaps w:val="false"/>
                  <w:sz w:val="20"/>
                </w:rPr>
                <w:t>Letter of Amendment related to the above US$1.0 billion five-year facility agreement between our company and the parties thereto dated September 23, 2021 (incorporated by reference to Exhibit 4.45 to our company’s Annual Report on Form 20-F for the year ended December 31, 2021 filed with the SEC on April 28, 2022)</w:t>
              </w:r>
            </w:hyperlink>
          </w:p>
        </w:tc>
      </w:tr>
      <w:tr>
        <w:trPr/>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4.46*+</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w:anchor="ntes-20231231xex4d46.htm">
              <w:r>
                <w:rPr>
                  <w:rStyle w:val="InternetLink"/>
                  <w:rFonts w:ascii="Times New Roman;Times;serif" w:hAnsi="Times New Roman;Times;serif"/>
                  <w:b w:val="false"/>
                  <w:i w:val="false"/>
                  <w:caps w:val="false"/>
                  <w:smallCaps w:val="false"/>
                  <w:sz w:val="20"/>
                </w:rPr>
                <w:t>Facility agreement of a revolving loan facility of US$300 million between NetEase, Inc. as lender and Youdao, Inc. as borrower dated September 12, 2023</w:t>
              </w:r>
            </w:hyperlink>
            <w:r>
              <w:rPr>
                <w:rFonts w:ascii="Times New Roman;Times;serif" w:hAnsi="Times New Roman;Times;serif"/>
                <w:sz w:val="20"/>
              </w:rPr>
              <w:t xml:space="preserve"> </w:t>
            </w:r>
          </w:p>
        </w:tc>
      </w:tr>
      <w:tr>
        <w:trPr/>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4.47</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r:id="rId45">
              <w:r>
                <w:rPr>
                  <w:rStyle w:val="InternetLink"/>
                  <w:rFonts w:ascii="Times New Roman;Times;serif" w:hAnsi="Times New Roman;Times;serif"/>
                  <w:b w:val="false"/>
                  <w:i w:val="false"/>
                  <w:caps w:val="false"/>
                  <w:smallCaps w:val="false"/>
                  <w:sz w:val="20"/>
                </w:rPr>
                <w:t>Amended and Restated Loan Agreement dated May 18, 2021 between Hangzhou NetEase Cloud Music Technology Co., Ltd. and William Lei Ding (incorporated by reference to Exhibit 4.47 to our company’s Annual Report on Form 20-F for the year ended December 31, 2022 filed with the SEC on April 27, 2023)</w:t>
              </w:r>
            </w:hyperlink>
          </w:p>
        </w:tc>
      </w:tr>
      <w:tr>
        <w:trPr/>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4.48</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r:id="rId46">
              <w:r>
                <w:rPr>
                  <w:rStyle w:val="InternetLink"/>
                  <w:rFonts w:ascii="Times New Roman;Times;serif" w:hAnsi="Times New Roman;Times;serif"/>
                  <w:b w:val="false"/>
                  <w:i w:val="false"/>
                  <w:caps w:val="false"/>
                  <w:smallCaps w:val="false"/>
                  <w:sz w:val="20"/>
                </w:rPr>
                <w:t>Amended and Restated Equity Pledge Agreement dated May 18, 2021 between Hangzhou NetEase Cloud Music Technology Co., Ltd. and William Lei Ding (incorporated by reference to Exhibit 4.48 to our company’s Annual Report on Form 20-F for the year ended December 31, 2022 filed with the SEC on April 27, 2023)</w:t>
              </w:r>
            </w:hyperlink>
          </w:p>
        </w:tc>
      </w:tr>
      <w:tr>
        <w:trPr/>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4.49</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r:id="rId47">
              <w:r>
                <w:rPr>
                  <w:rStyle w:val="InternetLink"/>
                  <w:rFonts w:ascii="Times New Roman;Times;serif" w:hAnsi="Times New Roman;Times;serif"/>
                  <w:b w:val="false"/>
                  <w:i w:val="false"/>
                  <w:caps w:val="false"/>
                  <w:smallCaps w:val="false"/>
                  <w:sz w:val="20"/>
                </w:rPr>
                <w:t>Amended and Restated Exclusive Purchase Option Agreement dated May 18, 2021 among Hangzhou NetEase Cloud Music Technology Co., Ltd., Hangzhou Yuedu Technology Co., Ltd. and William Lei Ding (incorporated by reference to Exhibit 4.49 to our company’s Annual Report on Form 20-F for the year ended December 31, 2022 filed with the SEC on April 27, 2023)</w:t>
              </w:r>
            </w:hyperlink>
          </w:p>
        </w:tc>
      </w:tr>
      <w:tr>
        <w:trPr/>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4.50</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r:id="rId48">
              <w:r>
                <w:rPr>
                  <w:rStyle w:val="InternetLink"/>
                  <w:rFonts w:ascii="Times New Roman;Times;serif" w:hAnsi="Times New Roman;Times;serif"/>
                  <w:b w:val="false"/>
                  <w:i w:val="false"/>
                  <w:caps w:val="false"/>
                  <w:smallCaps w:val="false"/>
                  <w:sz w:val="20"/>
                </w:rPr>
                <w:t>Amended and Restated Shareholder Voting Right Trust Agreement dated May 18, 2021 between Hangzhou NetEase Cloud Music Technology Co., Ltd. and William Lei Ding (incorporated by reference to Exhibit 4.50 to our company’s Annual Report on Form 20-F for the year ended December 31, 2022 filed with the SEC on April 27, 2023)</w:t>
              </w:r>
            </w:hyperlink>
          </w:p>
        </w:tc>
      </w:tr>
      <w:tr>
        <w:trPr/>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4.51*</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w:anchor="ntes-20231231xex4d51.htm">
              <w:r>
                <w:rPr>
                  <w:rStyle w:val="InternetLink"/>
                  <w:rFonts w:ascii="Times New Roman;Times;serif" w:hAnsi="Times New Roman;Times;serif"/>
                  <w:b w:val="false"/>
                  <w:i w:val="false"/>
                  <w:caps w:val="false"/>
                  <w:smallCaps w:val="false"/>
                  <w:sz w:val="20"/>
                </w:rPr>
                <w:t>Loan Agreement dated November 2, 2023 between Hangzhou NetEase Cloud Music Technology Co., Ltd. and Wei Li</w:t>
              </w:r>
            </w:hyperlink>
          </w:p>
        </w:tc>
      </w:tr>
      <w:tr>
        <w:trPr/>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4.52*</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w:anchor="ntes-20231231xex4d52.htm">
              <w:r>
                <w:rPr>
                  <w:rStyle w:val="InternetLink"/>
                  <w:rFonts w:ascii="Times New Roman;Times;serif" w:hAnsi="Times New Roman;Times;serif"/>
                  <w:b w:val="false"/>
                  <w:i w:val="false"/>
                  <w:caps w:val="false"/>
                  <w:smallCaps w:val="false"/>
                  <w:sz w:val="20"/>
                </w:rPr>
                <w:t>Equity Pledge Agreement dated November 2, 2023 between Hangzhou NetEase Cloud Music Technology Co., Ltd. and Wei Li</w:t>
              </w:r>
            </w:hyperlink>
          </w:p>
        </w:tc>
      </w:tr>
      <w:tr>
        <w:trPr/>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4.53*</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w:anchor="ntes-20231231xex4d53.htm">
              <w:r>
                <w:rPr>
                  <w:rStyle w:val="InternetLink"/>
                  <w:rFonts w:ascii="Times New Roman;Times;serif" w:hAnsi="Times New Roman;Times;serif"/>
                  <w:b w:val="false"/>
                  <w:i w:val="false"/>
                  <w:caps w:val="false"/>
                  <w:smallCaps w:val="false"/>
                  <w:sz w:val="20"/>
                </w:rPr>
                <w:t>Operating Agreement dated November 2, 2023 among Hangzhou NetEase Cloud Music Technology Co., Ltd., Hangzhou Yuedu Technology Co., Ltd., William Lei Ding and Wei Li</w:t>
              </w:r>
            </w:hyperlink>
          </w:p>
        </w:tc>
      </w:tr>
      <w:tr>
        <w:trPr/>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4.54*</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w:anchor="ntes-20231231xex4d54.htm">
              <w:r>
                <w:rPr>
                  <w:rStyle w:val="InternetLink"/>
                  <w:rFonts w:ascii="Times New Roman;Times;serif" w:hAnsi="Times New Roman;Times;serif"/>
                  <w:b w:val="false"/>
                  <w:i w:val="false"/>
                  <w:caps w:val="false"/>
                  <w:smallCaps w:val="false"/>
                  <w:sz w:val="20"/>
                </w:rPr>
                <w:t>Exclusive Purchase Option Agreement dated November 2, 2023 among Hangzhou NetEase Cloud Music Technology Co., Ltd., Hangzhou Yuedu Technology Co., Ltd. and Wei Li</w:t>
              </w:r>
            </w:hyperlink>
          </w:p>
        </w:tc>
      </w:tr>
      <w:tr>
        <w:trPr/>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4.55*</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w:anchor="ntes-20231231xex4d55.htm">
              <w:r>
                <w:rPr>
                  <w:rStyle w:val="InternetLink"/>
                  <w:rFonts w:ascii="Times New Roman;Times;serif" w:hAnsi="Times New Roman;Times;serif"/>
                  <w:b w:val="false"/>
                  <w:i w:val="false"/>
                  <w:caps w:val="false"/>
                  <w:smallCaps w:val="false"/>
                  <w:sz w:val="20"/>
                </w:rPr>
                <w:t>Shareholder Voting Right Trust Agreement dated November 2, 2023 between Hangzhou NetEase Cloud Music Technology Co., Ltd., and Wei Li</w:t>
              </w:r>
            </w:hyperlink>
          </w:p>
        </w:tc>
      </w:tr>
      <w:tr>
        <w:trPr/>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4.56</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r:id="rId49">
              <w:r>
                <w:rPr>
                  <w:rStyle w:val="InternetLink"/>
                  <w:rFonts w:ascii="Times New Roman;Times;serif" w:hAnsi="Times New Roman;Times;serif"/>
                  <w:b w:val="false"/>
                  <w:i w:val="false"/>
                  <w:caps w:val="false"/>
                  <w:smallCaps w:val="false"/>
                  <w:sz w:val="20"/>
                </w:rPr>
                <w:t>Amended and Restated Cooperation Agreement dated May 18, 2021 between Hangzhou NetEase Cloud Music Technology Co., Ltd. and Hangzhou Yuedu Technology Co., Ltd. (incorporated by reference to Exhibit 4.56 to our company’s Annual Report on Form 20 - F for the year ended December 31, 2022 filed with the SEC on April 27, 2023)</w:t>
              </w:r>
            </w:hyperlink>
          </w:p>
        </w:tc>
      </w:tr>
      <w:tr>
        <w:trPr/>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4.57*</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w:anchor="ntes-20231231xex4d57.htm">
              <w:r>
                <w:rPr>
                  <w:rStyle w:val="InternetLink"/>
                  <w:rFonts w:ascii="Times New Roman;Times;serif" w:hAnsi="Times New Roman;Times;serif"/>
                  <w:b w:val="false"/>
                  <w:i w:val="false"/>
                  <w:caps w:val="false"/>
                  <w:smallCaps w:val="false"/>
                  <w:sz w:val="20"/>
                </w:rPr>
                <w:t>Form of Indemnification Agreement between NetEase, Inc. and its directors and executive officers.</w:t>
              </w:r>
            </w:hyperlink>
          </w:p>
        </w:tc>
      </w:tr>
      <w:tr>
        <w:trPr/>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8.1</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r:id="rId50">
              <w:r>
                <w:rPr>
                  <w:rStyle w:val="InternetLink"/>
                  <w:rFonts w:ascii="Times New Roman;Times;serif" w:hAnsi="Times New Roman;Times;serif"/>
                  <w:b w:val="false"/>
                  <w:i w:val="false"/>
                  <w:caps w:val="false"/>
                  <w:smallCaps w:val="false"/>
                  <w:sz w:val="20"/>
                </w:rPr>
                <w:t>List of Significant Subsidiaries and Variable Interest Entities of NetEase, Inc. (incorporated by reference to Exhibit 8.1 to our company’s Annual Report on Form 20-F for the year ended December 31, 2020 filed with the SEC on April 28, 2021)</w:t>
              </w:r>
            </w:hyperlink>
          </w:p>
        </w:tc>
      </w:tr>
      <w:tr>
        <w:trPr/>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11.1*</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w:anchor="ntes-20231231xex11d1.htm">
              <w:r>
                <w:rPr>
                  <w:rStyle w:val="InternetLink"/>
                  <w:rFonts w:ascii="Times New Roman;Times;serif" w:hAnsi="Times New Roman;Times;serif"/>
                  <w:b w:val="false"/>
                  <w:i w:val="false"/>
                  <w:caps w:val="false"/>
                  <w:smallCaps w:val="false"/>
                  <w:sz w:val="20"/>
                </w:rPr>
                <w:t>Code of Business Conduct</w:t>
              </w:r>
            </w:hyperlink>
          </w:p>
        </w:tc>
      </w:tr>
      <w:tr>
        <w:trPr/>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12.1*</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w:anchor="ntes-20231231xex12d1.htm">
              <w:r>
                <w:rPr>
                  <w:rStyle w:val="InternetLink"/>
                  <w:rFonts w:ascii="Times New Roman;Times;serif" w:hAnsi="Times New Roman;Times;serif"/>
                  <w:b w:val="false"/>
                  <w:i w:val="false"/>
                  <w:caps w:val="false"/>
                  <w:smallCaps w:val="false"/>
                  <w:sz w:val="20"/>
                </w:rPr>
                <w:t>Certification of Principal Executive Officer Required by Rule 13a-14(a)</w:t>
              </w:r>
            </w:hyperlink>
          </w:p>
        </w:tc>
      </w:tr>
      <w:tr>
        <w:trPr/>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12.2*</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w:anchor="ntes-20231231xex12d2.htm">
              <w:r>
                <w:rPr>
                  <w:rStyle w:val="InternetLink"/>
                  <w:rFonts w:ascii="Times New Roman;Times;serif" w:hAnsi="Times New Roman;Times;serif"/>
                  <w:b w:val="false"/>
                  <w:i w:val="false"/>
                  <w:caps w:val="false"/>
                  <w:smallCaps w:val="false"/>
                  <w:sz w:val="20"/>
                </w:rPr>
                <w:t>Certification of Principal Financial Officer Required by Rule 13a-14(a)</w:t>
              </w:r>
            </w:hyperlink>
          </w:p>
        </w:tc>
      </w:tr>
      <w:tr>
        <w:trPr/>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13.1**</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w:anchor="ntes-20231231xex13d1.htm">
              <w:r>
                <w:rPr>
                  <w:rStyle w:val="InternetLink"/>
                  <w:rFonts w:ascii="Times New Roman;Times;serif" w:hAnsi="Times New Roman;Times;serif"/>
                  <w:b w:val="false"/>
                  <w:i w:val="false"/>
                  <w:caps w:val="false"/>
                  <w:smallCaps w:val="false"/>
                  <w:sz w:val="20"/>
                </w:rPr>
                <w:t>Certification of Principal Executive Officer Required by Rule 13a-14(b) and Section 1350 of Chapter 63 of Title 18 of the United States Code</w:t>
              </w:r>
            </w:hyperlink>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27" w:name="CharterofAuditCommitteeoftheBoardofDirec"/>
      <w:bookmarkStart w:id="128" w:name="CharterofAuditCommitteeoftheBoardofDirec"/>
      <w:bookmarkEnd w:id="128"/>
    </w:p>
    <w:tbl>
      <w:tblPr>
        <w:tblW w:w="10205" w:type="dxa"/>
        <w:jc w:val="left"/>
        <w:tblInd w:w="0" w:type="dxa"/>
        <w:tblLayout w:type="fixed"/>
        <w:tblCellMar>
          <w:top w:w="0" w:type="dxa"/>
          <w:left w:w="0" w:type="dxa"/>
          <w:bottom w:w="0" w:type="dxa"/>
          <w:right w:w="0" w:type="dxa"/>
        </w:tblCellMar>
      </w:tblPr>
      <w:tblGrid>
        <w:gridCol w:w="902"/>
        <w:gridCol w:w="326"/>
        <w:gridCol w:w="8977"/>
      </w:tblGrid>
      <w:tr>
        <w:trPr/>
        <w:tc>
          <w:tcPr>
            <w:tcW w:w="902"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86385" cy="175260"/>
                      <wp:effectExtent l="0" t="0" r="0" b="0"/>
                      <wp:wrapNone/>
                      <wp:docPr id="295" name="Frame294"/>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32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103505" cy="175260"/>
                      <wp:effectExtent l="0" t="0" r="0" b="0"/>
                      <wp:wrapNone/>
                      <wp:docPr id="296" name="Frame295"/>
                      <a:graphic xmlns:a="http://schemas.openxmlformats.org/drawingml/2006/main">
                        <a:graphicData uri="http://schemas.microsoft.com/office/word/2010/wordprocessingShape">
                          <wps:wsp>
                            <wps:cNvSpPr txBox="1"/>
                            <wps:spPr>
                              <a:xfrm>
                                <a:off x="0" y="0"/>
                                <a:ext cx="10350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8977"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849880" cy="175260"/>
                      <wp:effectExtent l="0" t="0" r="0" b="0"/>
                      <wp:wrapNone/>
                      <wp:docPr id="297" name="Frame296"/>
                      <a:graphic xmlns:a="http://schemas.openxmlformats.org/drawingml/2006/main">
                        <a:graphicData uri="http://schemas.microsoft.com/office/word/2010/wordprocessingShape">
                          <wps:wsp>
                            <wps:cNvSpPr txBox="1"/>
                            <wps:spPr>
                              <a:xfrm>
                                <a:off x="0" y="0"/>
                                <a:ext cx="284988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r>
      <w:tr>
        <w:trPr/>
        <w:tc>
          <w:tcPr>
            <w:tcW w:w="902" w:type="dxa"/>
            <w:tcBorders>
              <w:bottom w:val="single" w:sz="2" w:space="0" w:color="000000"/>
            </w:tcBorders>
            <w:tcMar>
              <w:bottom w:w="28" w:type="dxa"/>
            </w:tcMar>
            <w:vAlign w:val="center"/>
          </w:tcPr>
          <w:p>
            <w:pPr>
              <w:pStyle w:val="TableHeading"/>
              <w:bidi w:val="0"/>
              <w:spacing w:before="0" w:after="0"/>
              <w:ind w:left="0" w:right="0" w:hanging="0"/>
              <w:jc w:val="left"/>
              <w:rPr>
                <w:rFonts w:ascii="Times New Roman;Times;serif" w:hAnsi="Times New Roman;Times;serif"/>
                <w:b w:val="false"/>
                <w:sz w:val="16"/>
              </w:rPr>
            </w:pPr>
            <w:r>
              <w:rPr>
                <w:rFonts w:ascii="Times New Roman;Times;serif" w:hAnsi="Times New Roman;Times;serif"/>
                <w:b/>
                <w:sz w:val="16"/>
              </w:rPr>
              <w:t>Exhibit</w:t>
            </w:r>
            <w:r>
              <w:rPr>
                <w:rFonts w:ascii="Times New Roman;Times;serif" w:hAnsi="Times New Roman;Times;serif"/>
                <w:b w:val="false"/>
                <w:sz w:val="16"/>
              </w:rPr>
              <w:br/>
            </w:r>
            <w:r>
              <w:rPr>
                <w:rFonts w:ascii="Times New Roman;Times;serif" w:hAnsi="Times New Roman;Times;serif"/>
                <w:b/>
                <w:sz w:val="16"/>
              </w:rPr>
              <w:t>Number</w:t>
            </w:r>
          </w:p>
        </w:tc>
        <w:tc>
          <w:tcPr>
            <w:tcW w:w="326" w:type="dxa"/>
            <w:tcBorders>
              <w:bottom w:val="single" w:sz="2" w:space="0" w:color="000000"/>
            </w:tcBorders>
            <w:tcMar>
              <w:bottom w:w="28" w:type="dxa"/>
            </w:tcMar>
            <w:vAlign w:val="center"/>
          </w:tcPr>
          <w:p>
            <w:pPr>
              <w:pStyle w:val="TableHeading"/>
              <w:bidi w:val="0"/>
              <w:spacing w:before="0" w:after="0"/>
              <w:ind w:left="0" w:right="0" w:hanging="0"/>
              <w:jc w:val="left"/>
              <w:rPr/>
            </w:pPr>
            <w:r>
              <w:rPr/>
              <w:t>    </w:t>
            </w:r>
          </w:p>
        </w:tc>
        <w:tc>
          <w:tcPr>
            <w:tcW w:w="8977"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Document</w:t>
            </w:r>
          </w:p>
        </w:tc>
      </w:tr>
      <w:tr>
        <w:trPr/>
        <w:tc>
          <w:tcPr>
            <w:tcW w:w="902"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8977"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r>
      <w:tr>
        <w:trPr/>
        <w:tc>
          <w:tcPr>
            <w:tcW w:w="90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977" w:type="dxa"/>
            <w:tcBorders/>
            <w:vAlign w:val="center"/>
          </w:tcPr>
          <w:p>
            <w:pPr>
              <w:pStyle w:val="TableContents"/>
              <w:bidi w:val="0"/>
              <w:spacing w:before="0" w:after="0"/>
              <w:ind w:left="0" w:right="0" w:hanging="0"/>
              <w:jc w:val="both"/>
              <w:rPr/>
            </w:pPr>
            <w:r>
              <w:rPr/>
              <w:t>​</w:t>
            </w:r>
          </w:p>
        </w:tc>
      </w:tr>
      <w:tr>
        <w:trPr/>
        <w:tc>
          <w:tcPr>
            <w:tcW w:w="90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13.2**</w:t>
            </w:r>
          </w:p>
        </w:tc>
        <w:tc>
          <w:tcPr>
            <w:tcW w:w="326" w:type="dxa"/>
            <w:tcBorders/>
            <w:vAlign w:val="center"/>
          </w:tcPr>
          <w:p>
            <w:pPr>
              <w:pStyle w:val="TableContents"/>
              <w:bidi w:val="0"/>
              <w:spacing w:before="0" w:after="0"/>
              <w:ind w:left="0" w:right="0" w:hanging="0"/>
              <w:jc w:val="left"/>
              <w:rPr/>
            </w:pPr>
            <w:r>
              <w:rPr/>
              <w:t>​</w:t>
            </w:r>
          </w:p>
        </w:tc>
        <w:tc>
          <w:tcPr>
            <w:tcW w:w="8977" w:type="dxa"/>
            <w:tcBorders/>
            <w:vAlign w:val="center"/>
          </w:tcPr>
          <w:p>
            <w:pPr>
              <w:pStyle w:val="TableContents"/>
              <w:bidi w:val="0"/>
              <w:spacing w:before="0" w:after="0"/>
              <w:ind w:left="0" w:right="0" w:hanging="0"/>
              <w:jc w:val="both"/>
              <w:rPr/>
            </w:pPr>
            <w:hyperlink w:anchor="ntes-20231231xex13d2.htm">
              <w:r>
                <w:rPr>
                  <w:rStyle w:val="InternetLink"/>
                  <w:rFonts w:ascii="Times New Roman;Times;serif" w:hAnsi="Times New Roman;Times;serif"/>
                  <w:b w:val="false"/>
                  <w:i w:val="false"/>
                  <w:caps w:val="false"/>
                  <w:smallCaps w:val="false"/>
                  <w:sz w:val="20"/>
                </w:rPr>
                <w:t>Certification of Principal Financial Officer Required by Rule 13a-14(b) and Section 1350 of Chapter 63 of Title 18 of the United States Code</w:t>
              </w:r>
            </w:hyperlink>
          </w:p>
        </w:tc>
      </w:tr>
      <w:tr>
        <w:trPr/>
        <w:tc>
          <w:tcPr>
            <w:tcW w:w="90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977" w:type="dxa"/>
            <w:tcBorders/>
            <w:vAlign w:val="center"/>
          </w:tcPr>
          <w:p>
            <w:pPr>
              <w:pStyle w:val="TableContents"/>
              <w:bidi w:val="0"/>
              <w:spacing w:before="0" w:after="0"/>
              <w:ind w:left="0" w:right="0" w:hanging="0"/>
              <w:jc w:val="both"/>
              <w:rPr/>
            </w:pPr>
            <w:r>
              <w:rPr/>
              <w:t>​</w:t>
            </w:r>
          </w:p>
        </w:tc>
      </w:tr>
      <w:tr>
        <w:trPr/>
        <w:tc>
          <w:tcPr>
            <w:tcW w:w="90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15.1*</w:t>
            </w:r>
          </w:p>
        </w:tc>
        <w:tc>
          <w:tcPr>
            <w:tcW w:w="326" w:type="dxa"/>
            <w:tcBorders/>
            <w:vAlign w:val="center"/>
          </w:tcPr>
          <w:p>
            <w:pPr>
              <w:pStyle w:val="TableContents"/>
              <w:bidi w:val="0"/>
              <w:spacing w:before="0" w:after="0"/>
              <w:ind w:left="0" w:right="0" w:hanging="0"/>
              <w:jc w:val="left"/>
              <w:rPr/>
            </w:pPr>
            <w:r>
              <w:rPr/>
              <w:t>​</w:t>
            </w:r>
          </w:p>
        </w:tc>
        <w:tc>
          <w:tcPr>
            <w:tcW w:w="8977" w:type="dxa"/>
            <w:tcBorders/>
            <w:vAlign w:val="center"/>
          </w:tcPr>
          <w:p>
            <w:pPr>
              <w:pStyle w:val="TableContents"/>
              <w:bidi w:val="0"/>
              <w:spacing w:before="0" w:after="0"/>
              <w:ind w:left="0" w:right="0" w:hanging="0"/>
              <w:jc w:val="both"/>
              <w:rPr/>
            </w:pPr>
            <w:hyperlink w:anchor="ntes-20231231xex15d1.htm">
              <w:r>
                <w:rPr>
                  <w:rStyle w:val="InternetLink"/>
                  <w:rFonts w:ascii="Times New Roman;Times;serif" w:hAnsi="Times New Roman;Times;serif"/>
                  <w:b w:val="false"/>
                  <w:i w:val="false"/>
                  <w:caps w:val="false"/>
                  <w:smallCaps w:val="false"/>
                  <w:sz w:val="20"/>
                </w:rPr>
                <w:t>Charter of Audit Committee of the Board of Directors of our company</w:t>
              </w:r>
            </w:hyperlink>
          </w:p>
        </w:tc>
      </w:tr>
      <w:tr>
        <w:trPr/>
        <w:tc>
          <w:tcPr>
            <w:tcW w:w="90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977" w:type="dxa"/>
            <w:tcBorders/>
            <w:vAlign w:val="center"/>
          </w:tcPr>
          <w:p>
            <w:pPr>
              <w:pStyle w:val="TableContents"/>
              <w:bidi w:val="0"/>
              <w:spacing w:before="0" w:after="0"/>
              <w:ind w:left="0" w:right="0" w:hanging="0"/>
              <w:jc w:val="both"/>
              <w:rPr/>
            </w:pPr>
            <w:r>
              <w:rPr/>
              <w:t>​</w:t>
            </w:r>
          </w:p>
        </w:tc>
      </w:tr>
      <w:tr>
        <w:trPr/>
        <w:tc>
          <w:tcPr>
            <w:tcW w:w="90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15.2*</w:t>
            </w:r>
          </w:p>
        </w:tc>
        <w:tc>
          <w:tcPr>
            <w:tcW w:w="326" w:type="dxa"/>
            <w:tcBorders/>
            <w:vAlign w:val="center"/>
          </w:tcPr>
          <w:p>
            <w:pPr>
              <w:pStyle w:val="TableContents"/>
              <w:bidi w:val="0"/>
              <w:spacing w:before="0" w:after="0"/>
              <w:ind w:left="0" w:right="0" w:hanging="0"/>
              <w:jc w:val="left"/>
              <w:rPr/>
            </w:pPr>
            <w:r>
              <w:rPr/>
              <w:t>​</w:t>
            </w:r>
          </w:p>
        </w:tc>
        <w:tc>
          <w:tcPr>
            <w:tcW w:w="8977" w:type="dxa"/>
            <w:tcBorders/>
            <w:vAlign w:val="center"/>
          </w:tcPr>
          <w:p>
            <w:pPr>
              <w:pStyle w:val="TableContents"/>
              <w:bidi w:val="0"/>
              <w:spacing w:before="0" w:after="0"/>
              <w:ind w:left="0" w:right="0" w:hanging="0"/>
              <w:jc w:val="both"/>
              <w:rPr/>
            </w:pPr>
            <w:hyperlink w:anchor="ntes-20231231xex15d2.htm">
              <w:r>
                <w:rPr>
                  <w:rStyle w:val="InternetLink"/>
                  <w:rFonts w:ascii="Times New Roman;Times;serif" w:hAnsi="Times New Roman;Times;serif"/>
                  <w:b w:val="false"/>
                  <w:i w:val="false"/>
                  <w:caps w:val="false"/>
                  <w:smallCaps w:val="false"/>
                  <w:sz w:val="20"/>
                </w:rPr>
                <w:t>Consent of PricewaterhouseCoopers Zhong Tian LLP, Independent Registered Public Accounting Firm</w:t>
              </w:r>
            </w:hyperlink>
          </w:p>
        </w:tc>
      </w:tr>
      <w:tr>
        <w:trPr/>
        <w:tc>
          <w:tcPr>
            <w:tcW w:w="90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977" w:type="dxa"/>
            <w:tcBorders/>
            <w:vAlign w:val="center"/>
          </w:tcPr>
          <w:p>
            <w:pPr>
              <w:pStyle w:val="TableContents"/>
              <w:bidi w:val="0"/>
              <w:spacing w:before="0" w:after="0"/>
              <w:ind w:left="0" w:right="0" w:hanging="0"/>
              <w:jc w:val="both"/>
              <w:rPr/>
            </w:pPr>
            <w:r>
              <w:rPr/>
              <w:t>​</w:t>
            </w:r>
          </w:p>
        </w:tc>
      </w:tr>
      <w:tr>
        <w:trPr/>
        <w:tc>
          <w:tcPr>
            <w:tcW w:w="90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15.3*</w:t>
            </w:r>
          </w:p>
        </w:tc>
        <w:tc>
          <w:tcPr>
            <w:tcW w:w="326" w:type="dxa"/>
            <w:tcBorders/>
            <w:vAlign w:val="center"/>
          </w:tcPr>
          <w:p>
            <w:pPr>
              <w:pStyle w:val="TableContents"/>
              <w:bidi w:val="0"/>
              <w:spacing w:before="0" w:after="0"/>
              <w:ind w:left="0" w:right="0" w:hanging="0"/>
              <w:jc w:val="left"/>
              <w:rPr/>
            </w:pPr>
            <w:r>
              <w:rPr/>
              <w:t>​</w:t>
            </w:r>
          </w:p>
        </w:tc>
        <w:tc>
          <w:tcPr>
            <w:tcW w:w="8977" w:type="dxa"/>
            <w:tcBorders/>
            <w:vAlign w:val="center"/>
          </w:tcPr>
          <w:p>
            <w:pPr>
              <w:pStyle w:val="TableContents"/>
              <w:bidi w:val="0"/>
              <w:spacing w:before="0" w:after="0"/>
              <w:ind w:left="0" w:right="0" w:hanging="0"/>
              <w:jc w:val="both"/>
              <w:rPr/>
            </w:pPr>
            <w:hyperlink w:anchor="ntes-20231231xex15d3.htm">
              <w:r>
                <w:rPr>
                  <w:rStyle w:val="InternetLink"/>
                  <w:rFonts w:ascii="Times New Roman;Times;serif" w:hAnsi="Times New Roman;Times;serif"/>
                  <w:b w:val="false"/>
                  <w:i w:val="false"/>
                  <w:caps w:val="false"/>
                  <w:smallCaps w:val="false"/>
                  <w:sz w:val="20"/>
                </w:rPr>
                <w:t>Consent of Maples and Calder (Hong Kong) LLP</w:t>
              </w:r>
            </w:hyperlink>
          </w:p>
        </w:tc>
      </w:tr>
      <w:tr>
        <w:trPr/>
        <w:tc>
          <w:tcPr>
            <w:tcW w:w="90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977" w:type="dxa"/>
            <w:tcBorders/>
            <w:vAlign w:val="center"/>
          </w:tcPr>
          <w:p>
            <w:pPr>
              <w:pStyle w:val="TableContents"/>
              <w:bidi w:val="0"/>
              <w:spacing w:before="0" w:after="0"/>
              <w:ind w:left="0" w:right="0" w:hanging="0"/>
              <w:jc w:val="both"/>
              <w:rPr/>
            </w:pPr>
            <w:r>
              <w:rPr/>
              <w:t>​</w:t>
            </w:r>
          </w:p>
        </w:tc>
      </w:tr>
      <w:tr>
        <w:trPr/>
        <w:tc>
          <w:tcPr>
            <w:tcW w:w="90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15.4*</w:t>
            </w:r>
          </w:p>
        </w:tc>
        <w:tc>
          <w:tcPr>
            <w:tcW w:w="326" w:type="dxa"/>
            <w:tcBorders/>
            <w:vAlign w:val="center"/>
          </w:tcPr>
          <w:p>
            <w:pPr>
              <w:pStyle w:val="TableContents"/>
              <w:bidi w:val="0"/>
              <w:spacing w:before="0" w:after="0"/>
              <w:ind w:left="0" w:right="0" w:hanging="0"/>
              <w:jc w:val="left"/>
              <w:rPr/>
            </w:pPr>
            <w:r>
              <w:rPr/>
              <w:t>​</w:t>
            </w:r>
          </w:p>
        </w:tc>
        <w:tc>
          <w:tcPr>
            <w:tcW w:w="8977" w:type="dxa"/>
            <w:tcBorders/>
            <w:vAlign w:val="center"/>
          </w:tcPr>
          <w:p>
            <w:pPr>
              <w:pStyle w:val="TableContents"/>
              <w:bidi w:val="0"/>
              <w:spacing w:before="0" w:after="0"/>
              <w:ind w:left="0" w:right="0" w:hanging="0"/>
              <w:jc w:val="both"/>
              <w:rPr/>
            </w:pPr>
            <w:hyperlink w:anchor="ntes-20231231xex15d4.htm">
              <w:r>
                <w:rPr>
                  <w:rStyle w:val="InternetLink"/>
                  <w:rFonts w:ascii="Times New Roman;Times;serif" w:hAnsi="Times New Roman;Times;serif"/>
                  <w:b w:val="false"/>
                  <w:i w:val="false"/>
                  <w:caps w:val="false"/>
                  <w:smallCaps w:val="false"/>
                  <w:sz w:val="20"/>
                </w:rPr>
                <w:t>Consent of Zhong Lun Law Firm</w:t>
              </w:r>
            </w:hyperlink>
          </w:p>
        </w:tc>
      </w:tr>
      <w:tr>
        <w:trPr/>
        <w:tc>
          <w:tcPr>
            <w:tcW w:w="90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977" w:type="dxa"/>
            <w:tcBorders/>
            <w:vAlign w:val="center"/>
          </w:tcPr>
          <w:p>
            <w:pPr>
              <w:pStyle w:val="TableContents"/>
              <w:bidi w:val="0"/>
              <w:spacing w:before="0" w:after="0"/>
              <w:ind w:left="0" w:right="0" w:hanging="0"/>
              <w:jc w:val="both"/>
              <w:rPr/>
            </w:pPr>
            <w:r>
              <w:rPr/>
              <w:t>​</w:t>
            </w:r>
          </w:p>
        </w:tc>
      </w:tr>
      <w:tr>
        <w:trPr/>
        <w:tc>
          <w:tcPr>
            <w:tcW w:w="90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97.1*</w:t>
            </w:r>
          </w:p>
        </w:tc>
        <w:tc>
          <w:tcPr>
            <w:tcW w:w="326" w:type="dxa"/>
            <w:tcBorders/>
            <w:vAlign w:val="center"/>
          </w:tcPr>
          <w:p>
            <w:pPr>
              <w:pStyle w:val="TableContents"/>
              <w:bidi w:val="0"/>
              <w:spacing w:before="0" w:after="0"/>
              <w:ind w:left="0" w:right="0" w:hanging="0"/>
              <w:jc w:val="left"/>
              <w:rPr/>
            </w:pPr>
            <w:r>
              <w:rPr/>
              <w:t>​</w:t>
            </w:r>
          </w:p>
        </w:tc>
        <w:tc>
          <w:tcPr>
            <w:tcW w:w="8977" w:type="dxa"/>
            <w:tcBorders/>
            <w:vAlign w:val="center"/>
          </w:tcPr>
          <w:p>
            <w:pPr>
              <w:pStyle w:val="TableContents"/>
              <w:bidi w:val="0"/>
              <w:spacing w:before="0" w:after="0"/>
              <w:ind w:left="0" w:right="0" w:hanging="0"/>
              <w:jc w:val="both"/>
              <w:rPr/>
            </w:pPr>
            <w:hyperlink w:anchor="ntes-20231231xex97d1.htm">
              <w:r>
                <w:rPr>
                  <w:rStyle w:val="InternetLink"/>
                  <w:rFonts w:ascii="Times New Roman;Times;serif" w:hAnsi="Times New Roman;Times;serif"/>
                  <w:b w:val="false"/>
                  <w:i w:val="false"/>
                  <w:caps w:val="false"/>
                  <w:smallCaps w:val="false"/>
                  <w:sz w:val="20"/>
                </w:rPr>
                <w:t>Clawback policy of our company</w:t>
              </w:r>
            </w:hyperlink>
          </w:p>
        </w:tc>
      </w:tr>
      <w:tr>
        <w:trPr/>
        <w:tc>
          <w:tcPr>
            <w:tcW w:w="90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977" w:type="dxa"/>
            <w:tcBorders/>
            <w:vAlign w:val="center"/>
          </w:tcPr>
          <w:p>
            <w:pPr>
              <w:pStyle w:val="TableContents"/>
              <w:bidi w:val="0"/>
              <w:spacing w:before="0" w:after="0"/>
              <w:ind w:left="0" w:right="0" w:hanging="0"/>
              <w:jc w:val="both"/>
              <w:rPr/>
            </w:pPr>
            <w:r>
              <w:rPr/>
              <w:t>​</w:t>
            </w:r>
          </w:p>
        </w:tc>
      </w:tr>
      <w:tr>
        <w:trPr/>
        <w:tc>
          <w:tcPr>
            <w:tcW w:w="90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101.INS*</w:t>
            </w:r>
          </w:p>
        </w:tc>
        <w:tc>
          <w:tcPr>
            <w:tcW w:w="326" w:type="dxa"/>
            <w:tcBorders/>
            <w:vAlign w:val="center"/>
          </w:tcPr>
          <w:p>
            <w:pPr>
              <w:pStyle w:val="TableContents"/>
              <w:bidi w:val="0"/>
              <w:spacing w:before="0" w:after="0"/>
              <w:ind w:left="0" w:right="0" w:hanging="0"/>
              <w:jc w:val="left"/>
              <w:rPr/>
            </w:pPr>
            <w:r>
              <w:rPr/>
              <w:t>​</w:t>
            </w:r>
          </w:p>
        </w:tc>
        <w:tc>
          <w:tcPr>
            <w:tcW w:w="897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XBRL Instance Document</w:t>
            </w:r>
          </w:p>
        </w:tc>
      </w:tr>
      <w:tr>
        <w:trPr/>
        <w:tc>
          <w:tcPr>
            <w:tcW w:w="90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977" w:type="dxa"/>
            <w:tcBorders/>
            <w:vAlign w:val="center"/>
          </w:tcPr>
          <w:p>
            <w:pPr>
              <w:pStyle w:val="TableContents"/>
              <w:bidi w:val="0"/>
              <w:spacing w:before="0" w:after="0"/>
              <w:ind w:left="0" w:right="0" w:hanging="0"/>
              <w:jc w:val="both"/>
              <w:rPr/>
            </w:pPr>
            <w:r>
              <w:rPr/>
              <w:t>​</w:t>
            </w:r>
          </w:p>
        </w:tc>
      </w:tr>
      <w:tr>
        <w:trPr/>
        <w:tc>
          <w:tcPr>
            <w:tcW w:w="90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101.SCH*</w:t>
            </w:r>
          </w:p>
        </w:tc>
        <w:tc>
          <w:tcPr>
            <w:tcW w:w="326" w:type="dxa"/>
            <w:tcBorders/>
            <w:vAlign w:val="center"/>
          </w:tcPr>
          <w:p>
            <w:pPr>
              <w:pStyle w:val="TableContents"/>
              <w:bidi w:val="0"/>
              <w:spacing w:before="0" w:after="0"/>
              <w:ind w:left="0" w:right="0" w:hanging="0"/>
              <w:jc w:val="left"/>
              <w:rPr/>
            </w:pPr>
            <w:r>
              <w:rPr/>
              <w:t>​</w:t>
            </w:r>
          </w:p>
        </w:tc>
        <w:tc>
          <w:tcPr>
            <w:tcW w:w="897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XBRL Taxonomy Extension Schema Document</w:t>
            </w:r>
          </w:p>
        </w:tc>
      </w:tr>
      <w:tr>
        <w:trPr/>
        <w:tc>
          <w:tcPr>
            <w:tcW w:w="90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977" w:type="dxa"/>
            <w:tcBorders/>
            <w:vAlign w:val="center"/>
          </w:tcPr>
          <w:p>
            <w:pPr>
              <w:pStyle w:val="TableContents"/>
              <w:bidi w:val="0"/>
              <w:spacing w:before="0" w:after="0"/>
              <w:ind w:left="0" w:right="0" w:hanging="0"/>
              <w:jc w:val="both"/>
              <w:rPr/>
            </w:pPr>
            <w:r>
              <w:rPr/>
              <w:t>​</w:t>
            </w:r>
          </w:p>
        </w:tc>
      </w:tr>
      <w:tr>
        <w:trPr/>
        <w:tc>
          <w:tcPr>
            <w:tcW w:w="90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101.CAL*</w:t>
            </w:r>
          </w:p>
        </w:tc>
        <w:tc>
          <w:tcPr>
            <w:tcW w:w="326" w:type="dxa"/>
            <w:tcBorders/>
            <w:vAlign w:val="center"/>
          </w:tcPr>
          <w:p>
            <w:pPr>
              <w:pStyle w:val="TableContents"/>
              <w:bidi w:val="0"/>
              <w:spacing w:before="0" w:after="0"/>
              <w:ind w:left="0" w:right="0" w:hanging="0"/>
              <w:jc w:val="left"/>
              <w:rPr/>
            </w:pPr>
            <w:r>
              <w:rPr/>
              <w:t>​</w:t>
            </w:r>
          </w:p>
        </w:tc>
        <w:tc>
          <w:tcPr>
            <w:tcW w:w="897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XBRL Taxonomy Extension Calculation Linkbase Document</w:t>
            </w:r>
          </w:p>
        </w:tc>
      </w:tr>
      <w:tr>
        <w:trPr/>
        <w:tc>
          <w:tcPr>
            <w:tcW w:w="90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977" w:type="dxa"/>
            <w:tcBorders/>
            <w:vAlign w:val="center"/>
          </w:tcPr>
          <w:p>
            <w:pPr>
              <w:pStyle w:val="TableContents"/>
              <w:bidi w:val="0"/>
              <w:spacing w:before="0" w:after="0"/>
              <w:ind w:left="0" w:right="0" w:hanging="0"/>
              <w:jc w:val="both"/>
              <w:rPr/>
            </w:pPr>
            <w:r>
              <w:rPr/>
              <w:t>​</w:t>
            </w:r>
          </w:p>
        </w:tc>
      </w:tr>
      <w:tr>
        <w:trPr/>
        <w:tc>
          <w:tcPr>
            <w:tcW w:w="90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101.DEF*</w:t>
            </w:r>
          </w:p>
        </w:tc>
        <w:tc>
          <w:tcPr>
            <w:tcW w:w="326" w:type="dxa"/>
            <w:tcBorders/>
            <w:vAlign w:val="center"/>
          </w:tcPr>
          <w:p>
            <w:pPr>
              <w:pStyle w:val="TableContents"/>
              <w:bidi w:val="0"/>
              <w:spacing w:before="0" w:after="0"/>
              <w:ind w:left="0" w:right="0" w:hanging="0"/>
              <w:jc w:val="left"/>
              <w:rPr/>
            </w:pPr>
            <w:r>
              <w:rPr/>
              <w:t>​</w:t>
            </w:r>
          </w:p>
        </w:tc>
        <w:tc>
          <w:tcPr>
            <w:tcW w:w="897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XBRL Taxonomy Extension Definition Linkbase Document</w:t>
            </w:r>
          </w:p>
        </w:tc>
      </w:tr>
      <w:tr>
        <w:trPr/>
        <w:tc>
          <w:tcPr>
            <w:tcW w:w="90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977" w:type="dxa"/>
            <w:tcBorders/>
            <w:vAlign w:val="center"/>
          </w:tcPr>
          <w:p>
            <w:pPr>
              <w:pStyle w:val="TableContents"/>
              <w:bidi w:val="0"/>
              <w:spacing w:before="0" w:after="0"/>
              <w:ind w:left="0" w:right="0" w:hanging="0"/>
              <w:jc w:val="both"/>
              <w:rPr/>
            </w:pPr>
            <w:r>
              <w:rPr/>
              <w:t>​</w:t>
            </w:r>
          </w:p>
        </w:tc>
      </w:tr>
      <w:tr>
        <w:trPr/>
        <w:tc>
          <w:tcPr>
            <w:tcW w:w="90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101.LAB*</w:t>
            </w:r>
          </w:p>
        </w:tc>
        <w:tc>
          <w:tcPr>
            <w:tcW w:w="326" w:type="dxa"/>
            <w:tcBorders/>
            <w:vAlign w:val="center"/>
          </w:tcPr>
          <w:p>
            <w:pPr>
              <w:pStyle w:val="TableContents"/>
              <w:bidi w:val="0"/>
              <w:spacing w:before="0" w:after="0"/>
              <w:ind w:left="0" w:right="0" w:hanging="0"/>
              <w:jc w:val="left"/>
              <w:rPr/>
            </w:pPr>
            <w:r>
              <w:rPr/>
              <w:t>​</w:t>
            </w:r>
          </w:p>
        </w:tc>
        <w:tc>
          <w:tcPr>
            <w:tcW w:w="897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XBRL Taxonomy Extension Label Linkbase Document</w:t>
            </w:r>
          </w:p>
        </w:tc>
      </w:tr>
      <w:tr>
        <w:trPr/>
        <w:tc>
          <w:tcPr>
            <w:tcW w:w="90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977" w:type="dxa"/>
            <w:tcBorders/>
            <w:vAlign w:val="center"/>
          </w:tcPr>
          <w:p>
            <w:pPr>
              <w:pStyle w:val="TableContents"/>
              <w:bidi w:val="0"/>
              <w:spacing w:before="0" w:after="0"/>
              <w:ind w:left="0" w:right="0" w:hanging="0"/>
              <w:jc w:val="both"/>
              <w:rPr/>
            </w:pPr>
            <w:r>
              <w:rPr/>
              <w:t>​</w:t>
            </w:r>
          </w:p>
        </w:tc>
      </w:tr>
      <w:tr>
        <w:trPr/>
        <w:tc>
          <w:tcPr>
            <w:tcW w:w="90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101.PRE*</w:t>
            </w:r>
          </w:p>
        </w:tc>
        <w:tc>
          <w:tcPr>
            <w:tcW w:w="326" w:type="dxa"/>
            <w:tcBorders/>
            <w:vAlign w:val="center"/>
          </w:tcPr>
          <w:p>
            <w:pPr>
              <w:pStyle w:val="TableContents"/>
              <w:bidi w:val="0"/>
              <w:spacing w:before="0" w:after="0"/>
              <w:ind w:left="0" w:right="0" w:hanging="0"/>
              <w:jc w:val="left"/>
              <w:rPr/>
            </w:pPr>
            <w:r>
              <w:rPr/>
              <w:t>​</w:t>
            </w:r>
          </w:p>
        </w:tc>
        <w:tc>
          <w:tcPr>
            <w:tcW w:w="897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XBRL Taxonomy Extension Presentation Linkbase Document</w:t>
            </w:r>
          </w:p>
        </w:tc>
      </w:tr>
      <w:tr>
        <w:trPr/>
        <w:tc>
          <w:tcPr>
            <w:tcW w:w="90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977" w:type="dxa"/>
            <w:tcBorders/>
            <w:vAlign w:val="center"/>
          </w:tcPr>
          <w:p>
            <w:pPr>
              <w:pStyle w:val="TableContents"/>
              <w:bidi w:val="0"/>
              <w:spacing w:before="0" w:after="0"/>
              <w:ind w:left="0" w:right="0" w:hanging="0"/>
              <w:jc w:val="both"/>
              <w:rPr/>
            </w:pPr>
            <w:r>
              <w:rPr/>
              <w:t>​</w:t>
            </w:r>
          </w:p>
        </w:tc>
      </w:tr>
      <w:tr>
        <w:trPr/>
        <w:tc>
          <w:tcPr>
            <w:tcW w:w="90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326" w:type="dxa"/>
            <w:tcBorders/>
            <w:vAlign w:val="center"/>
          </w:tcPr>
          <w:p>
            <w:pPr>
              <w:pStyle w:val="TableContents"/>
              <w:bidi w:val="0"/>
              <w:spacing w:before="0" w:after="0"/>
              <w:ind w:left="0" w:right="0" w:hanging="0"/>
              <w:jc w:val="left"/>
              <w:rPr/>
            </w:pPr>
            <w:r>
              <w:rPr/>
              <w:t>​</w:t>
            </w:r>
          </w:p>
        </w:tc>
        <w:tc>
          <w:tcPr>
            <w:tcW w:w="897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pBdr/>
        <w:bidi w:val="0"/>
        <w:spacing w:before="0" w:after="180"/>
        <w:ind w:left="0" w:right="0" w:hanging="360"/>
        <w:jc w:val="left"/>
        <w:rPr>
          <w:rFonts w:ascii="Times New Roman;Times;serif" w:hAnsi="Times New Roman;Times;serif"/>
          <w:sz w:val="20"/>
        </w:rPr>
      </w:pPr>
      <w:r>
        <w:rPr>
          <w:rFonts w:ascii="Times New Roman;Times;serif" w:hAnsi="Times New Roman;Times;serif"/>
          <w:sz w:val="20"/>
        </w:rPr>
        <w:t>*Filed with this annual report on Form 20-F</w:t>
      </w:r>
    </w:p>
    <w:p>
      <w:pPr>
        <w:pStyle w:val="TextBody"/>
        <w:pBdr/>
        <w:bidi w:val="0"/>
        <w:spacing w:before="0" w:after="180"/>
        <w:ind w:left="0" w:right="0" w:hanging="360"/>
        <w:jc w:val="left"/>
        <w:rPr>
          <w:rFonts w:ascii="Times New Roman;Times;serif" w:hAnsi="Times New Roman;Times;serif"/>
          <w:sz w:val="20"/>
        </w:rPr>
      </w:pPr>
      <w:r>
        <w:rPr>
          <w:rFonts w:ascii="Times New Roman;Times;serif" w:hAnsi="Times New Roman;Times;serif"/>
          <w:sz w:val="20"/>
        </w:rPr>
        <w:t>**Furnished with this annual report on Form 20-F.</w:t>
      </w:r>
    </w:p>
    <w:p>
      <w:pPr>
        <w:pStyle w:val="TextBody"/>
        <w:pBdr/>
        <w:bidi w:val="0"/>
        <w:spacing w:before="0" w:after="0"/>
        <w:ind w:left="0" w:right="0" w:hanging="360"/>
        <w:jc w:val="both"/>
        <w:rPr>
          <w:rFonts w:ascii="Times New Roman;Times;serif" w:hAnsi="Times New Roman;Times;serif"/>
          <w:sz w:val="20"/>
        </w:rPr>
      </w:pPr>
      <w:r>
        <w:rPr>
          <w:rFonts w:ascii="Times New Roman;Times;serif" w:hAnsi="Times New Roman;Times;serif"/>
          <w:sz w:val="20"/>
        </w:rPr>
        <w:t>+ Certain identified information has been excluded from the exhibit because it is both not material and is the type that our company treats as private or confidential.</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29" w:name="_d5f13a67_72c2_46cb_871b_1890ccf5b40f"/>
      <w:bookmarkEnd w:id="129"/>
      <w:r>
        <w:rPr>
          <w:rFonts w:ascii="Times New Roman;Times;serif" w:hAnsi="Times New Roman;Times;serif"/>
          <w:b/>
          <w:sz w:val="20"/>
        </w:rPr>
        <w:t>SIGNATURES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 hereby certifies that it meets all of the requirements for filing on Form 20-F and that it has duly caused and authorized the undersigned to sign this annual report on its behalf.</w:t>
      </w:r>
    </w:p>
    <w:p>
      <w:pPr>
        <w:pStyle w:val="TextBody"/>
        <w:bidi w:val="0"/>
        <w:spacing w:before="0" w:after="0"/>
        <w:ind w:left="0" w:right="0" w:hanging="0"/>
        <w:jc w:val="left"/>
        <w:rPr/>
      </w:pPr>
      <w:r>
        <w:rPr/>
        <w:t>​</w:t>
      </w:r>
    </w:p>
    <w:tbl>
      <w:tblPr>
        <w:tblW w:w="2736" w:type="dxa"/>
        <w:jc w:val="left"/>
        <w:tblInd w:w="0" w:type="dxa"/>
        <w:tblLayout w:type="fixed"/>
        <w:tblCellMar>
          <w:top w:w="0" w:type="dxa"/>
          <w:left w:w="0" w:type="dxa"/>
          <w:bottom w:w="0" w:type="dxa"/>
          <w:right w:w="0" w:type="dxa"/>
        </w:tblCellMar>
      </w:tblPr>
      <w:tblGrid>
        <w:gridCol w:w="124"/>
        <w:gridCol w:w="541"/>
        <w:gridCol w:w="2071"/>
      </w:tblGrid>
      <w:tr>
        <w:trPr/>
        <w:tc>
          <w:tcPr>
            <w:tcW w:w="124" w:type="dxa"/>
            <w:tcBorders/>
            <w:vAlign w:val="center"/>
          </w:tcPr>
          <w:p>
            <w:pPr>
              <w:pStyle w:val="TableContents"/>
              <w:bidi w:val="0"/>
              <w:spacing w:before="0" w:after="0"/>
              <w:ind w:left="0" w:right="0" w:hanging="0"/>
              <w:jc w:val="left"/>
              <w:rPr/>
            </w:pPr>
            <w:r>
              <w:rPr/>
              <w:t>​</w:t>
            </w:r>
          </w:p>
        </w:tc>
        <w:tc>
          <w:tcPr>
            <w:tcW w:w="261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NETEASE, INC.</w:t>
            </w:r>
          </w:p>
        </w:tc>
      </w:tr>
      <w:tr>
        <w:trPr/>
        <w:tc>
          <w:tcPr>
            <w:tcW w:w="124" w:type="dxa"/>
            <w:tcBorders/>
            <w:vAlign w:val="center"/>
          </w:tcPr>
          <w:p>
            <w:pPr>
              <w:pStyle w:val="TableContents"/>
              <w:bidi w:val="0"/>
              <w:spacing w:before="0" w:after="0"/>
              <w:ind w:left="0" w:right="0" w:hanging="0"/>
              <w:jc w:val="left"/>
              <w:rPr/>
            </w:pPr>
            <w:r>
              <w:rPr/>
              <w:t>​</w:t>
            </w:r>
          </w:p>
        </w:tc>
        <w:tc>
          <w:tcPr>
            <w:tcW w:w="2612"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612"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William Lei Ding</w:t>
            </w:r>
          </w:p>
        </w:tc>
      </w:tr>
      <w:tr>
        <w:trPr/>
        <w:tc>
          <w:tcPr>
            <w:tcW w:w="124"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William Lei Ding</w:t>
            </w:r>
          </w:p>
        </w:tc>
      </w:tr>
      <w:tr>
        <w:trPr/>
        <w:tc>
          <w:tcPr>
            <w:tcW w:w="124"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25, 2024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30" w:name="_55fa7904_8656_42fd_a9d3_8f8def98a89d"/>
      <w:bookmarkEnd w:id="130"/>
      <w:r>
        <w:rPr>
          <w:rFonts w:ascii="Times New Roman;Times;serif" w:hAnsi="Times New Roman;Times;serif"/>
          <w:b/>
          <w:sz w:val="20"/>
        </w:rPr>
        <w:t>NETEASE, INC.</w:t>
      </w:r>
    </w:p>
    <w:tbl>
      <w:tblPr>
        <w:tblW w:w="10205" w:type="dxa"/>
        <w:jc w:val="left"/>
        <w:tblInd w:w="0" w:type="dxa"/>
        <w:tblLayout w:type="fixed"/>
        <w:tblCellMar>
          <w:top w:w="0" w:type="dxa"/>
          <w:left w:w="0" w:type="dxa"/>
          <w:bottom w:w="0" w:type="dxa"/>
          <w:right w:w="0" w:type="dxa"/>
        </w:tblCellMar>
      </w:tblPr>
      <w:tblGrid>
        <w:gridCol w:w="9685"/>
        <w:gridCol w:w="520"/>
      </w:tblGrid>
      <w:tr>
        <w:trPr/>
        <w:tc>
          <w:tcPr>
            <w:tcW w:w="9685" w:type="dxa"/>
            <w:tcBorders/>
            <w:vAlign w:val="center"/>
          </w:tcPr>
          <w:p>
            <w:pPr>
              <w:pStyle w:val="TableContents"/>
              <w:bidi w:val="0"/>
              <w:spacing w:before="0" w:after="283"/>
              <w:ind w:left="0" w:right="0" w:hanging="0"/>
              <w:jc w:val="left"/>
              <w:rPr>
                <w:sz w:val="4"/>
                <w:szCs w:val="4"/>
              </w:rPr>
            </w:pPr>
            <w:r>
              <w:rPr>
                <w:sz w:val="4"/>
                <w:szCs w:val="4"/>
              </w:rPr>
            </w:r>
          </w:p>
        </w:tc>
        <w:tc>
          <w:tcPr>
            <w:tcW w:w="5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330200" cy="29210"/>
                      <wp:effectExtent l="0" t="0" r="0" b="0"/>
                      <wp:wrapNone/>
                      <wp:docPr id="298" name="Frame297"/>
                      <a:graphic xmlns:a="http://schemas.openxmlformats.org/drawingml/2006/main">
                        <a:graphicData uri="http://schemas.microsoft.com/office/word/2010/wordprocessingShape">
                          <wps:wsp>
                            <wps:cNvSpPr txBox="1"/>
                            <wps:spPr>
                              <a:xfrm>
                                <a:off x="0" y="0"/>
                                <a:ext cx="33020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9685" w:type="dxa"/>
            <w:tcBorders/>
            <w:vAlign w:val="center"/>
          </w:tcPr>
          <w:p>
            <w:pPr>
              <w:pStyle w:val="TableContents"/>
              <w:bidi w:val="0"/>
              <w:spacing w:before="0" w:after="0"/>
              <w:ind w:left="0" w:right="0" w:hanging="0"/>
              <w:jc w:val="left"/>
              <w:rPr/>
            </w:pPr>
            <w:hyperlink w:anchor="ManagementsReportonInternalControloverFi">
              <w:r>
                <w:rPr>
                  <w:rStyle w:val="InternetLink"/>
                  <w:rFonts w:ascii="Times New Roman;Times;serif" w:hAnsi="Times New Roman;Times;serif"/>
                  <w:b w:val="false"/>
                  <w:i w:val="false"/>
                  <w:caps w:val="false"/>
                  <w:smallCaps w:val="false"/>
                  <w:sz w:val="20"/>
                </w:rPr>
                <w:t>Management’s report on internal control over financial reporting</w:t>
              </w:r>
            </w:hyperlink>
          </w:p>
        </w:tc>
        <w:tc>
          <w:tcPr>
            <w:tcW w:w="5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F-2</w:t>
            </w:r>
          </w:p>
        </w:tc>
      </w:tr>
      <w:tr>
        <w:trPr/>
        <w:tc>
          <w:tcPr>
            <w:tcW w:w="9685" w:type="dxa"/>
            <w:tcBorders/>
            <w:vAlign w:val="center"/>
          </w:tcPr>
          <w:p>
            <w:pPr>
              <w:pStyle w:val="TableContents"/>
              <w:bidi w:val="0"/>
              <w:spacing w:before="0" w:after="0"/>
              <w:ind w:left="0" w:right="0" w:hanging="0"/>
              <w:jc w:val="left"/>
              <w:rPr/>
            </w:pPr>
            <w:r>
              <w:rPr/>
              <w:t>​</w:t>
            </w:r>
          </w:p>
        </w:tc>
        <w:tc>
          <w:tcPr>
            <w:tcW w:w="520" w:type="dxa"/>
            <w:tcBorders/>
            <w:vAlign w:val="center"/>
          </w:tcPr>
          <w:p>
            <w:pPr>
              <w:pStyle w:val="TableContents"/>
              <w:bidi w:val="0"/>
              <w:spacing w:before="0" w:after="0"/>
              <w:ind w:left="0" w:right="0" w:hanging="0"/>
              <w:jc w:val="right"/>
              <w:rPr/>
            </w:pPr>
            <w:r>
              <w:rPr/>
              <w:t>​</w:t>
            </w:r>
          </w:p>
        </w:tc>
      </w:tr>
      <w:tr>
        <w:trPr/>
        <w:tc>
          <w:tcPr>
            <w:tcW w:w="9685" w:type="dxa"/>
            <w:tcBorders/>
            <w:vAlign w:val="center"/>
          </w:tcPr>
          <w:p>
            <w:pPr>
              <w:pStyle w:val="TableContents"/>
              <w:bidi w:val="0"/>
              <w:spacing w:before="0" w:after="0"/>
              <w:ind w:left="0" w:right="0" w:hanging="0"/>
              <w:jc w:val="left"/>
              <w:rPr/>
            </w:pPr>
            <w:hyperlink w:anchor="ReportofIndependentRegisteredPublicAccou">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sz w:val="20"/>
              </w:rPr>
              <w:t xml:space="preserve"> (PCAOB ID:1424) </w:t>
            </w:r>
          </w:p>
        </w:tc>
        <w:tc>
          <w:tcPr>
            <w:tcW w:w="5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F-3</w:t>
            </w:r>
          </w:p>
        </w:tc>
      </w:tr>
      <w:tr>
        <w:trPr/>
        <w:tc>
          <w:tcPr>
            <w:tcW w:w="9685" w:type="dxa"/>
            <w:tcBorders/>
            <w:vAlign w:val="center"/>
          </w:tcPr>
          <w:p>
            <w:pPr>
              <w:pStyle w:val="TableContents"/>
              <w:bidi w:val="0"/>
              <w:spacing w:before="0" w:after="0"/>
              <w:ind w:left="0" w:right="0" w:hanging="0"/>
              <w:jc w:val="left"/>
              <w:rPr/>
            </w:pPr>
            <w:r>
              <w:rPr/>
              <w:t>​</w:t>
            </w:r>
          </w:p>
        </w:tc>
        <w:tc>
          <w:tcPr>
            <w:tcW w:w="520" w:type="dxa"/>
            <w:tcBorders/>
            <w:vAlign w:val="center"/>
          </w:tcPr>
          <w:p>
            <w:pPr>
              <w:pStyle w:val="TableContents"/>
              <w:bidi w:val="0"/>
              <w:spacing w:before="0" w:after="0"/>
              <w:ind w:left="0" w:right="0" w:hanging="0"/>
              <w:jc w:val="right"/>
              <w:rPr/>
            </w:pPr>
            <w:r>
              <w:rPr/>
              <w:t>​</w:t>
            </w:r>
          </w:p>
        </w:tc>
      </w:tr>
      <w:tr>
        <w:trPr/>
        <w:tc>
          <w:tcPr>
            <w:tcW w:w="9685" w:type="dxa"/>
            <w:tcBorders/>
            <w:vAlign w:val="center"/>
          </w:tcPr>
          <w:p>
            <w:pPr>
              <w:pStyle w:val="TableContents"/>
              <w:bidi w:val="0"/>
              <w:spacing w:before="0" w:after="0"/>
              <w:ind w:left="0" w:right="0" w:hanging="0"/>
              <w:jc w:val="left"/>
              <w:rPr/>
            </w:pPr>
            <w:hyperlink w:anchor="ConsolidatedBalanceSheets_17791">
              <w:r>
                <w:rPr>
                  <w:rStyle w:val="InternetLink"/>
                  <w:rFonts w:ascii="Times New Roman;Times;serif" w:hAnsi="Times New Roman;Times;serif"/>
                  <w:b w:val="false"/>
                  <w:i w:val="false"/>
                  <w:caps w:val="false"/>
                  <w:smallCaps w:val="false"/>
                  <w:sz w:val="20"/>
                </w:rPr>
                <w:t>Consolidated balance sheets at December 31, 2022 and 2023</w:t>
              </w:r>
            </w:hyperlink>
          </w:p>
        </w:tc>
        <w:tc>
          <w:tcPr>
            <w:tcW w:w="5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F-6</w:t>
            </w:r>
          </w:p>
        </w:tc>
      </w:tr>
      <w:tr>
        <w:trPr/>
        <w:tc>
          <w:tcPr>
            <w:tcW w:w="9685" w:type="dxa"/>
            <w:tcBorders/>
            <w:vAlign w:val="center"/>
          </w:tcPr>
          <w:p>
            <w:pPr>
              <w:pStyle w:val="TableContents"/>
              <w:bidi w:val="0"/>
              <w:spacing w:before="0" w:after="0"/>
              <w:ind w:left="0" w:right="0" w:hanging="0"/>
              <w:jc w:val="left"/>
              <w:rPr/>
            </w:pPr>
            <w:r>
              <w:rPr/>
              <w:t>​</w:t>
            </w:r>
          </w:p>
        </w:tc>
        <w:tc>
          <w:tcPr>
            <w:tcW w:w="520" w:type="dxa"/>
            <w:tcBorders/>
            <w:vAlign w:val="center"/>
          </w:tcPr>
          <w:p>
            <w:pPr>
              <w:pStyle w:val="TableContents"/>
              <w:bidi w:val="0"/>
              <w:spacing w:before="0" w:after="0"/>
              <w:ind w:left="0" w:right="0" w:hanging="0"/>
              <w:jc w:val="right"/>
              <w:rPr/>
            </w:pPr>
            <w:r>
              <w:rPr/>
              <w:t>​</w:t>
            </w:r>
          </w:p>
        </w:tc>
      </w:tr>
      <w:tr>
        <w:trPr/>
        <w:tc>
          <w:tcPr>
            <w:tcW w:w="9685" w:type="dxa"/>
            <w:tcBorders/>
            <w:vAlign w:val="center"/>
          </w:tcPr>
          <w:p>
            <w:pPr>
              <w:pStyle w:val="TableContents"/>
              <w:bidi w:val="0"/>
              <w:spacing w:before="0" w:after="0"/>
              <w:ind w:left="0" w:right="0" w:hanging="0"/>
              <w:jc w:val="left"/>
              <w:rPr/>
            </w:pPr>
            <w:hyperlink w:anchor="ConsolidatedStatementsofOperations_60696">
              <w:r>
                <w:rPr>
                  <w:rStyle w:val="InternetLink"/>
                  <w:rFonts w:ascii="Times New Roman;Times;serif" w:hAnsi="Times New Roman;Times;serif"/>
                  <w:b w:val="false"/>
                  <w:i w:val="false"/>
                  <w:caps w:val="false"/>
                  <w:smallCaps w:val="false"/>
                  <w:sz w:val="20"/>
                </w:rPr>
                <w:t>Consolidated statements of operations and comprehensive income for the years ended December 31, 2021, 2022 and 2023</w:t>
              </w:r>
            </w:hyperlink>
          </w:p>
        </w:tc>
        <w:tc>
          <w:tcPr>
            <w:tcW w:w="5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F-7</w:t>
            </w:r>
          </w:p>
        </w:tc>
      </w:tr>
      <w:tr>
        <w:trPr/>
        <w:tc>
          <w:tcPr>
            <w:tcW w:w="9685" w:type="dxa"/>
            <w:tcBorders/>
            <w:vAlign w:val="center"/>
          </w:tcPr>
          <w:p>
            <w:pPr>
              <w:pStyle w:val="TableContents"/>
              <w:bidi w:val="0"/>
              <w:spacing w:before="0" w:after="0"/>
              <w:ind w:left="0" w:right="0" w:hanging="0"/>
              <w:jc w:val="left"/>
              <w:rPr/>
            </w:pPr>
            <w:r>
              <w:rPr/>
              <w:t>​</w:t>
            </w:r>
          </w:p>
        </w:tc>
        <w:tc>
          <w:tcPr>
            <w:tcW w:w="520" w:type="dxa"/>
            <w:tcBorders/>
            <w:vAlign w:val="center"/>
          </w:tcPr>
          <w:p>
            <w:pPr>
              <w:pStyle w:val="TableContents"/>
              <w:bidi w:val="0"/>
              <w:spacing w:before="0" w:after="0"/>
              <w:ind w:left="0" w:right="0" w:hanging="0"/>
              <w:jc w:val="right"/>
              <w:rPr/>
            </w:pPr>
            <w:r>
              <w:rPr/>
              <w:t>​</w:t>
            </w:r>
          </w:p>
        </w:tc>
      </w:tr>
      <w:tr>
        <w:trPr/>
        <w:tc>
          <w:tcPr>
            <w:tcW w:w="9685" w:type="dxa"/>
            <w:tcBorders/>
            <w:vAlign w:val="center"/>
          </w:tcPr>
          <w:p>
            <w:pPr>
              <w:pStyle w:val="TableContents"/>
              <w:bidi w:val="0"/>
              <w:spacing w:before="0" w:after="0"/>
              <w:ind w:left="0" w:right="0" w:hanging="0"/>
              <w:jc w:val="left"/>
              <w:rPr/>
            </w:pPr>
            <w:hyperlink w:anchor="ConsolidatedStatementsofShareholdersEqui">
              <w:r>
                <w:rPr>
                  <w:rStyle w:val="InternetLink"/>
                  <w:rFonts w:ascii="Times New Roman;Times;serif" w:hAnsi="Times New Roman;Times;serif"/>
                  <w:b w:val="false"/>
                  <w:i w:val="false"/>
                  <w:caps w:val="false"/>
                  <w:smallCaps w:val="false"/>
                  <w:sz w:val="20"/>
                </w:rPr>
                <w:t>Consolidated statements of shareholders’ equity for the years ended December 31, 2021, 2022 and 2023</w:t>
              </w:r>
            </w:hyperlink>
          </w:p>
        </w:tc>
        <w:tc>
          <w:tcPr>
            <w:tcW w:w="5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F-8</w:t>
            </w:r>
          </w:p>
        </w:tc>
      </w:tr>
      <w:tr>
        <w:trPr/>
        <w:tc>
          <w:tcPr>
            <w:tcW w:w="9685" w:type="dxa"/>
            <w:tcBorders/>
            <w:vAlign w:val="center"/>
          </w:tcPr>
          <w:p>
            <w:pPr>
              <w:pStyle w:val="TableContents"/>
              <w:bidi w:val="0"/>
              <w:spacing w:before="0" w:after="0"/>
              <w:ind w:left="0" w:right="0" w:hanging="0"/>
              <w:jc w:val="left"/>
              <w:rPr/>
            </w:pPr>
            <w:r>
              <w:rPr/>
              <w:t>​</w:t>
            </w:r>
          </w:p>
        </w:tc>
        <w:tc>
          <w:tcPr>
            <w:tcW w:w="520" w:type="dxa"/>
            <w:tcBorders/>
            <w:vAlign w:val="center"/>
          </w:tcPr>
          <w:p>
            <w:pPr>
              <w:pStyle w:val="TableContents"/>
              <w:bidi w:val="0"/>
              <w:spacing w:before="0" w:after="0"/>
              <w:ind w:left="0" w:right="0" w:hanging="0"/>
              <w:jc w:val="right"/>
              <w:rPr/>
            </w:pPr>
            <w:r>
              <w:rPr/>
              <w:t>​</w:t>
            </w:r>
          </w:p>
        </w:tc>
      </w:tr>
      <w:tr>
        <w:trPr/>
        <w:tc>
          <w:tcPr>
            <w:tcW w:w="9685" w:type="dxa"/>
            <w:tcBorders/>
            <w:vAlign w:val="center"/>
          </w:tcPr>
          <w:p>
            <w:pPr>
              <w:pStyle w:val="TableContents"/>
              <w:bidi w:val="0"/>
              <w:spacing w:before="0" w:after="0"/>
              <w:ind w:left="0" w:right="0" w:hanging="0"/>
              <w:jc w:val="left"/>
              <w:rPr/>
            </w:pPr>
            <w:hyperlink w:anchor="CashFlows_216956">
              <w:r>
                <w:rPr>
                  <w:rStyle w:val="InternetLink"/>
                  <w:rFonts w:ascii="Times New Roman;Times;serif" w:hAnsi="Times New Roman;Times;serif"/>
                  <w:b w:val="false"/>
                  <w:i w:val="false"/>
                  <w:caps w:val="false"/>
                  <w:smallCaps w:val="false"/>
                  <w:sz w:val="20"/>
                </w:rPr>
                <w:t>Consolidated statements of cash flows for the years ended December 31, 2021, 2022 and 2023</w:t>
              </w:r>
            </w:hyperlink>
          </w:p>
        </w:tc>
        <w:tc>
          <w:tcPr>
            <w:tcW w:w="5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F-9</w:t>
            </w:r>
          </w:p>
        </w:tc>
      </w:tr>
      <w:tr>
        <w:trPr/>
        <w:tc>
          <w:tcPr>
            <w:tcW w:w="9685" w:type="dxa"/>
            <w:tcBorders/>
            <w:vAlign w:val="center"/>
          </w:tcPr>
          <w:p>
            <w:pPr>
              <w:pStyle w:val="TableContents"/>
              <w:bidi w:val="0"/>
              <w:spacing w:before="0" w:after="0"/>
              <w:ind w:left="0" w:right="0" w:hanging="0"/>
              <w:jc w:val="left"/>
              <w:rPr/>
            </w:pPr>
            <w:r>
              <w:rPr/>
              <w:t>​</w:t>
            </w:r>
          </w:p>
        </w:tc>
        <w:tc>
          <w:tcPr>
            <w:tcW w:w="520" w:type="dxa"/>
            <w:tcBorders/>
            <w:vAlign w:val="center"/>
          </w:tcPr>
          <w:p>
            <w:pPr>
              <w:pStyle w:val="TableContents"/>
              <w:bidi w:val="0"/>
              <w:spacing w:before="0" w:after="0"/>
              <w:ind w:left="0" w:right="0" w:hanging="0"/>
              <w:jc w:val="right"/>
              <w:rPr/>
            </w:pPr>
            <w:r>
              <w:rPr/>
              <w:t>​</w:t>
            </w:r>
          </w:p>
        </w:tc>
      </w:tr>
      <w:tr>
        <w:trPr/>
        <w:tc>
          <w:tcPr>
            <w:tcW w:w="9685" w:type="dxa"/>
            <w:tcBorders/>
            <w:vAlign w:val="center"/>
          </w:tcPr>
          <w:p>
            <w:pPr>
              <w:pStyle w:val="TableContents"/>
              <w:bidi w:val="0"/>
              <w:spacing w:before="0" w:after="0"/>
              <w:ind w:left="0" w:right="0" w:hanging="0"/>
              <w:jc w:val="left"/>
              <w:rPr/>
            </w:pPr>
            <w:hyperlink w:anchor="NotestotheConsolidatedFinancialStatement">
              <w:r>
                <w:rPr>
                  <w:rStyle w:val="InternetLink"/>
                  <w:rFonts w:ascii="Times New Roman;Times;serif" w:hAnsi="Times New Roman;Times;serif"/>
                  <w:b w:val="false"/>
                  <w:i w:val="false"/>
                  <w:caps w:val="false"/>
                  <w:smallCaps w:val="false"/>
                  <w:sz w:val="20"/>
                </w:rPr>
                <w:t>Notes to the consolidated financial statements</w:t>
              </w:r>
            </w:hyperlink>
          </w:p>
        </w:tc>
        <w:tc>
          <w:tcPr>
            <w:tcW w:w="5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F-10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31" w:name="ManagementsReportonInternalControloverFi"/>
      <w:bookmarkStart w:id="132" w:name="_fcdcd9c8_8380_46d3_9462_184ebd0f8fea"/>
      <w:bookmarkEnd w:id="131"/>
      <w:bookmarkEnd w:id="132"/>
      <w:r>
        <w:rPr>
          <w:rFonts w:ascii="Times New Roman;Times;serif" w:hAnsi="Times New Roman;Times;serif"/>
          <w:b/>
          <w:sz w:val="20"/>
        </w:rPr>
        <w:t>Management’s Report on Internal Control over Financial Reporting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management of NetEase, Inc., or the Company, is responsible for establishing and maintaining adequate internal control over financial reporting as defined in Rule 13a-15(f) and 15d-15(f) promulgated under the Securities Exchange Act of 1934, as amended.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management, with the participation of the Company’s principal executive officer and principal financial officer, assessed the effectiveness of the Company’s internal control over financial reporting as of the end of the most recent fiscal year, December 31, 2023. In making this assessment, the Company’s management used the criteria set forth by the Committee of Sponsoring Organizations of the Treadway Commission (COSO) in Internal Control-Integrated Framework (2013). Based on its assessment, management concluded that, as of the end of the Company’s most recent fiscal year, December 31, 2023, the Company’s internal control over financial reporting is effective based on those criteria.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PricewaterhouseCoopers Zhong Tian LLP, the Company’s independent registered public accounting firm, has audited the effectiveness of the Company’s internal control over financial reporting as of December 31, 2023, as stated in their report, which is included herein.</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33" w:name="ReportofIndependentRegisteredPublicAccou"/>
      <w:bookmarkStart w:id="134" w:name="_2aeacff9_9b71_48b0_88f5_cc76b53ee043"/>
      <w:bookmarkEnd w:id="133"/>
      <w:bookmarkEnd w:id="134"/>
      <w:r>
        <w:rPr>
          <w:rFonts w:ascii="Times New Roman;Times;serif" w:hAnsi="Times New Roman;Times;serif"/>
          <w:b/>
          <w:sz w:val="20"/>
        </w:rPr>
        <w:t>Report of Independent Registered Public Accounting Firm</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To the Board of Directors and Shareholders of NetEase, Inc.</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Opinions on the Financial Statements and Internal Control over Financial Reporting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have audited the accompanying consolidated balance sheets of NetEase, Inc. and its subsidiaries (the “Company”) as of December 31, 2023 and 2022, and the related consolidated statements of operations and comprehensive income, of shareholders’ equity and of cash flows for each of the three years in the period ended December 31, 2023, including the related notes (collectively referred to as the “consolidated financial statements”). We also have audited the Company’s internal control over financial reporting as of December 31, 2023, based on criteria established in </w:t>
      </w:r>
      <w:r>
        <w:rPr>
          <w:rFonts w:ascii="Times New Roman;Times;serif" w:hAnsi="Times New Roman;Times;serif"/>
          <w:i/>
          <w:sz w:val="20"/>
        </w:rPr>
        <w:t>Internal Control - Integrated Framework</w:t>
      </w:r>
      <w:r>
        <w:rPr>
          <w:rFonts w:ascii="Times New Roman;Times;serif" w:hAnsi="Times New Roman;Times;serif"/>
          <w:sz w:val="20"/>
        </w:rPr>
        <w:t xml:space="preserve"> (2013) issued by the Committee of Sponsoring Organizations of the Treadway Commission (COSO).</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our opinion, the consolidated financial statements referred to above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w:t>
      </w:r>
      <w:r>
        <w:rPr>
          <w:rFonts w:ascii="Times New Roman;Times;serif" w:hAnsi="Times New Roman;Times;serif"/>
          <w:i/>
          <w:sz w:val="20"/>
        </w:rPr>
        <w:t>Internal Control - Integrated Framework</w:t>
      </w:r>
      <w:r>
        <w:rPr>
          <w:rFonts w:ascii="Times New Roman;Times;serif" w:hAnsi="Times New Roman;Times;serif"/>
          <w:sz w:val="20"/>
        </w:rPr>
        <w:t xml:space="preserve"> (2013) issued by the COSO.</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Basis for Opinions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on Page F-2 of this Annual Report on Form 20-F.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Definition and Limitations of Internal Control over Financial Reporting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Critical Audit Matters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 xml:space="preserve">Estimate of average playing period of paying players for recognition of in-game virtual items revenue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described in Notes 2(c) and 28 to the consolidated financial statements, the Company recognized RMB81.6 billion of revenues from games and related value-added services for the year ended December 31, 2023. Revenues of certain online games in-game virtual items are recognized ratably over the respective estimated average playing period of paying players in these games. Management considered the average period that players typically play the games and other game player behavior patterns, as well as various other factors, to arrive at estimates for the estimated average playing period of the paying players for each game. If a new game was launched and only a limited period of paying player data was available, then management considered other qualitative factors. Significant management assumptions applied to estimate the average playing period of paying players for recognition of in-game virtual items revenue include: (i) estimating future players’ churn rates based on historical players’ churn rates; and (ii) similarities between new games and existing games with sufficient historical data.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principal consideration for our determination that performing procedures relating to the estimates of average playing period of paying players for recognition of in-game virtual items revenue is a critical audit matter are the significant judgment made by management in developing these estimates, which in turn led to a high degree of auditor judgment, subjectivity and effort in performing procedures to evaluate the reasonableness of the significant assumptions used by management related to estimates of future players’ churn rates and estimates of similarities between new games and existing games.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Addressing the matter involved performing procedures and evaluating audit evidence in connection with forming our overall opinion on the consolidated financial statements. These procedures included testing the effectiveness of controls relating to the key judgments, inputs and assumptions of the estimates of average playing period of paying players for recognition of in-game virtual items revenue. These procedures also included, among others, evaluating the appropriateness of methods used by management; testing the completeness, accuracy and relevance of underlying data used in management’s development of the estimates; checking the mathematical formula used in calculating the historical players’ churn rate and estimated average playing period of paying players for recognition of in-game virtual items revenue and evaluating significant assumptions used by management. Evaluating management’s assumptions involved assessing the reasonableness of the significant assumptions used by management including estimating future players’ churn rates based on historical players’ churn rates and similarities between new games and existing games with sufficient historical data.</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Impairment assessment of equity method investments and long-term equity investments without readily determinable fair values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described in Notes 2(j) and 11 to the consolidated financial statements, the Company’s consolidated balance of investments in equity method investees and long-term equity investments without readily determinable fair values as at December 31, 2023 was RMB6,109.2 million and RMB12,021.5 million, respectively. Long-term equity investments without readily determinable fair value include ownership of stock or in-substance common stock issued by privately-held companies on which the Company does not have significant influence, and investments in privately-held companies’ shares that are not ordinary shares or in-substance ordinary shares. Management conducts impairment tests for investments in equity method investees and long-term equity investments without readily determinable fair values periodically, or when events or circumstances indicate that the carrying amount may not be recoverable. For equity method investments, the Company considers if the investment is impaired when events or circumstances suggest the carrying amount may not be recoverable, and recognizes any impairment charge in the consolidated statements of operations and comprehensive income for a decline in value that is determined to be other than temporary. For long-term equity investments without readily determinable fair values, the Company performs a qualitative assessment of the fair value of the equity interest in comparison to its carrying amount to determine if there is an indication of potential impairment. If such indication exists, management estimates the fair value of the investment, and records an impairment in the consolidated statements of operations and comprehensive income to the extent the carrying amount exceeds the fair value. Significant judgments management applies in the impairment assessment for these equity investments include: (i) the determination as to whether any impairment indicators exist during the year; (ii) estimating the impairment amount if an impairment exists; and (iii) judgments as to whether a decline in value of equity method investments was other than temporary. These judgments consider various factors and events including: a) significant deterioration in the earnings performance, credit rating, asset quality, or business prospects of the investees; b) significant adverse change in the regulatory, economic, or technological environment of the investees; c) significant adverse change in the general market condition of either the geographical area or the industry in which the investees operate; d) bona fide offer to purchase, an offer by the investee to sell, or a completed auction process for the same or similar investment for an amount less than the carrying amount of that investment; e) factors that raise significant concerns about the investees’ ability to continue as a going concern; f) factors that raise significant concerns about the performance of new products and g) valuation methods and key estimates in the determination of the impairment amounts. Key estimates mainly comprised the severity and duration of the impairment indicator and the existence of any positive or mitigating factors.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principal considerations for our determination that the impairment assessment of equity method investments and long-term equity investments without readily determinable fair values is a critical audit matter, are the high degree of auditor judgment, subjectivity and audit effort involved in performing procedures and evaluating management’s significant estimates relating to evaluating the reasonableness of significant judgments management applied in the impairment assessment.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Addressing the matter involved performing procedures and evaluating audit evidence in connection with forming our overall opinion on the consolidated financial statements. These procedures included testing the effectiveness of controls relating to management’s impairment assessment of equity method investments and long-term equity investments without readily determinable fair values. These procedures also included, among others, (i) testing the completeness, accuracy and relevance of underlying data management used to identify the indicators of impairment; (ii) testing management’s qualitative evaluation as to whether indicators of impairment existed by assessing the evidence considered by management, as well as other relevant market information; (iii) evaluating the reasonableness of key estimates used by management in the determination of the impairment amounts, by considering (a) the investee’s current and past performances, (b) the consistency with industry and third party data, and (c) whether these estimates were consistent with evidence obtained in other areas of the audit.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PricewaterhouseCoopers Zhong Tian LLP</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Beijing, the People’s Republic of China</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April 25, 2024</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served as the Company’s auditor since 2002.</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bookmarkStart w:id="135" w:name="_e0811989_2a6b_46aa_8354_1af3f741c381"/>
      <w:bookmarkEnd w:id="135"/>
      <w:r>
        <w:rPr>
          <w:rFonts w:ascii="Times New Roman;Times;serif" w:hAnsi="Times New Roman;Times;serif"/>
          <w:b/>
          <w:sz w:val="20"/>
        </w:rPr>
        <w:t>NetEase, Inc.</w:t>
      </w:r>
    </w:p>
    <w:p>
      <w:pPr>
        <w:pStyle w:val="TextBody"/>
        <w:bidi w:val="0"/>
        <w:spacing w:before="0" w:after="0"/>
        <w:ind w:left="0" w:right="0" w:hanging="0"/>
        <w:jc w:val="both"/>
        <w:rPr>
          <w:rFonts w:ascii="Times New Roman;Times;serif" w:hAnsi="Times New Roman;Times;serif"/>
          <w:b/>
          <w:sz w:val="20"/>
        </w:rPr>
      </w:pPr>
      <w:bookmarkStart w:id="136" w:name="ConsolidatedBalanceSheets_17791"/>
      <w:bookmarkEnd w:id="136"/>
      <w:r>
        <w:rPr>
          <w:rFonts w:ascii="Times New Roman;Times;serif" w:hAnsi="Times New Roman;Times;serif"/>
          <w:b/>
          <w:sz w:val="20"/>
        </w:rPr>
        <w:t>Consolidated Balance Sheets</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137" w:name="Tc_RgunouEWVEOACW3LYoL1xw_65_0"/>
      <w:bookmarkStart w:id="138" w:name="Tc_ZmSkmkdh6EqDDOCbr26X3Q_63_0"/>
      <w:bookmarkStart w:id="139" w:name="Tc_GWuZPkc8VkKm48yDGsKrxg_62_2"/>
      <w:bookmarkStart w:id="140" w:name="Tc_cGcQbuDsl0CxmvIFV7nWVA_62_0"/>
      <w:bookmarkStart w:id="141" w:name="Tc_e6fCec_IeUeCY__jimiOww_61_0"/>
      <w:bookmarkStart w:id="142" w:name="Tc_y9cidV9pbEildbmP1mPBOw_60_0"/>
      <w:bookmarkStart w:id="143" w:name="Tc_EfUxlKBNVUONnu8SH969RQ_59_0"/>
      <w:bookmarkStart w:id="144" w:name="Tc_iGj9jz81c0u2UtlUrvdE-g_58_2"/>
      <w:bookmarkStart w:id="145" w:name="Tc_2e40qC7_skuAX08TBCs6Fw_58_0"/>
      <w:bookmarkStart w:id="146" w:name="Tc_N1XK9E2vHk6C96bGhjS_Pg_57_0"/>
      <w:bookmarkStart w:id="147" w:name="Tc_CIuMvSXwFE6JL4ZKnitFAw_56_0"/>
      <w:bookmarkStart w:id="148" w:name="Tc_rRZ2jlJ-bkaf_sB7z3IPrQ_55_0"/>
      <w:bookmarkStart w:id="149" w:name="Tc_u46nXM2wsUygKMU5sqDgEQ_54_0"/>
      <w:bookmarkStart w:id="150" w:name="Tc_8MRi2SjHpU-YZjpoh8DEoQ_53_0"/>
      <w:bookmarkStart w:id="151" w:name="Tc_oZ5nOBwHPUWYLB3cH-ftnA_51_2"/>
      <w:bookmarkStart w:id="152" w:name="Tc_LX9S5ncpgUGNEkeNApTVxw_51_0"/>
      <w:bookmarkStart w:id="153" w:name="Tc_j0WXS7whx02KzZB7Df0FrA_49_2"/>
      <w:bookmarkStart w:id="154" w:name="Tc_tGwPF0i9Q0qHqbkXvNq9zA_49_0"/>
      <w:bookmarkStart w:id="155" w:name="Tc_x4VLppUGok-z0KtSYsnTXw_47_0"/>
      <w:bookmarkStart w:id="156" w:name="Tc_YKK_uhvHbkqzU_JzCzfScw_45_0"/>
      <w:bookmarkStart w:id="157" w:name="Tc_Hp-MjqfWIkiASMbqCjB-DA_44_0"/>
      <w:bookmarkStart w:id="158" w:name="Tc_FPjPL3D_HkudnlQDHhVQ2A_43_2"/>
      <w:bookmarkStart w:id="159" w:name="Tc_l72paBxTUki185t17GzX4w_43_0"/>
      <w:bookmarkStart w:id="160" w:name="Tc_L9kAyQ02ykusF7CWjLfkRw_42_2"/>
      <w:bookmarkStart w:id="161" w:name="Tc_ViegtVUN-k2pXAXJqqRNqA_42_0"/>
      <w:bookmarkStart w:id="162" w:name="Tc_Hnu0fkGXYEK4EWqZYT98Sw_41_2"/>
      <w:bookmarkStart w:id="163" w:name="Tc_FiDE8kU9hk61AFAlISI5tg_41_0"/>
      <w:bookmarkStart w:id="164" w:name="Tc_dOTTDytjNUaqv1CcbwkkSw_40_0"/>
      <w:bookmarkStart w:id="165" w:name="Tc_NA0y_mKJJEuslfDRqbzVDg_38_0"/>
      <w:bookmarkStart w:id="166" w:name="Tc_UjdYLBaVAUG743qekL5Xig_37_2"/>
      <w:bookmarkStart w:id="167" w:name="Tc_YYxvaWNwrEClEyLXVCImgw_37_0"/>
      <w:bookmarkStart w:id="168" w:name="Tc_Cws3YVSAj0W8KxFihKLhdQ_36_2"/>
      <w:bookmarkStart w:id="169" w:name="Tc_F2yeD4lalkyhaUd76btaRQ_36_0"/>
      <w:bookmarkStart w:id="170" w:name="Tc_9exCU-zKyUm6Lm6w4ggj0Q_35_2"/>
      <w:bookmarkStart w:id="171" w:name="Tc_ELshAaEnjEGXpuAm5OWetg_35_0"/>
      <w:bookmarkStart w:id="172" w:name="Tc_kOjbGxngdU2x0jnsvApLIQ_34_2"/>
      <w:bookmarkStart w:id="173" w:name="Tc_kTVsCR5ChEWcs1uhWSOrTA_34_0"/>
      <w:bookmarkStart w:id="174" w:name="Tc_cJPSmhRlW0mPr-acsRgSYQ_33_2"/>
      <w:bookmarkStart w:id="175" w:name="Tc_UyPgcDbvcEe0HPW3SwSQoQ_33_0"/>
      <w:bookmarkStart w:id="176" w:name="Tc_lBJ3RFt3N0atVT6qag-4Ow_32_0"/>
      <w:bookmarkStart w:id="177" w:name="Tc_dTD_BD_iqkOmm0DaVpv0kw_31_0"/>
      <w:bookmarkStart w:id="178" w:name="Tc_4N8eTq1XB0eUeZpOctBqoQ_30_0"/>
      <w:bookmarkStart w:id="179" w:name="Tc_fWbWQlPH606FBvdx1ZhEPg_29_0"/>
      <w:bookmarkStart w:id="180" w:name="Tc_cLZJwULoIE6yu5gcKer0QA_27_0"/>
      <w:bookmarkStart w:id="181" w:name="Tc_7axYB5zPfEymVsgK-WUmLQ_25_0"/>
      <w:bookmarkStart w:id="182" w:name="Tc_QjDMb7pIv0-MxEfdb-ARaw_24_2"/>
      <w:bookmarkStart w:id="183" w:name="Tc_dt_Avt1QBESD2IxaPk9L7A_24_0"/>
      <w:bookmarkStart w:id="184" w:name="Tc_SkIHzcaVOUe9aQs8kcnKeg_23_2"/>
      <w:bookmarkStart w:id="185" w:name="Tc_CBNYSPnS5ke5NoVFrEyfKQ_23_0"/>
      <w:bookmarkStart w:id="186" w:name="Tc_FOvHX3NrBkSLWUhuFfriRg_22_2"/>
      <w:bookmarkStart w:id="187" w:name="Tc_OGO7UwCGBkWq6ZFCMtAJEg_22_0"/>
      <w:bookmarkStart w:id="188" w:name="Tc_vNn9RuMgmkOT-uoocjaCoA_21_2"/>
      <w:bookmarkStart w:id="189" w:name="Tc_yWtq0mRXv0yN_KFzIrEXCQ_21_0"/>
      <w:bookmarkStart w:id="190" w:name="Tc_iStoQudfnEO_Cj9Yx7VkYA_20_2"/>
      <w:bookmarkStart w:id="191" w:name="Tc_iFY2l3SjoECYYYK53lx2OQ_20_0"/>
      <w:bookmarkStart w:id="192" w:name="Tc_enElDeiaoUWUjun5dZMlbw_19_2"/>
      <w:bookmarkStart w:id="193" w:name="Tc_Wi_4W8lOQkSr8-h9dHlbLA_19_0"/>
      <w:bookmarkStart w:id="194" w:name="Tc_SRmJcnLad0OP5xQ-XdNZrQ_18_2"/>
      <w:bookmarkStart w:id="195" w:name="Tc_2CPhIroK-0CQHjjy3iXFvg_18_0"/>
      <w:bookmarkStart w:id="196" w:name="Tc_DLO3OMrlg0Slm9qj-1aGHA_17_2"/>
      <w:bookmarkStart w:id="197" w:name="Tc_6lrmUDvs_U2Zz5T2zTOOVQ_17_0"/>
      <w:bookmarkStart w:id="198" w:name="Tc_lt2W-XA91E-EMD_xefZjdQ_16_0"/>
      <w:bookmarkStart w:id="199" w:name="Tc_f6pzgsDfAUGSVafobZ_e7Q_14_0"/>
      <w:bookmarkStart w:id="200" w:name="Tc_tKXJSm1xLEKOyUBMMCDXuA_13_2"/>
      <w:bookmarkStart w:id="201" w:name="Tc_nbwS_BXOcEaRXhfyCgNfFw_13_0"/>
      <w:bookmarkStart w:id="202" w:name="Tc_DgRyrpRaskmpcpGait_Eaw_12_2"/>
      <w:bookmarkStart w:id="203" w:name="Tc_j-0JD-_FG0STqpnzX1YLDA_12_0"/>
      <w:bookmarkStart w:id="204" w:name="Tc_phAvH1dEaE-xhRjxdoSSDg_11_2"/>
      <w:bookmarkStart w:id="205" w:name="Tc_WzlqYdtsA0GrVDjwpmPAaA_11_0"/>
      <w:bookmarkStart w:id="206" w:name="Tc_3M7obfTlMk2rNL2OPZvL3w_10_0"/>
      <w:bookmarkStart w:id="207" w:name="Tc_1LA-vK_xCkK_vLgCRYEHxQ_9_2"/>
      <w:bookmarkStart w:id="208" w:name="Tc_wF1tXxt5B0SQaLB9uzAbjQ_9_0"/>
      <w:bookmarkStart w:id="209" w:name="Tc_1D_rPb57WkG_XCmcsUJqGw_8_2"/>
      <w:bookmarkStart w:id="210" w:name="Tc_P0K46qp5806ualF4fOnNSQ_8_0"/>
      <w:bookmarkStart w:id="211" w:name="Tc_7E4RtDqcS02lcFs_TuzSTw_7_2"/>
      <w:bookmarkStart w:id="212" w:name="Tc_6jpPexphAUaufblkwqa6ww_7_0"/>
      <w:bookmarkStart w:id="213" w:name="Tc_YFlQO3QY40mENQioN0UGzQ_6_0"/>
      <w:bookmarkStart w:id="214" w:name="Tc_qjbzAs2ooE-EAFzEGl2_2g_5_0"/>
      <w:bookmarkStart w:id="215" w:name="Tc_CbBU0sB1OUy3yH7IAfPaFA_4_8"/>
      <w:bookmarkStart w:id="216" w:name="Tc_GpHYPrBL3UONlXTSBBoUOw_3_8"/>
      <w:bookmarkStart w:id="217" w:name="Tc_-8utL4uQfk2XehOTxOdzqw_3_6"/>
      <w:bookmarkStart w:id="218" w:name="Tc_2pRQL2403keWRsYTme8SCA_3_4"/>
      <w:bookmarkStart w:id="219" w:name="Tc_Shuq4DLBBUG2-1METzg50g_3_2"/>
      <w:bookmarkStart w:id="220" w:name="Tc_k2S-bU6l9ky9mXAt7Z-tZA_2_8"/>
      <w:bookmarkStart w:id="221" w:name="Tc_O9D1JHwbrEmj6NtNEEgHzw_2_6"/>
      <w:bookmarkStart w:id="222" w:name="Tc_zghY4AXkD0WwzRI6DV2Rmw_2_4"/>
      <w:bookmarkStart w:id="223" w:name="Tc_NwqcmEZ7LkyAbGFjKQuXdQ_1_8"/>
      <w:bookmarkStart w:id="224" w:name="Tc_qFC8DMUHvEuJ-7V6L07klQ_1_6"/>
      <w:bookmarkStart w:id="225" w:name="Tc_lLeoauUq_UC_Q7xrn9mNCg_1_4"/>
      <w:bookmarkStart w:id="226" w:name="_1c041401_33b2_4692_9ae9_7316cdc6b025"/>
      <w:bookmarkStart w:id="227" w:name="Tc_RgunouEWVEOACW3LYoL1xw_65_0"/>
      <w:bookmarkStart w:id="228" w:name="Tc_ZmSkmkdh6EqDDOCbr26X3Q_63_0"/>
      <w:bookmarkStart w:id="229" w:name="Tc_GWuZPkc8VkKm48yDGsKrxg_62_2"/>
      <w:bookmarkStart w:id="230" w:name="Tc_cGcQbuDsl0CxmvIFV7nWVA_62_0"/>
      <w:bookmarkStart w:id="231" w:name="Tc_e6fCec_IeUeCY__jimiOww_61_0"/>
      <w:bookmarkStart w:id="232" w:name="Tc_y9cidV9pbEildbmP1mPBOw_60_0"/>
      <w:bookmarkStart w:id="233" w:name="Tc_EfUxlKBNVUONnu8SH969RQ_59_0"/>
      <w:bookmarkStart w:id="234" w:name="Tc_iGj9jz81c0u2UtlUrvdE-g_58_2"/>
      <w:bookmarkStart w:id="235" w:name="Tc_2e40qC7_skuAX08TBCs6Fw_58_0"/>
      <w:bookmarkStart w:id="236" w:name="Tc_N1XK9E2vHk6C96bGhjS_Pg_57_0"/>
      <w:bookmarkStart w:id="237" w:name="Tc_CIuMvSXwFE6JL4ZKnitFAw_56_0"/>
      <w:bookmarkStart w:id="238" w:name="Tc_rRZ2jlJ-bkaf_sB7z3IPrQ_55_0"/>
      <w:bookmarkStart w:id="239" w:name="Tc_u46nXM2wsUygKMU5sqDgEQ_54_0"/>
      <w:bookmarkStart w:id="240" w:name="Tc_8MRi2SjHpU-YZjpoh8DEoQ_53_0"/>
      <w:bookmarkStart w:id="241" w:name="Tc_oZ5nOBwHPUWYLB3cH-ftnA_51_2"/>
      <w:bookmarkStart w:id="242" w:name="Tc_LX9S5ncpgUGNEkeNApTVxw_51_0"/>
      <w:bookmarkStart w:id="243" w:name="Tc_j0WXS7whx02KzZB7Df0FrA_49_2"/>
      <w:bookmarkStart w:id="244" w:name="Tc_tGwPF0i9Q0qHqbkXvNq9zA_49_0"/>
      <w:bookmarkStart w:id="245" w:name="Tc_x4VLppUGok-z0KtSYsnTXw_47_0"/>
      <w:bookmarkStart w:id="246" w:name="Tc_YKK_uhvHbkqzU_JzCzfScw_45_0"/>
      <w:bookmarkStart w:id="247" w:name="Tc_Hp-MjqfWIkiASMbqCjB-DA_44_0"/>
      <w:bookmarkStart w:id="248" w:name="Tc_FPjPL3D_HkudnlQDHhVQ2A_43_2"/>
      <w:bookmarkStart w:id="249" w:name="Tc_l72paBxTUki185t17GzX4w_43_0"/>
      <w:bookmarkStart w:id="250" w:name="Tc_L9kAyQ02ykusF7CWjLfkRw_42_2"/>
      <w:bookmarkStart w:id="251" w:name="Tc_ViegtVUN-k2pXAXJqqRNqA_42_0"/>
      <w:bookmarkStart w:id="252" w:name="Tc_Hnu0fkGXYEK4EWqZYT98Sw_41_2"/>
      <w:bookmarkStart w:id="253" w:name="Tc_FiDE8kU9hk61AFAlISI5tg_41_0"/>
      <w:bookmarkStart w:id="254" w:name="Tc_dOTTDytjNUaqv1CcbwkkSw_40_0"/>
      <w:bookmarkStart w:id="255" w:name="Tc_NA0y_mKJJEuslfDRqbzVDg_38_0"/>
      <w:bookmarkStart w:id="256" w:name="Tc_UjdYLBaVAUG743qekL5Xig_37_2"/>
      <w:bookmarkStart w:id="257" w:name="Tc_YYxvaWNwrEClEyLXVCImgw_37_0"/>
      <w:bookmarkStart w:id="258" w:name="Tc_Cws3YVSAj0W8KxFihKLhdQ_36_2"/>
      <w:bookmarkStart w:id="259" w:name="Tc_F2yeD4lalkyhaUd76btaRQ_36_0"/>
      <w:bookmarkStart w:id="260" w:name="Tc_9exCU-zKyUm6Lm6w4ggj0Q_35_2"/>
      <w:bookmarkStart w:id="261" w:name="Tc_ELshAaEnjEGXpuAm5OWetg_35_0"/>
      <w:bookmarkStart w:id="262" w:name="Tc_kOjbGxngdU2x0jnsvApLIQ_34_2"/>
      <w:bookmarkStart w:id="263" w:name="Tc_kTVsCR5ChEWcs1uhWSOrTA_34_0"/>
      <w:bookmarkStart w:id="264" w:name="Tc_cJPSmhRlW0mPr-acsRgSYQ_33_2"/>
      <w:bookmarkStart w:id="265" w:name="Tc_UyPgcDbvcEe0HPW3SwSQoQ_33_0"/>
      <w:bookmarkStart w:id="266" w:name="Tc_lBJ3RFt3N0atVT6qag-4Ow_32_0"/>
      <w:bookmarkStart w:id="267" w:name="Tc_dTD_BD_iqkOmm0DaVpv0kw_31_0"/>
      <w:bookmarkStart w:id="268" w:name="Tc_4N8eTq1XB0eUeZpOctBqoQ_30_0"/>
      <w:bookmarkStart w:id="269" w:name="Tc_fWbWQlPH606FBvdx1ZhEPg_29_0"/>
      <w:bookmarkStart w:id="270" w:name="Tc_cLZJwULoIE6yu5gcKer0QA_27_0"/>
      <w:bookmarkStart w:id="271" w:name="Tc_7axYB5zPfEymVsgK-WUmLQ_25_0"/>
      <w:bookmarkStart w:id="272" w:name="Tc_QjDMb7pIv0-MxEfdb-ARaw_24_2"/>
      <w:bookmarkStart w:id="273" w:name="Tc_dt_Avt1QBESD2IxaPk9L7A_24_0"/>
      <w:bookmarkStart w:id="274" w:name="Tc_SkIHzcaVOUe9aQs8kcnKeg_23_2"/>
      <w:bookmarkStart w:id="275" w:name="Tc_CBNYSPnS5ke5NoVFrEyfKQ_23_0"/>
      <w:bookmarkStart w:id="276" w:name="Tc_FOvHX3NrBkSLWUhuFfriRg_22_2"/>
      <w:bookmarkStart w:id="277" w:name="Tc_OGO7UwCGBkWq6ZFCMtAJEg_22_0"/>
      <w:bookmarkStart w:id="278" w:name="Tc_vNn9RuMgmkOT-uoocjaCoA_21_2"/>
      <w:bookmarkStart w:id="279" w:name="Tc_yWtq0mRXv0yN_KFzIrEXCQ_21_0"/>
      <w:bookmarkStart w:id="280" w:name="Tc_iStoQudfnEO_Cj9Yx7VkYA_20_2"/>
      <w:bookmarkStart w:id="281" w:name="Tc_iFY2l3SjoECYYYK53lx2OQ_20_0"/>
      <w:bookmarkStart w:id="282" w:name="Tc_enElDeiaoUWUjun5dZMlbw_19_2"/>
      <w:bookmarkStart w:id="283" w:name="Tc_Wi_4W8lOQkSr8-h9dHlbLA_19_0"/>
      <w:bookmarkStart w:id="284" w:name="Tc_SRmJcnLad0OP5xQ-XdNZrQ_18_2"/>
      <w:bookmarkStart w:id="285" w:name="Tc_2CPhIroK-0CQHjjy3iXFvg_18_0"/>
      <w:bookmarkStart w:id="286" w:name="Tc_DLO3OMrlg0Slm9qj-1aGHA_17_2"/>
      <w:bookmarkStart w:id="287" w:name="Tc_6lrmUDvs_U2Zz5T2zTOOVQ_17_0"/>
      <w:bookmarkStart w:id="288" w:name="Tc_lt2W-XA91E-EMD_xefZjdQ_16_0"/>
      <w:bookmarkStart w:id="289" w:name="Tc_f6pzgsDfAUGSVafobZ_e7Q_14_0"/>
      <w:bookmarkStart w:id="290" w:name="Tc_tKXJSm1xLEKOyUBMMCDXuA_13_2"/>
      <w:bookmarkStart w:id="291" w:name="Tc_nbwS_BXOcEaRXhfyCgNfFw_13_0"/>
      <w:bookmarkStart w:id="292" w:name="Tc_DgRyrpRaskmpcpGait_Eaw_12_2"/>
      <w:bookmarkStart w:id="293" w:name="Tc_j-0JD-_FG0STqpnzX1YLDA_12_0"/>
      <w:bookmarkStart w:id="294" w:name="Tc_phAvH1dEaE-xhRjxdoSSDg_11_2"/>
      <w:bookmarkStart w:id="295" w:name="Tc_WzlqYdtsA0GrVDjwpmPAaA_11_0"/>
      <w:bookmarkStart w:id="296" w:name="Tc_3M7obfTlMk2rNL2OPZvL3w_10_0"/>
      <w:bookmarkStart w:id="297" w:name="Tc_1LA-vK_xCkK_vLgCRYEHxQ_9_2"/>
      <w:bookmarkStart w:id="298" w:name="Tc_wF1tXxt5B0SQaLB9uzAbjQ_9_0"/>
      <w:bookmarkStart w:id="299" w:name="Tc_1D_rPb57WkG_XCmcsUJqGw_8_2"/>
      <w:bookmarkStart w:id="300" w:name="Tc_P0K46qp5806ualF4fOnNSQ_8_0"/>
      <w:bookmarkStart w:id="301" w:name="Tc_7E4RtDqcS02lcFs_TuzSTw_7_2"/>
      <w:bookmarkStart w:id="302" w:name="Tc_6jpPexphAUaufblkwqa6ww_7_0"/>
      <w:bookmarkStart w:id="303" w:name="Tc_YFlQO3QY40mENQioN0UGzQ_6_0"/>
      <w:bookmarkStart w:id="304" w:name="Tc_qjbzAs2ooE-EAFzEGl2_2g_5_0"/>
      <w:bookmarkStart w:id="305" w:name="Tc_CbBU0sB1OUy3yH7IAfPaFA_4_8"/>
      <w:bookmarkStart w:id="306" w:name="Tc_GpHYPrBL3UONlXTSBBoUOw_3_8"/>
      <w:bookmarkStart w:id="307" w:name="Tc_-8utL4uQfk2XehOTxOdzqw_3_6"/>
      <w:bookmarkStart w:id="308" w:name="Tc_2pRQL2403keWRsYTme8SCA_3_4"/>
      <w:bookmarkStart w:id="309" w:name="Tc_Shuq4DLBBUG2-1METzg50g_3_2"/>
      <w:bookmarkStart w:id="310" w:name="Tc_k2S-bU6l9ky9mXAt7Z-tZA_2_8"/>
      <w:bookmarkStart w:id="311" w:name="Tc_O9D1JHwbrEmj6NtNEEgHzw_2_6"/>
      <w:bookmarkStart w:id="312" w:name="Tc_zghY4AXkD0WwzRI6DV2Rmw_2_4"/>
      <w:bookmarkStart w:id="313" w:name="Tc_NwqcmEZ7LkyAbGFjKQuXdQ_1_8"/>
      <w:bookmarkStart w:id="314" w:name="Tc_qFC8DMUHvEuJ-7V6L07klQ_1_6"/>
      <w:bookmarkStart w:id="315" w:name="Tc_lLeoauUq_UC_Q7xrn9mNCg_1_4"/>
      <w:bookmarkStart w:id="316" w:name="_1c041401_33b2_4692_9ae9_7316cdc6b025"/>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tbl>
      <w:tblPr>
        <w:tblW w:w="10205" w:type="dxa"/>
        <w:jc w:val="left"/>
        <w:tblInd w:w="0" w:type="dxa"/>
        <w:tblLayout w:type="fixed"/>
        <w:tblCellMar>
          <w:top w:w="0" w:type="dxa"/>
          <w:left w:w="0" w:type="dxa"/>
          <w:bottom w:w="0" w:type="dxa"/>
          <w:right w:w="0" w:type="dxa"/>
        </w:tblCellMar>
      </w:tblPr>
      <w:tblGrid>
        <w:gridCol w:w="5956"/>
        <w:gridCol w:w="109"/>
        <w:gridCol w:w="436"/>
        <w:gridCol w:w="326"/>
        <w:gridCol w:w="893"/>
        <w:gridCol w:w="326"/>
        <w:gridCol w:w="893"/>
        <w:gridCol w:w="326"/>
        <w:gridCol w:w="940"/>
      </w:tblGrid>
      <w:tr>
        <w:trPr/>
        <w:tc>
          <w:tcPr>
            <w:tcW w:w="5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3782060" cy="175260"/>
                      <wp:effectExtent l="0" t="0" r="0" b="0"/>
                      <wp:wrapNone/>
                      <wp:docPr id="299" name="Frame298"/>
                      <a:graphic xmlns:a="http://schemas.openxmlformats.org/drawingml/2006/main">
                        <a:graphicData uri="http://schemas.microsoft.com/office/word/2010/wordprocessingShape">
                          <wps:wsp>
                            <wps:cNvSpPr txBox="1"/>
                            <wps:spPr>
                              <a:xfrm>
                                <a:off x="0" y="0"/>
                                <a:ext cx="3782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9215" cy="175260"/>
                      <wp:effectExtent l="0" t="0" r="0" b="0"/>
                      <wp:wrapNone/>
                      <wp:docPr id="300" name="Frame2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76860" cy="175260"/>
                      <wp:effectExtent l="0" t="0" r="0" b="0"/>
                      <wp:wrapNone/>
                      <wp:docPr id="301" name="Frame300"/>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07010" cy="175260"/>
                      <wp:effectExtent l="0" t="0" r="0" b="0"/>
                      <wp:wrapNone/>
                      <wp:docPr id="302" name="Frame3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567055" cy="175260"/>
                      <wp:effectExtent l="0" t="0" r="0" b="0"/>
                      <wp:wrapNone/>
                      <wp:docPr id="303" name="Frame302"/>
                      <a:graphic xmlns:a="http://schemas.openxmlformats.org/drawingml/2006/main">
                        <a:graphicData uri="http://schemas.microsoft.com/office/word/2010/wordprocessingShape">
                          <wps:wsp>
                            <wps:cNvSpPr txBox="1"/>
                            <wps:spPr>
                              <a:xfrm>
                                <a:off x="0" y="0"/>
                                <a:ext cx="567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07010" cy="175260"/>
                      <wp:effectExtent l="0" t="0" r="0" b="0"/>
                      <wp:wrapNone/>
                      <wp:docPr id="304" name="Frame3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567055" cy="175260"/>
                      <wp:effectExtent l="0" t="0" r="0" b="0"/>
                      <wp:wrapNone/>
                      <wp:docPr id="305" name="Frame304"/>
                      <a:graphic xmlns:a="http://schemas.openxmlformats.org/drawingml/2006/main">
                        <a:graphicData uri="http://schemas.microsoft.com/office/word/2010/wordprocessingShape">
                          <wps:wsp>
                            <wps:cNvSpPr txBox="1"/>
                            <wps:spPr>
                              <a:xfrm>
                                <a:off x="0" y="0"/>
                                <a:ext cx="567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07010" cy="175260"/>
                      <wp:effectExtent l="0" t="0" r="0" b="0"/>
                      <wp:wrapNone/>
                      <wp:docPr id="306" name="Frame3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596900" cy="175260"/>
                      <wp:effectExtent l="0" t="0" r="0" b="0"/>
                      <wp:wrapNone/>
                      <wp:docPr id="307" name="Frame306"/>
                      <a:graphic xmlns:a="http://schemas.openxmlformats.org/drawingml/2006/main">
                        <a:graphicData uri="http://schemas.microsoft.com/office/word/2010/wordprocessingShape">
                          <wps:wsp>
                            <wps:cNvSpPr txBox="1"/>
                            <wps:spPr>
                              <a:xfrm>
                                <a:off x="0" y="0"/>
                                <a:ext cx="596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9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December 31, </w:t>
            </w:r>
          </w:p>
        </w:tc>
        <w:tc>
          <w:tcPr>
            <w:tcW w:w="326"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December 31, </w:t>
            </w:r>
          </w:p>
        </w:tc>
        <w:tc>
          <w:tcPr>
            <w:tcW w:w="326" w:type="dxa"/>
            <w:tcBorders/>
            <w:vAlign w:val="center"/>
          </w:tcPr>
          <w:p>
            <w:pPr>
              <w:pStyle w:val="TableContents"/>
              <w:bidi w:val="0"/>
              <w:spacing w:before="0" w:after="0"/>
              <w:ind w:left="0" w:right="0" w:hanging="0"/>
              <w:jc w:val="left"/>
              <w:rPr/>
            </w:pPr>
            <w:r>
              <w:rPr/>
              <w:t>    </w:t>
            </w:r>
          </w:p>
        </w:tc>
        <w:tc>
          <w:tcPr>
            <w:tcW w:w="940"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December 31, </w:t>
            </w:r>
          </w:p>
        </w:tc>
      </w:tr>
      <w:tr>
        <w:trPr/>
        <w:tc>
          <w:tcPr>
            <w:tcW w:w="59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2022</w:t>
            </w:r>
          </w:p>
        </w:tc>
        <w:tc>
          <w:tcPr>
            <w:tcW w:w="326" w:type="dxa"/>
            <w:tcBorders/>
            <w:vAlign w:val="center"/>
          </w:tcPr>
          <w:p>
            <w:pPr>
              <w:pStyle w:val="TableContents"/>
              <w:bidi w:val="0"/>
              <w:spacing w:before="0" w:after="0"/>
              <w:ind w:left="0" w:right="0" w:hanging="0"/>
              <w:jc w:val="left"/>
              <w:rPr/>
            </w:pPr>
            <w:r>
              <w:rPr/>
              <w:t>​</w:t>
            </w:r>
          </w:p>
        </w:tc>
        <w:tc>
          <w:tcPr>
            <w:tcW w:w="89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2023</w:t>
            </w:r>
          </w:p>
        </w:tc>
        <w:tc>
          <w:tcPr>
            <w:tcW w:w="326" w:type="dxa"/>
            <w:tcBorders/>
            <w:vAlign w:val="center"/>
          </w:tcPr>
          <w:p>
            <w:pPr>
              <w:pStyle w:val="TableContents"/>
              <w:bidi w:val="0"/>
              <w:spacing w:before="0" w:after="0"/>
              <w:ind w:left="0" w:right="0" w:hanging="0"/>
              <w:jc w:val="left"/>
              <w:rPr/>
            </w:pPr>
            <w:r>
              <w:rPr/>
              <w:t>​</w:t>
            </w:r>
          </w:p>
        </w:tc>
        <w:tc>
          <w:tcPr>
            <w:tcW w:w="9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2023</w:t>
            </w:r>
          </w:p>
        </w:tc>
      </w:tr>
      <w:tr>
        <w:trPr/>
        <w:tc>
          <w:tcPr>
            <w:tcW w:w="59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rFonts w:ascii="Times New Roman;Times;serif" w:hAnsi="Times New Roman;Times;serif"/>
                <w:b/>
                <w:i/>
                <w:sz w:val="14"/>
              </w:rPr>
            </w:pPr>
            <w:r>
              <w:rPr>
                <w:rFonts w:ascii="Times New Roman;Times;serif" w:hAnsi="Times New Roman;Times;serif"/>
                <w:b/>
                <w:i/>
                <w:sz w:val="14"/>
              </w:rPr>
              <w:t>Notes</w:t>
            </w:r>
          </w:p>
        </w:tc>
        <w:tc>
          <w:tcPr>
            <w:tcW w:w="326"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RMB</w:t>
            </w:r>
          </w:p>
        </w:tc>
        <w:tc>
          <w:tcPr>
            <w:tcW w:w="326"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RMB</w:t>
            </w:r>
          </w:p>
        </w:tc>
        <w:tc>
          <w:tcPr>
            <w:tcW w:w="326" w:type="dxa"/>
            <w:tcBorders/>
            <w:vAlign w:val="center"/>
          </w:tcPr>
          <w:p>
            <w:pPr>
              <w:pStyle w:val="TableContents"/>
              <w:bidi w:val="0"/>
              <w:spacing w:before="0" w:after="0"/>
              <w:ind w:left="0" w:right="0" w:hanging="0"/>
              <w:jc w:val="left"/>
              <w:rPr/>
            </w:pPr>
            <w:r>
              <w:rPr/>
              <w:t>​</w:t>
            </w:r>
          </w:p>
        </w:tc>
        <w:tc>
          <w:tcPr>
            <w:tcW w:w="940"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US$</w:t>
            </w:r>
          </w:p>
        </w:tc>
      </w:tr>
      <w:tr>
        <w:trPr/>
        <w:tc>
          <w:tcPr>
            <w:tcW w:w="59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40"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Note 2(q)</w:t>
            </w:r>
          </w:p>
        </w:tc>
      </w:tr>
      <w:tr>
        <w:trPr/>
        <w:tc>
          <w:tcPr>
            <w:tcW w:w="595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Assets</w:t>
            </w:r>
          </w:p>
        </w:tc>
        <w:tc>
          <w:tcPr>
            <w:tcW w:w="109"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40" w:type="dxa"/>
            <w:tcBorders/>
            <w:shd w:fill="CCEEFF" w:val="clear"/>
            <w:vAlign w:val="center"/>
          </w:tcPr>
          <w:p>
            <w:pPr>
              <w:pStyle w:val="TableContents"/>
              <w:bidi w:val="0"/>
              <w:spacing w:before="0" w:after="0"/>
              <w:ind w:left="0" w:right="0" w:hanging="0"/>
              <w:jc w:val="left"/>
              <w:rPr/>
            </w:pPr>
            <w:r>
              <w:rPr/>
              <w:t>​</w:t>
            </w:r>
          </w:p>
        </w:tc>
      </w:tr>
      <w:tr>
        <w:trPr/>
        <w:tc>
          <w:tcPr>
            <w:tcW w:w="595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Current assets:</w:t>
            </w:r>
          </w:p>
        </w:tc>
        <w:tc>
          <w:tcPr>
            <w:tcW w:w="109"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40" w:type="dxa"/>
            <w:tcBorders/>
            <w:vAlign w:val="center"/>
          </w:tcPr>
          <w:p>
            <w:pPr>
              <w:pStyle w:val="TableContents"/>
              <w:bidi w:val="0"/>
              <w:spacing w:before="0" w:after="0"/>
              <w:ind w:left="0" w:right="0" w:hanging="0"/>
              <w:jc w:val="right"/>
              <w:rPr/>
            </w:pPr>
            <w:r>
              <w:rPr/>
              <w:t>​</w:t>
            </w:r>
          </w:p>
        </w:tc>
      </w:tr>
      <w:tr>
        <w:trPr/>
        <w:tc>
          <w:tcPr>
            <w:tcW w:w="59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Cash and cash equivalents</w:t>
            </w:r>
          </w:p>
        </w:tc>
        <w:tc>
          <w:tcPr>
            <w:tcW w:w="109"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rFonts w:ascii="Times New Roman;Times;serif" w:hAnsi="Times New Roman;Times;serif"/>
                <w:i/>
                <w:sz w:val="14"/>
              </w:rPr>
            </w:pPr>
            <w:r>
              <w:rPr>
                <w:rFonts w:ascii="Times New Roman;Times;serif" w:hAnsi="Times New Roman;Times;serif"/>
                <w:i/>
                <w:sz w:val="14"/>
              </w:rPr>
              <w:t>2(f)</w:t>
            </w:r>
          </w:p>
        </w:tc>
        <w:tc>
          <w:tcPr>
            <w:tcW w:w="326"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24,889,000</w:t>
            </w:r>
          </w:p>
        </w:tc>
        <w:tc>
          <w:tcPr>
            <w:tcW w:w="326"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21,428,902</w:t>
            </w:r>
          </w:p>
        </w:tc>
        <w:tc>
          <w:tcPr>
            <w:tcW w:w="326" w:type="dxa"/>
            <w:tcBorders/>
            <w:shd w:fill="CCEEFF" w:val="clear"/>
            <w:vAlign w:val="center"/>
          </w:tcPr>
          <w:p>
            <w:pPr>
              <w:pStyle w:val="TableContents"/>
              <w:bidi w:val="0"/>
              <w:spacing w:before="0" w:after="0"/>
              <w:ind w:left="0" w:right="0" w:hanging="0"/>
              <w:jc w:val="left"/>
              <w:rPr/>
            </w:pPr>
            <w:r>
              <w:rPr/>
              <w:t>​</w:t>
            </w:r>
          </w:p>
        </w:tc>
        <w:tc>
          <w:tcPr>
            <w:tcW w:w="94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3,018,198</w:t>
            </w:r>
          </w:p>
        </w:tc>
      </w:tr>
      <w:tr>
        <w:trPr/>
        <w:tc>
          <w:tcPr>
            <w:tcW w:w="595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Time deposits</w:t>
            </w:r>
          </w:p>
        </w:tc>
        <w:tc>
          <w:tcPr>
            <w:tcW w:w="109"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rFonts w:ascii="Times New Roman;Times;serif" w:hAnsi="Times New Roman;Times;serif"/>
                <w:i/>
                <w:sz w:val="14"/>
              </w:rPr>
            </w:pPr>
            <w:r>
              <w:rPr>
                <w:rFonts w:ascii="Times New Roman;Times;serif" w:hAnsi="Times New Roman;Times;serif"/>
                <w:i/>
                <w:sz w:val="14"/>
              </w:rPr>
              <w:t>2(f)</w:t>
            </w:r>
          </w:p>
        </w:tc>
        <w:tc>
          <w:tcPr>
            <w:tcW w:w="326"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84,947,679</w:t>
            </w:r>
          </w:p>
        </w:tc>
        <w:tc>
          <w:tcPr>
            <w:tcW w:w="326"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100,856,034</w:t>
            </w:r>
          </w:p>
        </w:tc>
        <w:tc>
          <w:tcPr>
            <w:tcW w:w="326" w:type="dxa"/>
            <w:tcBorders/>
            <w:vAlign w:val="center"/>
          </w:tcPr>
          <w:p>
            <w:pPr>
              <w:pStyle w:val="TableContents"/>
              <w:bidi w:val="0"/>
              <w:spacing w:before="0" w:after="0"/>
              <w:ind w:left="0" w:right="0" w:hanging="0"/>
              <w:jc w:val="left"/>
              <w:rPr/>
            </w:pPr>
            <w:r>
              <w:rPr/>
              <w:t>​</w:t>
            </w:r>
          </w:p>
        </w:tc>
        <w:tc>
          <w:tcPr>
            <w:tcW w:w="94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14,205,275</w:t>
            </w:r>
          </w:p>
        </w:tc>
      </w:tr>
      <w:tr>
        <w:trPr/>
        <w:tc>
          <w:tcPr>
            <w:tcW w:w="59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Restricted cash</w:t>
            </w:r>
          </w:p>
        </w:tc>
        <w:tc>
          <w:tcPr>
            <w:tcW w:w="109"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rFonts w:ascii="Times New Roman;Times;serif" w:hAnsi="Times New Roman;Times;serif"/>
                <w:i/>
                <w:sz w:val="14"/>
              </w:rPr>
            </w:pPr>
            <w:r>
              <w:rPr>
                <w:rFonts w:ascii="Times New Roman;Times;serif" w:hAnsi="Times New Roman;Times;serif"/>
                <w:i/>
                <w:sz w:val="14"/>
              </w:rPr>
              <w:t>2(f)</w:t>
            </w:r>
          </w:p>
        </w:tc>
        <w:tc>
          <w:tcPr>
            <w:tcW w:w="326" w:type="dxa"/>
            <w:tcBorders/>
            <w:shd w:fill="CCEEFF" w:val="clear"/>
            <w:vAlign w:val="center"/>
          </w:tcPr>
          <w:p>
            <w:pPr>
              <w:pStyle w:val="TableContents"/>
              <w:bidi w:val="0"/>
              <w:spacing w:before="0" w:after="0"/>
              <w:ind w:left="0" w:right="0" w:hanging="0"/>
              <w:jc w:val="left"/>
              <w:rPr/>
            </w:pPr>
            <w:r>
              <w:rPr/>
              <w:t> </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2,699,055</w:t>
            </w:r>
          </w:p>
        </w:tc>
        <w:tc>
          <w:tcPr>
            <w:tcW w:w="326"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2,777,206</w:t>
            </w:r>
          </w:p>
        </w:tc>
        <w:tc>
          <w:tcPr>
            <w:tcW w:w="326" w:type="dxa"/>
            <w:tcBorders/>
            <w:shd w:fill="CCEEFF" w:val="clear"/>
            <w:vAlign w:val="center"/>
          </w:tcPr>
          <w:p>
            <w:pPr>
              <w:pStyle w:val="TableContents"/>
              <w:bidi w:val="0"/>
              <w:spacing w:before="0" w:after="0"/>
              <w:ind w:left="0" w:right="0" w:hanging="0"/>
              <w:jc w:val="left"/>
              <w:rPr/>
            </w:pPr>
            <w:r>
              <w:rPr/>
              <w:t>​</w:t>
            </w:r>
          </w:p>
        </w:tc>
        <w:tc>
          <w:tcPr>
            <w:tcW w:w="94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391,161</w:t>
            </w:r>
          </w:p>
        </w:tc>
      </w:tr>
      <w:tr>
        <w:trPr/>
        <w:tc>
          <w:tcPr>
            <w:tcW w:w="595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Accounts receivable, net</w:t>
            </w:r>
          </w:p>
        </w:tc>
        <w:tc>
          <w:tcPr>
            <w:tcW w:w="109"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5,002,872</w:t>
            </w:r>
          </w:p>
        </w:tc>
        <w:tc>
          <w:tcPr>
            <w:tcW w:w="326"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6,422,417</w:t>
            </w:r>
          </w:p>
        </w:tc>
        <w:tc>
          <w:tcPr>
            <w:tcW w:w="326" w:type="dxa"/>
            <w:tcBorders/>
            <w:vAlign w:val="center"/>
          </w:tcPr>
          <w:p>
            <w:pPr>
              <w:pStyle w:val="TableContents"/>
              <w:bidi w:val="0"/>
              <w:spacing w:before="0" w:after="0"/>
              <w:ind w:left="0" w:right="0" w:hanging="0"/>
              <w:jc w:val="left"/>
              <w:rPr/>
            </w:pPr>
            <w:r>
              <w:rPr/>
              <w:t>​</w:t>
            </w:r>
          </w:p>
        </w:tc>
        <w:tc>
          <w:tcPr>
            <w:tcW w:w="94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904,579</w:t>
            </w:r>
          </w:p>
        </w:tc>
      </w:tr>
      <w:tr>
        <w:trPr/>
        <w:tc>
          <w:tcPr>
            <w:tcW w:w="59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Inventories</w:t>
            </w:r>
          </w:p>
        </w:tc>
        <w:tc>
          <w:tcPr>
            <w:tcW w:w="109"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rFonts w:ascii="Times New Roman;Times;serif" w:hAnsi="Times New Roman;Times;serif"/>
                <w:i/>
                <w:sz w:val="14"/>
              </w:rPr>
            </w:pPr>
            <w:r>
              <w:rPr>
                <w:rFonts w:ascii="Times New Roman;Times;serif" w:hAnsi="Times New Roman;Times;serif"/>
                <w:i/>
                <w:sz w:val="14"/>
              </w:rPr>
              <w:t>2(i)</w:t>
            </w:r>
          </w:p>
        </w:tc>
        <w:tc>
          <w:tcPr>
            <w:tcW w:w="326" w:type="dxa"/>
            <w:tcBorders/>
            <w:shd w:fill="CCEEFF" w:val="clear"/>
            <w:vAlign w:val="center"/>
          </w:tcPr>
          <w:p>
            <w:pPr>
              <w:pStyle w:val="TableContents"/>
              <w:bidi w:val="0"/>
              <w:spacing w:before="0" w:after="0"/>
              <w:ind w:left="0" w:right="0" w:hanging="0"/>
              <w:jc w:val="center"/>
              <w:rPr/>
            </w:pPr>
            <w:r>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993,636</w:t>
            </w:r>
          </w:p>
        </w:tc>
        <w:tc>
          <w:tcPr>
            <w:tcW w:w="326"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695,374</w:t>
            </w:r>
          </w:p>
        </w:tc>
        <w:tc>
          <w:tcPr>
            <w:tcW w:w="326" w:type="dxa"/>
            <w:tcBorders/>
            <w:shd w:fill="CCEEFF" w:val="clear"/>
            <w:vAlign w:val="center"/>
          </w:tcPr>
          <w:p>
            <w:pPr>
              <w:pStyle w:val="TableContents"/>
              <w:bidi w:val="0"/>
              <w:spacing w:before="0" w:after="0"/>
              <w:ind w:left="0" w:right="0" w:hanging="0"/>
              <w:jc w:val="left"/>
              <w:rPr/>
            </w:pPr>
            <w:r>
              <w:rPr/>
              <w:t>​</w:t>
            </w:r>
          </w:p>
        </w:tc>
        <w:tc>
          <w:tcPr>
            <w:tcW w:w="94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97,941</w:t>
            </w:r>
          </w:p>
        </w:tc>
      </w:tr>
      <w:tr>
        <w:trPr/>
        <w:tc>
          <w:tcPr>
            <w:tcW w:w="595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Prepayments and other current assets, net</w:t>
            </w:r>
          </w:p>
        </w:tc>
        <w:tc>
          <w:tcPr>
            <w:tcW w:w="109"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rFonts w:ascii="Times New Roman;Times;serif" w:hAnsi="Times New Roman;Times;serif"/>
                <w:i/>
                <w:sz w:val="14"/>
              </w:rPr>
            </w:pPr>
            <w:r>
              <w:rPr>
                <w:rFonts w:ascii="Times New Roman;Times;serif" w:hAnsi="Times New Roman;Times;serif"/>
                <w:i/>
                <w:sz w:val="14"/>
              </w:rPr>
              <w:t>6</w:t>
            </w:r>
          </w:p>
        </w:tc>
        <w:tc>
          <w:tcPr>
            <w:tcW w:w="326"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5,448,284</w:t>
            </w:r>
          </w:p>
        </w:tc>
        <w:tc>
          <w:tcPr>
            <w:tcW w:w="326"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6,076,595</w:t>
            </w:r>
          </w:p>
        </w:tc>
        <w:tc>
          <w:tcPr>
            <w:tcW w:w="326" w:type="dxa"/>
            <w:tcBorders/>
            <w:vAlign w:val="center"/>
          </w:tcPr>
          <w:p>
            <w:pPr>
              <w:pStyle w:val="TableContents"/>
              <w:bidi w:val="0"/>
              <w:spacing w:before="0" w:after="0"/>
              <w:ind w:left="0" w:right="0" w:hanging="0"/>
              <w:jc w:val="left"/>
              <w:rPr/>
            </w:pPr>
            <w:r>
              <w:rPr/>
              <w:t>​</w:t>
            </w:r>
          </w:p>
        </w:tc>
        <w:tc>
          <w:tcPr>
            <w:tcW w:w="94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855,871</w:t>
            </w:r>
          </w:p>
        </w:tc>
      </w:tr>
      <w:tr>
        <w:trPr/>
        <w:tc>
          <w:tcPr>
            <w:tcW w:w="59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Short-term investments</w:t>
            </w:r>
          </w:p>
        </w:tc>
        <w:tc>
          <w:tcPr>
            <w:tcW w:w="109"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rFonts w:ascii="Times New Roman;Times;serif" w:hAnsi="Times New Roman;Times;serif"/>
                <w:i/>
                <w:sz w:val="14"/>
              </w:rPr>
            </w:pPr>
            <w:r>
              <w:rPr>
                <w:rFonts w:ascii="Times New Roman;Times;serif" w:hAnsi="Times New Roman;Times;serif"/>
                <w:i/>
                <w:sz w:val="14"/>
              </w:rPr>
              <w:t>7</w:t>
            </w:r>
          </w:p>
        </w:tc>
        <w:tc>
          <w:tcPr>
            <w:tcW w:w="326" w:type="dxa"/>
            <w:tcBorders/>
            <w:shd w:fill="CCEEFF" w:val="clear"/>
            <w:vAlign w:val="center"/>
          </w:tcPr>
          <w:p>
            <w:pPr>
              <w:pStyle w:val="TableContents"/>
              <w:bidi w:val="0"/>
              <w:spacing w:before="0" w:after="0"/>
              <w:ind w:left="0" w:right="0" w:hanging="0"/>
              <w:jc w:val="left"/>
              <w:rPr/>
            </w:pPr>
            <w:r>
              <w:rPr/>
              <w:t> </w:t>
            </w:r>
          </w:p>
        </w:tc>
        <w:tc>
          <w:tcPr>
            <w:tcW w:w="8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7,622,673</w:t>
            </w:r>
          </w:p>
        </w:tc>
        <w:tc>
          <w:tcPr>
            <w:tcW w:w="326" w:type="dxa"/>
            <w:tcBorders/>
            <w:shd w:fill="CCEEFF" w:val="clear"/>
            <w:vAlign w:val="center"/>
          </w:tcPr>
          <w:p>
            <w:pPr>
              <w:pStyle w:val="TableContents"/>
              <w:bidi w:val="0"/>
              <w:spacing w:before="0" w:after="0"/>
              <w:ind w:left="0" w:right="0" w:hanging="0"/>
              <w:jc w:val="left"/>
              <w:rPr/>
            </w:pPr>
            <w:r>
              <w:rPr/>
              <w:t>​</w:t>
            </w:r>
          </w:p>
        </w:tc>
        <w:tc>
          <w:tcPr>
            <w:tcW w:w="8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4,436,057</w:t>
            </w:r>
          </w:p>
        </w:tc>
        <w:tc>
          <w:tcPr>
            <w:tcW w:w="326" w:type="dxa"/>
            <w:tcBorders/>
            <w:shd w:fill="CCEEFF" w:val="clear"/>
            <w:vAlign w:val="center"/>
          </w:tcPr>
          <w:p>
            <w:pPr>
              <w:pStyle w:val="TableContents"/>
              <w:bidi w:val="0"/>
              <w:spacing w:before="0" w:after="0"/>
              <w:ind w:left="0" w:right="0" w:hanging="0"/>
              <w:jc w:val="left"/>
              <w:rPr/>
            </w:pPr>
            <w:r>
              <w:rPr/>
              <w:t>​</w:t>
            </w:r>
          </w:p>
        </w:tc>
        <w:tc>
          <w:tcPr>
            <w:tcW w:w="9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624,806</w:t>
            </w:r>
          </w:p>
        </w:tc>
      </w:tr>
      <w:tr>
        <w:trPr/>
        <w:tc>
          <w:tcPr>
            <w:tcW w:w="595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current assets</w:t>
            </w:r>
          </w:p>
        </w:tc>
        <w:tc>
          <w:tcPr>
            <w:tcW w:w="109"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8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131,603,199</w:t>
            </w:r>
          </w:p>
        </w:tc>
        <w:tc>
          <w:tcPr>
            <w:tcW w:w="326" w:type="dxa"/>
            <w:tcBorders/>
            <w:vAlign w:val="center"/>
          </w:tcPr>
          <w:p>
            <w:pPr>
              <w:pStyle w:val="TableContents"/>
              <w:bidi w:val="0"/>
              <w:spacing w:before="0" w:after="0"/>
              <w:ind w:left="0" w:right="0" w:hanging="0"/>
              <w:jc w:val="left"/>
              <w:rPr/>
            </w:pPr>
            <w:r>
              <w:rPr/>
              <w:t>​</w:t>
            </w:r>
          </w:p>
        </w:tc>
        <w:tc>
          <w:tcPr>
            <w:tcW w:w="8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142,692,585</w:t>
            </w:r>
          </w:p>
        </w:tc>
        <w:tc>
          <w:tcPr>
            <w:tcW w:w="326" w:type="dxa"/>
            <w:tcBorders/>
            <w:vAlign w:val="center"/>
          </w:tcPr>
          <w:p>
            <w:pPr>
              <w:pStyle w:val="TableContents"/>
              <w:bidi w:val="0"/>
              <w:spacing w:before="0" w:after="0"/>
              <w:ind w:left="0" w:right="0" w:hanging="0"/>
              <w:jc w:val="left"/>
              <w:rPr/>
            </w:pPr>
            <w:r>
              <w:rPr/>
              <w:t>​</w:t>
            </w:r>
          </w:p>
        </w:tc>
        <w:tc>
          <w:tcPr>
            <w:tcW w:w="9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20,097,831</w:t>
            </w:r>
          </w:p>
        </w:tc>
      </w:tr>
      <w:tr>
        <w:trPr/>
        <w:tc>
          <w:tcPr>
            <w:tcW w:w="59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40" w:type="dxa"/>
            <w:tcBorders/>
            <w:shd w:fill="CCEEFF" w:val="clear"/>
            <w:vAlign w:val="center"/>
          </w:tcPr>
          <w:p>
            <w:pPr>
              <w:pStyle w:val="TableContents"/>
              <w:bidi w:val="0"/>
              <w:spacing w:before="0" w:after="0"/>
              <w:ind w:left="0" w:right="0" w:hanging="0"/>
              <w:jc w:val="right"/>
              <w:rPr/>
            </w:pPr>
            <w:r>
              <w:rPr/>
              <w:t>​</w:t>
            </w:r>
          </w:p>
        </w:tc>
      </w:tr>
      <w:tr>
        <w:trPr/>
        <w:tc>
          <w:tcPr>
            <w:tcW w:w="595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Non-current assets:</w:t>
            </w:r>
          </w:p>
        </w:tc>
        <w:tc>
          <w:tcPr>
            <w:tcW w:w="109"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40" w:type="dxa"/>
            <w:tcBorders/>
            <w:vAlign w:val="center"/>
          </w:tcPr>
          <w:p>
            <w:pPr>
              <w:pStyle w:val="TableContents"/>
              <w:bidi w:val="0"/>
              <w:spacing w:before="0" w:after="0"/>
              <w:ind w:left="0" w:right="0" w:hanging="0"/>
              <w:jc w:val="right"/>
              <w:rPr/>
            </w:pPr>
            <w:r>
              <w:rPr/>
              <w:t>​</w:t>
            </w:r>
          </w:p>
        </w:tc>
      </w:tr>
      <w:tr>
        <w:trPr/>
        <w:tc>
          <w:tcPr>
            <w:tcW w:w="59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Property, equipment and software, net</w:t>
            </w:r>
          </w:p>
        </w:tc>
        <w:tc>
          <w:tcPr>
            <w:tcW w:w="109"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rFonts w:ascii="Times New Roman;Times;serif" w:hAnsi="Times New Roman;Times;serif"/>
                <w:i/>
                <w:sz w:val="14"/>
              </w:rPr>
            </w:pPr>
            <w:r>
              <w:rPr>
                <w:rFonts w:ascii="Times New Roman;Times;serif" w:hAnsi="Times New Roman;Times;serif"/>
                <w:i/>
                <w:sz w:val="14"/>
              </w:rPr>
              <w:t>8</w:t>
            </w:r>
          </w:p>
        </w:tc>
        <w:tc>
          <w:tcPr>
            <w:tcW w:w="326" w:type="dxa"/>
            <w:tcBorders/>
            <w:shd w:fill="CCEEFF" w:val="clear"/>
            <w:vAlign w:val="center"/>
          </w:tcPr>
          <w:p>
            <w:pPr>
              <w:pStyle w:val="TableContents"/>
              <w:bidi w:val="0"/>
              <w:spacing w:before="0" w:after="0"/>
              <w:ind w:left="0" w:right="0" w:hanging="0"/>
              <w:jc w:val="left"/>
              <w:rPr/>
            </w:pPr>
            <w:r>
              <w:rPr/>
              <w:t> </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6,342,330</w:t>
            </w:r>
          </w:p>
        </w:tc>
        <w:tc>
          <w:tcPr>
            <w:tcW w:w="326"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8,075,044</w:t>
            </w:r>
          </w:p>
        </w:tc>
        <w:tc>
          <w:tcPr>
            <w:tcW w:w="326" w:type="dxa"/>
            <w:tcBorders/>
            <w:shd w:fill="CCEEFF" w:val="clear"/>
            <w:vAlign w:val="center"/>
          </w:tcPr>
          <w:p>
            <w:pPr>
              <w:pStyle w:val="TableContents"/>
              <w:bidi w:val="0"/>
              <w:spacing w:before="0" w:after="0"/>
              <w:ind w:left="0" w:right="0" w:hanging="0"/>
              <w:jc w:val="left"/>
              <w:rPr/>
            </w:pPr>
            <w:r>
              <w:rPr/>
              <w:t>​</w:t>
            </w:r>
          </w:p>
        </w:tc>
        <w:tc>
          <w:tcPr>
            <w:tcW w:w="94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1,137,346</w:t>
            </w:r>
          </w:p>
        </w:tc>
      </w:tr>
      <w:tr>
        <w:trPr/>
        <w:tc>
          <w:tcPr>
            <w:tcW w:w="595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Land use rights, net</w:t>
            </w:r>
          </w:p>
        </w:tc>
        <w:tc>
          <w:tcPr>
            <w:tcW w:w="109"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rFonts w:ascii="Times New Roman;Times;serif" w:hAnsi="Times New Roman;Times;serif"/>
                <w:i/>
                <w:sz w:val="14"/>
              </w:rPr>
            </w:pPr>
            <w:r>
              <w:rPr>
                <w:rFonts w:ascii="Times New Roman;Times;serif" w:hAnsi="Times New Roman;Times;serif"/>
                <w:i/>
                <w:sz w:val="14"/>
              </w:rPr>
              <w:t>9</w:t>
            </w:r>
          </w:p>
        </w:tc>
        <w:tc>
          <w:tcPr>
            <w:tcW w:w="326"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4,121,767</w:t>
            </w:r>
          </w:p>
        </w:tc>
        <w:tc>
          <w:tcPr>
            <w:tcW w:w="326"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4,075,143</w:t>
            </w:r>
          </w:p>
        </w:tc>
        <w:tc>
          <w:tcPr>
            <w:tcW w:w="326" w:type="dxa"/>
            <w:tcBorders/>
            <w:vAlign w:val="center"/>
          </w:tcPr>
          <w:p>
            <w:pPr>
              <w:pStyle w:val="TableContents"/>
              <w:bidi w:val="0"/>
              <w:spacing w:before="0" w:after="0"/>
              <w:ind w:left="0" w:right="0" w:hanging="0"/>
              <w:jc w:val="left"/>
              <w:rPr/>
            </w:pPr>
            <w:r>
              <w:rPr/>
              <w:t>​</w:t>
            </w:r>
          </w:p>
        </w:tc>
        <w:tc>
          <w:tcPr>
            <w:tcW w:w="94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573,972</w:t>
            </w:r>
          </w:p>
        </w:tc>
      </w:tr>
      <w:tr>
        <w:trPr/>
        <w:tc>
          <w:tcPr>
            <w:tcW w:w="59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Operating lease right-of-use assets, net</w:t>
            </w:r>
          </w:p>
        </w:tc>
        <w:tc>
          <w:tcPr>
            <w:tcW w:w="109"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rFonts w:ascii="Times New Roman;Times;serif" w:hAnsi="Times New Roman;Times;serif"/>
                <w:i/>
                <w:sz w:val="14"/>
              </w:rPr>
            </w:pPr>
            <w:r>
              <w:rPr>
                <w:rFonts w:ascii="Times New Roman;Times;serif" w:hAnsi="Times New Roman;Times;serif"/>
                <w:i/>
                <w:sz w:val="14"/>
              </w:rPr>
              <w:t>10</w:t>
            </w:r>
          </w:p>
        </w:tc>
        <w:tc>
          <w:tcPr>
            <w:tcW w:w="326"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887,977</w:t>
            </w:r>
          </w:p>
        </w:tc>
        <w:tc>
          <w:tcPr>
            <w:tcW w:w="326"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749,275</w:t>
            </w:r>
          </w:p>
        </w:tc>
        <w:tc>
          <w:tcPr>
            <w:tcW w:w="326" w:type="dxa"/>
            <w:tcBorders/>
            <w:shd w:fill="CCEEFF" w:val="clear"/>
            <w:vAlign w:val="center"/>
          </w:tcPr>
          <w:p>
            <w:pPr>
              <w:pStyle w:val="TableContents"/>
              <w:bidi w:val="0"/>
              <w:spacing w:before="0" w:after="0"/>
              <w:ind w:left="0" w:right="0" w:hanging="0"/>
              <w:jc w:val="left"/>
              <w:rPr/>
            </w:pPr>
            <w:r>
              <w:rPr/>
              <w:t>​</w:t>
            </w:r>
          </w:p>
        </w:tc>
        <w:tc>
          <w:tcPr>
            <w:tcW w:w="94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105,533</w:t>
            </w:r>
          </w:p>
        </w:tc>
      </w:tr>
      <w:tr>
        <w:trPr/>
        <w:tc>
          <w:tcPr>
            <w:tcW w:w="595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Deferred tax assets</w:t>
            </w:r>
          </w:p>
        </w:tc>
        <w:tc>
          <w:tcPr>
            <w:tcW w:w="109"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rFonts w:ascii="Times New Roman;Times;serif" w:hAnsi="Times New Roman;Times;serif"/>
                <w:i/>
                <w:sz w:val="14"/>
              </w:rPr>
            </w:pPr>
            <w:r>
              <w:rPr>
                <w:rFonts w:ascii="Times New Roman;Times;serif" w:hAnsi="Times New Roman;Times;serif"/>
                <w:i/>
                <w:sz w:val="14"/>
              </w:rPr>
              <w:t>13(c)</w:t>
            </w:r>
          </w:p>
        </w:tc>
        <w:tc>
          <w:tcPr>
            <w:tcW w:w="326"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1,480,789</w:t>
            </w:r>
          </w:p>
        </w:tc>
        <w:tc>
          <w:tcPr>
            <w:tcW w:w="326"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1,560,088</w:t>
            </w:r>
          </w:p>
        </w:tc>
        <w:tc>
          <w:tcPr>
            <w:tcW w:w="326" w:type="dxa"/>
            <w:tcBorders/>
            <w:vAlign w:val="center"/>
          </w:tcPr>
          <w:p>
            <w:pPr>
              <w:pStyle w:val="TableContents"/>
              <w:bidi w:val="0"/>
              <w:spacing w:before="0" w:after="0"/>
              <w:ind w:left="0" w:right="0" w:hanging="0"/>
              <w:jc w:val="left"/>
              <w:rPr/>
            </w:pPr>
            <w:r>
              <w:rPr/>
              <w:t>​</w:t>
            </w:r>
          </w:p>
        </w:tc>
        <w:tc>
          <w:tcPr>
            <w:tcW w:w="94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219,734</w:t>
            </w:r>
          </w:p>
        </w:tc>
      </w:tr>
      <w:tr>
        <w:trPr/>
        <w:tc>
          <w:tcPr>
            <w:tcW w:w="59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Time deposits</w:t>
            </w:r>
          </w:p>
        </w:tc>
        <w:tc>
          <w:tcPr>
            <w:tcW w:w="109"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rFonts w:ascii="Times New Roman;Times;serif" w:hAnsi="Times New Roman;Times;serif"/>
                <w:i/>
                <w:sz w:val="14"/>
              </w:rPr>
            </w:pPr>
            <w:r>
              <w:rPr>
                <w:rFonts w:ascii="Times New Roman;Times;serif" w:hAnsi="Times New Roman;Times;serif"/>
                <w:i/>
                <w:sz w:val="14"/>
              </w:rPr>
              <w:t>2(f)</w:t>
            </w:r>
          </w:p>
        </w:tc>
        <w:tc>
          <w:tcPr>
            <w:tcW w:w="326" w:type="dxa"/>
            <w:tcBorders/>
            <w:shd w:fill="CCEEFF" w:val="clear"/>
            <w:vAlign w:val="center"/>
          </w:tcPr>
          <w:p>
            <w:pPr>
              <w:pStyle w:val="TableContents"/>
              <w:bidi w:val="0"/>
              <w:spacing w:before="0" w:after="0"/>
              <w:ind w:left="0" w:right="0" w:hanging="0"/>
              <w:jc w:val="left"/>
              <w:rPr/>
            </w:pPr>
            <w:r>
              <w:rPr/>
              <w:t> </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2,973,840</w:t>
            </w:r>
          </w:p>
        </w:tc>
        <w:tc>
          <w:tcPr>
            <w:tcW w:w="326"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1,050,000</w:t>
            </w:r>
          </w:p>
        </w:tc>
        <w:tc>
          <w:tcPr>
            <w:tcW w:w="326" w:type="dxa"/>
            <w:tcBorders/>
            <w:shd w:fill="CCEEFF" w:val="clear"/>
            <w:vAlign w:val="center"/>
          </w:tcPr>
          <w:p>
            <w:pPr>
              <w:pStyle w:val="TableContents"/>
              <w:bidi w:val="0"/>
              <w:spacing w:before="0" w:after="0"/>
              <w:ind w:left="0" w:right="0" w:hanging="0"/>
              <w:jc w:val="left"/>
              <w:rPr/>
            </w:pPr>
            <w:r>
              <w:rPr/>
              <w:t>​</w:t>
            </w:r>
          </w:p>
        </w:tc>
        <w:tc>
          <w:tcPr>
            <w:tcW w:w="94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147,889</w:t>
            </w:r>
          </w:p>
        </w:tc>
      </w:tr>
      <w:tr>
        <w:trPr/>
        <w:tc>
          <w:tcPr>
            <w:tcW w:w="595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Restricted cash</w:t>
            </w:r>
          </w:p>
        </w:tc>
        <w:tc>
          <w:tcPr>
            <w:tcW w:w="109"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rFonts w:ascii="Times New Roman;Times;serif" w:hAnsi="Times New Roman;Times;serif"/>
                <w:i/>
                <w:sz w:val="14"/>
              </w:rPr>
            </w:pPr>
            <w:r>
              <w:rPr>
                <w:rFonts w:ascii="Times New Roman;Times;serif" w:hAnsi="Times New Roman;Times;serif"/>
                <w:i/>
                <w:sz w:val="14"/>
              </w:rPr>
              <w:t>2(f)</w:t>
            </w:r>
          </w:p>
        </w:tc>
        <w:tc>
          <w:tcPr>
            <w:tcW w:w="326"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270</w:t>
            </w:r>
          </w:p>
        </w:tc>
        <w:tc>
          <w:tcPr>
            <w:tcW w:w="326"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550</w:t>
            </w:r>
          </w:p>
        </w:tc>
        <w:tc>
          <w:tcPr>
            <w:tcW w:w="326" w:type="dxa"/>
            <w:tcBorders/>
            <w:vAlign w:val="center"/>
          </w:tcPr>
          <w:p>
            <w:pPr>
              <w:pStyle w:val="TableContents"/>
              <w:bidi w:val="0"/>
              <w:spacing w:before="0" w:after="0"/>
              <w:ind w:left="0" w:right="0" w:hanging="0"/>
              <w:jc w:val="left"/>
              <w:rPr/>
            </w:pPr>
            <w:r>
              <w:rPr/>
              <w:t>​</w:t>
            </w:r>
          </w:p>
        </w:tc>
        <w:tc>
          <w:tcPr>
            <w:tcW w:w="94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77</w:t>
            </w:r>
          </w:p>
        </w:tc>
      </w:tr>
      <w:tr>
        <w:trPr/>
        <w:tc>
          <w:tcPr>
            <w:tcW w:w="59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Long-term investments</w:t>
            </w:r>
          </w:p>
        </w:tc>
        <w:tc>
          <w:tcPr>
            <w:tcW w:w="109"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rFonts w:ascii="Times New Roman;Times;serif" w:hAnsi="Times New Roman;Times;serif"/>
                <w:i/>
                <w:sz w:val="14"/>
              </w:rPr>
            </w:pPr>
            <w:r>
              <w:rPr>
                <w:rFonts w:ascii="Times New Roman;Times;serif" w:hAnsi="Times New Roman;Times;serif"/>
                <w:i/>
                <w:sz w:val="14"/>
              </w:rPr>
              <w:t>11</w:t>
            </w:r>
          </w:p>
        </w:tc>
        <w:tc>
          <w:tcPr>
            <w:tcW w:w="326"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18,544,358</w:t>
            </w:r>
          </w:p>
        </w:tc>
        <w:tc>
          <w:tcPr>
            <w:tcW w:w="326"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21,783,187</w:t>
            </w:r>
          </w:p>
        </w:tc>
        <w:tc>
          <w:tcPr>
            <w:tcW w:w="326" w:type="dxa"/>
            <w:tcBorders/>
            <w:shd w:fill="CCEEFF" w:val="clear"/>
            <w:vAlign w:val="center"/>
          </w:tcPr>
          <w:p>
            <w:pPr>
              <w:pStyle w:val="TableContents"/>
              <w:bidi w:val="0"/>
              <w:spacing w:before="0" w:after="0"/>
              <w:ind w:left="0" w:right="0" w:hanging="0"/>
              <w:jc w:val="left"/>
              <w:rPr/>
            </w:pPr>
            <w:r>
              <w:rPr/>
              <w:t>​</w:t>
            </w:r>
          </w:p>
        </w:tc>
        <w:tc>
          <w:tcPr>
            <w:tcW w:w="94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3,068,098</w:t>
            </w:r>
          </w:p>
        </w:tc>
      </w:tr>
      <w:tr>
        <w:trPr/>
        <w:tc>
          <w:tcPr>
            <w:tcW w:w="595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long-term assets</w:t>
            </w:r>
          </w:p>
        </w:tc>
        <w:tc>
          <w:tcPr>
            <w:tcW w:w="109"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rFonts w:ascii="Times New Roman;Times;serif" w:hAnsi="Times New Roman;Times;serif"/>
                <w:i/>
                <w:sz w:val="14"/>
              </w:rPr>
            </w:pPr>
            <w:r>
              <w:rPr>
                <w:rFonts w:ascii="Times New Roman;Times;serif" w:hAnsi="Times New Roman;Times;serif"/>
                <w:i/>
                <w:sz w:val="14"/>
              </w:rPr>
              <w:t>12</w:t>
            </w:r>
          </w:p>
        </w:tc>
        <w:tc>
          <w:tcPr>
            <w:tcW w:w="326" w:type="dxa"/>
            <w:tcBorders/>
            <w:vAlign w:val="center"/>
          </w:tcPr>
          <w:p>
            <w:pPr>
              <w:pStyle w:val="TableContents"/>
              <w:bidi w:val="0"/>
              <w:spacing w:before="0" w:after="0"/>
              <w:ind w:left="0" w:right="0" w:hanging="0"/>
              <w:jc w:val="left"/>
              <w:rPr/>
            </w:pPr>
            <w:r>
              <w:rPr/>
              <w:t> </w:t>
            </w:r>
          </w:p>
        </w:tc>
        <w:tc>
          <w:tcPr>
            <w:tcW w:w="8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6,806,455</w:t>
            </w:r>
          </w:p>
        </w:tc>
        <w:tc>
          <w:tcPr>
            <w:tcW w:w="326" w:type="dxa"/>
            <w:tcBorders/>
            <w:vAlign w:val="center"/>
          </w:tcPr>
          <w:p>
            <w:pPr>
              <w:pStyle w:val="TableContents"/>
              <w:bidi w:val="0"/>
              <w:spacing w:before="0" w:after="0"/>
              <w:ind w:left="0" w:right="0" w:hanging="0"/>
              <w:jc w:val="left"/>
              <w:rPr/>
            </w:pPr>
            <w:r>
              <w:rPr/>
              <w:t>​</w:t>
            </w:r>
          </w:p>
        </w:tc>
        <w:tc>
          <w:tcPr>
            <w:tcW w:w="8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5,939,106</w:t>
            </w:r>
          </w:p>
        </w:tc>
        <w:tc>
          <w:tcPr>
            <w:tcW w:w="326" w:type="dxa"/>
            <w:tcBorders/>
            <w:vAlign w:val="center"/>
          </w:tcPr>
          <w:p>
            <w:pPr>
              <w:pStyle w:val="TableContents"/>
              <w:bidi w:val="0"/>
              <w:spacing w:before="0" w:after="0"/>
              <w:ind w:left="0" w:right="0" w:hanging="0"/>
              <w:jc w:val="left"/>
              <w:rPr/>
            </w:pPr>
            <w:r>
              <w:rPr/>
              <w:t>​</w:t>
            </w:r>
          </w:p>
        </w:tc>
        <w:tc>
          <w:tcPr>
            <w:tcW w:w="9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836,505</w:t>
            </w:r>
          </w:p>
        </w:tc>
      </w:tr>
      <w:tr>
        <w:trPr/>
        <w:tc>
          <w:tcPr>
            <w:tcW w:w="59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non-current assets</w:t>
            </w:r>
          </w:p>
        </w:tc>
        <w:tc>
          <w:tcPr>
            <w:tcW w:w="109"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41,157,786</w:t>
            </w:r>
          </w:p>
        </w:tc>
        <w:tc>
          <w:tcPr>
            <w:tcW w:w="326" w:type="dxa"/>
            <w:tcBorders/>
            <w:shd w:fill="CCEEFF" w:val="clear"/>
            <w:vAlign w:val="center"/>
          </w:tcPr>
          <w:p>
            <w:pPr>
              <w:pStyle w:val="TableContents"/>
              <w:bidi w:val="0"/>
              <w:spacing w:before="0" w:after="0"/>
              <w:ind w:left="0" w:right="0" w:hanging="0"/>
              <w:jc w:val="left"/>
              <w:rPr/>
            </w:pPr>
            <w:r>
              <w:rPr/>
              <w:t>​</w:t>
            </w:r>
          </w:p>
        </w:tc>
        <w:tc>
          <w:tcPr>
            <w:tcW w:w="8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43,232,393</w:t>
            </w:r>
          </w:p>
        </w:tc>
        <w:tc>
          <w:tcPr>
            <w:tcW w:w="326" w:type="dxa"/>
            <w:tcBorders/>
            <w:shd w:fill="CCEEFF" w:val="clear"/>
            <w:vAlign w:val="center"/>
          </w:tcPr>
          <w:p>
            <w:pPr>
              <w:pStyle w:val="TableContents"/>
              <w:bidi w:val="0"/>
              <w:spacing w:before="0" w:after="0"/>
              <w:ind w:left="0" w:right="0" w:hanging="0"/>
              <w:jc w:val="left"/>
              <w:rPr/>
            </w:pPr>
            <w:r>
              <w:rPr/>
              <w:t>​</w:t>
            </w:r>
          </w:p>
        </w:tc>
        <w:tc>
          <w:tcPr>
            <w:tcW w:w="9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6,089,154</w:t>
            </w:r>
          </w:p>
        </w:tc>
      </w:tr>
      <w:tr>
        <w:trPr/>
        <w:tc>
          <w:tcPr>
            <w:tcW w:w="59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40" w:type="dxa"/>
            <w:tcBorders/>
            <w:vAlign w:val="center"/>
          </w:tcPr>
          <w:p>
            <w:pPr>
              <w:pStyle w:val="TableContents"/>
              <w:bidi w:val="0"/>
              <w:spacing w:before="0" w:after="0"/>
              <w:ind w:left="0" w:right="0" w:hanging="0"/>
              <w:jc w:val="right"/>
              <w:rPr/>
            </w:pPr>
            <w:r>
              <w:rPr/>
              <w:t>​</w:t>
            </w:r>
          </w:p>
        </w:tc>
      </w:tr>
      <w:tr>
        <w:trPr/>
        <w:tc>
          <w:tcPr>
            <w:tcW w:w="59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assets</w:t>
            </w:r>
          </w:p>
        </w:tc>
        <w:tc>
          <w:tcPr>
            <w:tcW w:w="109"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172,760,985</w:t>
            </w:r>
          </w:p>
        </w:tc>
        <w:tc>
          <w:tcPr>
            <w:tcW w:w="326" w:type="dxa"/>
            <w:tcBorders/>
            <w:shd w:fill="CCEEFF" w:val="clear"/>
            <w:vAlign w:val="center"/>
          </w:tcPr>
          <w:p>
            <w:pPr>
              <w:pStyle w:val="TableContents"/>
              <w:bidi w:val="0"/>
              <w:spacing w:before="0" w:after="0"/>
              <w:ind w:left="0" w:right="0" w:hanging="0"/>
              <w:jc w:val="left"/>
              <w:rPr/>
            </w:pPr>
            <w:r>
              <w:rPr/>
              <w:t>​</w:t>
            </w:r>
          </w:p>
        </w:tc>
        <w:tc>
          <w:tcPr>
            <w:tcW w:w="8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185,924,978</w:t>
            </w:r>
          </w:p>
        </w:tc>
        <w:tc>
          <w:tcPr>
            <w:tcW w:w="326" w:type="dxa"/>
            <w:tcBorders/>
            <w:shd w:fill="CCEEFF" w:val="clear"/>
            <w:vAlign w:val="center"/>
          </w:tcPr>
          <w:p>
            <w:pPr>
              <w:pStyle w:val="TableContents"/>
              <w:bidi w:val="0"/>
              <w:spacing w:before="0" w:after="0"/>
              <w:ind w:left="0" w:right="0" w:hanging="0"/>
              <w:jc w:val="left"/>
              <w:rPr/>
            </w:pPr>
            <w:r>
              <w:rPr/>
              <w:t>​</w:t>
            </w:r>
          </w:p>
        </w:tc>
        <w:tc>
          <w:tcPr>
            <w:tcW w:w="9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26,186,985</w:t>
            </w:r>
          </w:p>
        </w:tc>
      </w:tr>
      <w:tr>
        <w:trPr/>
        <w:tc>
          <w:tcPr>
            <w:tcW w:w="59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40" w:type="dxa"/>
            <w:tcBorders/>
            <w:vAlign w:val="center"/>
          </w:tcPr>
          <w:p>
            <w:pPr>
              <w:pStyle w:val="TableContents"/>
              <w:bidi w:val="0"/>
              <w:spacing w:before="0" w:after="0"/>
              <w:ind w:left="0" w:right="0" w:hanging="0"/>
              <w:jc w:val="right"/>
              <w:rPr/>
            </w:pPr>
            <w:r>
              <w:rPr/>
              <w:t>​</w:t>
            </w:r>
          </w:p>
        </w:tc>
      </w:tr>
      <w:tr>
        <w:trPr/>
        <w:tc>
          <w:tcPr>
            <w:tcW w:w="595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Liabilities, Redeemable noncontrolling interests and Shareholders’ equity</w:t>
            </w:r>
          </w:p>
        </w:tc>
        <w:tc>
          <w:tcPr>
            <w:tcW w:w="109"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40" w:type="dxa"/>
            <w:tcBorders/>
            <w:shd w:fill="CCEEFF" w:val="clear"/>
            <w:vAlign w:val="center"/>
          </w:tcPr>
          <w:p>
            <w:pPr>
              <w:pStyle w:val="TableContents"/>
              <w:bidi w:val="0"/>
              <w:spacing w:before="0" w:after="0"/>
              <w:ind w:left="0" w:right="0" w:hanging="0"/>
              <w:jc w:val="right"/>
              <w:rPr/>
            </w:pPr>
            <w:r>
              <w:rPr/>
              <w:t>​</w:t>
            </w:r>
          </w:p>
        </w:tc>
      </w:tr>
      <w:tr>
        <w:trPr/>
        <w:tc>
          <w:tcPr>
            <w:tcW w:w="595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Current liabilities: </w:t>
            </w:r>
          </w:p>
        </w:tc>
        <w:tc>
          <w:tcPr>
            <w:tcW w:w="109"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40" w:type="dxa"/>
            <w:tcBorders/>
            <w:vAlign w:val="center"/>
          </w:tcPr>
          <w:p>
            <w:pPr>
              <w:pStyle w:val="TableContents"/>
              <w:bidi w:val="0"/>
              <w:spacing w:before="0" w:after="0"/>
              <w:ind w:left="0" w:right="0" w:hanging="0"/>
              <w:jc w:val="right"/>
              <w:rPr/>
            </w:pPr>
            <w:r>
              <w:rPr/>
              <w:t>​</w:t>
            </w:r>
          </w:p>
        </w:tc>
      </w:tr>
      <w:tr>
        <w:trPr/>
        <w:tc>
          <w:tcPr>
            <w:tcW w:w="59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Accounts payable</w:t>
            </w:r>
          </w:p>
        </w:tc>
        <w:tc>
          <w:tcPr>
            <w:tcW w:w="109"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1,507,141</w:t>
            </w:r>
          </w:p>
        </w:tc>
        <w:tc>
          <w:tcPr>
            <w:tcW w:w="326" w:type="dxa"/>
            <w:tcBorders/>
            <w:shd w:fill="CCEEFF" w:val="clear"/>
            <w:vAlign w:val="center"/>
          </w:tcPr>
          <w:p>
            <w:pPr>
              <w:pStyle w:val="TableContents"/>
              <w:bidi w:val="0"/>
              <w:spacing w:before="0" w:after="0"/>
              <w:ind w:left="0" w:right="0" w:hanging="0"/>
              <w:jc w:val="left"/>
              <w:rPr/>
            </w:pPr>
            <w:r>
              <w:rPr/>
              <w:t> </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881,016</w:t>
            </w:r>
          </w:p>
        </w:tc>
        <w:tc>
          <w:tcPr>
            <w:tcW w:w="326" w:type="dxa"/>
            <w:tcBorders/>
            <w:shd w:fill="CCEEFF" w:val="clear"/>
            <w:vAlign w:val="center"/>
          </w:tcPr>
          <w:p>
            <w:pPr>
              <w:pStyle w:val="TableContents"/>
              <w:bidi w:val="0"/>
              <w:spacing w:before="0" w:after="0"/>
              <w:ind w:left="0" w:right="0" w:hanging="0"/>
              <w:jc w:val="left"/>
              <w:rPr/>
            </w:pPr>
            <w:r>
              <w:rPr/>
              <w:t>​</w:t>
            </w:r>
          </w:p>
        </w:tc>
        <w:tc>
          <w:tcPr>
            <w:tcW w:w="94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124,089</w:t>
            </w:r>
          </w:p>
        </w:tc>
      </w:tr>
      <w:tr>
        <w:trPr/>
        <w:tc>
          <w:tcPr>
            <w:tcW w:w="595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Salary and welfare payables</w:t>
            </w:r>
          </w:p>
        </w:tc>
        <w:tc>
          <w:tcPr>
            <w:tcW w:w="109"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4,732,941</w:t>
            </w:r>
          </w:p>
        </w:tc>
        <w:tc>
          <w:tcPr>
            <w:tcW w:w="326"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4,857,206</w:t>
            </w:r>
          </w:p>
        </w:tc>
        <w:tc>
          <w:tcPr>
            <w:tcW w:w="326" w:type="dxa"/>
            <w:tcBorders/>
            <w:vAlign w:val="center"/>
          </w:tcPr>
          <w:p>
            <w:pPr>
              <w:pStyle w:val="TableContents"/>
              <w:bidi w:val="0"/>
              <w:spacing w:before="0" w:after="0"/>
              <w:ind w:left="0" w:right="0" w:hanging="0"/>
              <w:jc w:val="left"/>
              <w:rPr/>
            </w:pPr>
            <w:r>
              <w:rPr/>
              <w:t>​</w:t>
            </w:r>
          </w:p>
        </w:tc>
        <w:tc>
          <w:tcPr>
            <w:tcW w:w="94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684,123</w:t>
            </w:r>
          </w:p>
        </w:tc>
      </w:tr>
      <w:tr>
        <w:trPr/>
        <w:tc>
          <w:tcPr>
            <w:tcW w:w="59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Taxes payable</w:t>
            </w:r>
          </w:p>
        </w:tc>
        <w:tc>
          <w:tcPr>
            <w:tcW w:w="109"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rFonts w:ascii="Times New Roman;Times;serif" w:hAnsi="Times New Roman;Times;serif"/>
                <w:i/>
                <w:sz w:val="14"/>
              </w:rPr>
            </w:pPr>
            <w:r>
              <w:rPr>
                <w:rFonts w:ascii="Times New Roman;Times;serif" w:hAnsi="Times New Roman;Times;serif"/>
                <w:i/>
                <w:sz w:val="14"/>
              </w:rPr>
              <w:t>14</w:t>
            </w:r>
          </w:p>
        </w:tc>
        <w:tc>
          <w:tcPr>
            <w:tcW w:w="326" w:type="dxa"/>
            <w:tcBorders/>
            <w:shd w:fill="CCEEFF" w:val="clear"/>
            <w:vAlign w:val="center"/>
          </w:tcPr>
          <w:p>
            <w:pPr>
              <w:pStyle w:val="TableContents"/>
              <w:bidi w:val="0"/>
              <w:spacing w:before="0" w:after="0"/>
              <w:ind w:left="0" w:right="0" w:hanging="0"/>
              <w:jc w:val="left"/>
              <w:rPr/>
            </w:pPr>
            <w:r>
              <w:rPr/>
              <w:t> </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2,813,096</w:t>
            </w:r>
          </w:p>
        </w:tc>
        <w:tc>
          <w:tcPr>
            <w:tcW w:w="326"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2,571,534</w:t>
            </w:r>
          </w:p>
        </w:tc>
        <w:tc>
          <w:tcPr>
            <w:tcW w:w="326" w:type="dxa"/>
            <w:tcBorders/>
            <w:shd w:fill="CCEEFF" w:val="clear"/>
            <w:vAlign w:val="center"/>
          </w:tcPr>
          <w:p>
            <w:pPr>
              <w:pStyle w:val="TableContents"/>
              <w:bidi w:val="0"/>
              <w:spacing w:before="0" w:after="0"/>
              <w:ind w:left="0" w:right="0" w:hanging="0"/>
              <w:jc w:val="left"/>
              <w:rPr/>
            </w:pPr>
            <w:r>
              <w:rPr/>
              <w:t>​</w:t>
            </w:r>
          </w:p>
        </w:tc>
        <w:tc>
          <w:tcPr>
            <w:tcW w:w="94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362,193</w:t>
            </w:r>
          </w:p>
        </w:tc>
      </w:tr>
      <w:tr>
        <w:trPr/>
        <w:tc>
          <w:tcPr>
            <w:tcW w:w="595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Short-term loans</w:t>
            </w:r>
          </w:p>
        </w:tc>
        <w:tc>
          <w:tcPr>
            <w:tcW w:w="109"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rFonts w:ascii="Times New Roman;Times;serif" w:hAnsi="Times New Roman;Times;serif"/>
                <w:i/>
                <w:sz w:val="14"/>
              </w:rPr>
            </w:pPr>
            <w:r>
              <w:rPr>
                <w:rFonts w:ascii="Times New Roman;Times;serif" w:hAnsi="Times New Roman;Times;serif"/>
                <w:i/>
                <w:sz w:val="14"/>
              </w:rPr>
              <w:t>15</w:t>
            </w:r>
          </w:p>
        </w:tc>
        <w:tc>
          <w:tcPr>
            <w:tcW w:w="326"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23,875,704</w:t>
            </w:r>
          </w:p>
        </w:tc>
        <w:tc>
          <w:tcPr>
            <w:tcW w:w="326"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19,240,163</w:t>
            </w:r>
          </w:p>
        </w:tc>
        <w:tc>
          <w:tcPr>
            <w:tcW w:w="326" w:type="dxa"/>
            <w:tcBorders/>
            <w:vAlign w:val="center"/>
          </w:tcPr>
          <w:p>
            <w:pPr>
              <w:pStyle w:val="TableContents"/>
              <w:bidi w:val="0"/>
              <w:spacing w:before="0" w:after="0"/>
              <w:ind w:left="0" w:right="0" w:hanging="0"/>
              <w:jc w:val="left"/>
              <w:rPr/>
            </w:pPr>
            <w:r>
              <w:rPr/>
              <w:t>​</w:t>
            </w:r>
          </w:p>
        </w:tc>
        <w:tc>
          <w:tcPr>
            <w:tcW w:w="94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2,709,920</w:t>
            </w:r>
          </w:p>
        </w:tc>
      </w:tr>
      <w:tr>
        <w:trPr/>
        <w:tc>
          <w:tcPr>
            <w:tcW w:w="59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Contract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rFonts w:ascii="Times New Roman;Times;serif" w:hAnsi="Times New Roman;Times;serif"/>
                <w:i/>
                <w:sz w:val="14"/>
              </w:rPr>
            </w:pPr>
            <w:r>
              <w:rPr>
                <w:rFonts w:ascii="Times New Roman;Times;serif" w:hAnsi="Times New Roman;Times;serif"/>
                <w:i/>
                <w:sz w:val="14"/>
              </w:rPr>
              <w:t>16</w:t>
            </w:r>
          </w:p>
        </w:tc>
        <w:tc>
          <w:tcPr>
            <w:tcW w:w="326" w:type="dxa"/>
            <w:tcBorders/>
            <w:shd w:fill="CCEEFF" w:val="clear"/>
            <w:vAlign w:val="center"/>
          </w:tcPr>
          <w:p>
            <w:pPr>
              <w:pStyle w:val="TableContents"/>
              <w:bidi w:val="0"/>
              <w:spacing w:before="0" w:after="0"/>
              <w:ind w:left="0" w:right="0" w:hanging="0"/>
              <w:jc w:val="left"/>
              <w:rPr/>
            </w:pPr>
            <w:r>
              <w:rPr/>
              <w:t> </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12,518,890</w:t>
            </w:r>
          </w:p>
        </w:tc>
        <w:tc>
          <w:tcPr>
            <w:tcW w:w="326" w:type="dxa"/>
            <w:tcBorders/>
            <w:shd w:fill="CCEEFF" w:val="clear"/>
            <w:vAlign w:val="center"/>
          </w:tcPr>
          <w:p>
            <w:pPr>
              <w:pStyle w:val="TableContents"/>
              <w:bidi w:val="0"/>
              <w:spacing w:before="0" w:after="0"/>
              <w:ind w:left="0" w:right="0" w:hanging="0"/>
              <w:jc w:val="left"/>
              <w:rPr/>
            </w:pPr>
            <w:r>
              <w:rPr/>
              <w:t> </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13,362,166</w:t>
            </w:r>
          </w:p>
        </w:tc>
        <w:tc>
          <w:tcPr>
            <w:tcW w:w="326" w:type="dxa"/>
            <w:tcBorders/>
            <w:shd w:fill="CCEEFF" w:val="clear"/>
            <w:vAlign w:val="center"/>
          </w:tcPr>
          <w:p>
            <w:pPr>
              <w:pStyle w:val="TableContents"/>
              <w:bidi w:val="0"/>
              <w:spacing w:before="0" w:after="0"/>
              <w:ind w:left="0" w:right="0" w:hanging="0"/>
              <w:jc w:val="left"/>
              <w:rPr/>
            </w:pPr>
            <w:r>
              <w:rPr/>
              <w:t>​</w:t>
            </w:r>
          </w:p>
        </w:tc>
        <w:tc>
          <w:tcPr>
            <w:tcW w:w="94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1,882,022</w:t>
            </w:r>
          </w:p>
        </w:tc>
      </w:tr>
      <w:tr>
        <w:trPr/>
        <w:tc>
          <w:tcPr>
            <w:tcW w:w="595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Accrued liabilities and other payables</w:t>
            </w:r>
          </w:p>
        </w:tc>
        <w:tc>
          <w:tcPr>
            <w:tcW w:w="109"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rFonts w:ascii="Times New Roman;Times;serif" w:hAnsi="Times New Roman;Times;serif"/>
                <w:i/>
                <w:sz w:val="14"/>
              </w:rPr>
            </w:pPr>
            <w:r>
              <w:rPr>
                <w:rFonts w:ascii="Times New Roman;Times;serif" w:hAnsi="Times New Roman;Times;serif"/>
                <w:i/>
                <w:sz w:val="14"/>
              </w:rPr>
              <w:t>17</w:t>
            </w:r>
          </w:p>
        </w:tc>
        <w:tc>
          <w:tcPr>
            <w:tcW w:w="326"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11,122,022</w:t>
            </w:r>
          </w:p>
        </w:tc>
        <w:tc>
          <w:tcPr>
            <w:tcW w:w="326"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12,670,906</w:t>
            </w:r>
          </w:p>
        </w:tc>
        <w:tc>
          <w:tcPr>
            <w:tcW w:w="326" w:type="dxa"/>
            <w:tcBorders/>
            <w:vAlign w:val="center"/>
          </w:tcPr>
          <w:p>
            <w:pPr>
              <w:pStyle w:val="TableContents"/>
              <w:bidi w:val="0"/>
              <w:spacing w:before="0" w:after="0"/>
              <w:ind w:left="0" w:right="0" w:hanging="0"/>
              <w:jc w:val="left"/>
              <w:rPr/>
            </w:pPr>
            <w:r>
              <w:rPr/>
              <w:t>​</w:t>
            </w:r>
          </w:p>
        </w:tc>
        <w:tc>
          <w:tcPr>
            <w:tcW w:w="94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1,784,660</w:t>
            </w:r>
          </w:p>
        </w:tc>
      </w:tr>
      <w:tr>
        <w:trPr/>
        <w:tc>
          <w:tcPr>
            <w:tcW w:w="59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Short-term operating lease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rFonts w:ascii="Times New Roman;Times;serif" w:hAnsi="Times New Roman;Times;serif"/>
                <w:i/>
                <w:sz w:val="14"/>
              </w:rPr>
            </w:pPr>
            <w:r>
              <w:rPr>
                <w:rFonts w:ascii="Times New Roman;Times;serif" w:hAnsi="Times New Roman;Times;serif"/>
                <w:i/>
                <w:sz w:val="14"/>
              </w:rPr>
              <w:t>10</w:t>
            </w:r>
          </w:p>
        </w:tc>
        <w:tc>
          <w:tcPr>
            <w:tcW w:w="326"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259,053</w:t>
            </w:r>
          </w:p>
        </w:tc>
        <w:tc>
          <w:tcPr>
            <w:tcW w:w="326"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259,493</w:t>
            </w:r>
          </w:p>
        </w:tc>
        <w:tc>
          <w:tcPr>
            <w:tcW w:w="326" w:type="dxa"/>
            <w:tcBorders/>
            <w:shd w:fill="CCEEFF" w:val="clear"/>
            <w:vAlign w:val="center"/>
          </w:tcPr>
          <w:p>
            <w:pPr>
              <w:pStyle w:val="TableContents"/>
              <w:bidi w:val="0"/>
              <w:spacing w:before="0" w:after="0"/>
              <w:ind w:left="0" w:right="0" w:hanging="0"/>
              <w:jc w:val="left"/>
              <w:rPr/>
            </w:pPr>
            <w:r>
              <w:rPr/>
              <w:t>​</w:t>
            </w:r>
          </w:p>
        </w:tc>
        <w:tc>
          <w:tcPr>
            <w:tcW w:w="94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36,549</w:t>
            </w:r>
          </w:p>
        </w:tc>
      </w:tr>
      <w:tr>
        <w:trPr/>
        <w:tc>
          <w:tcPr>
            <w:tcW w:w="595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current liabilities</w:t>
            </w:r>
          </w:p>
        </w:tc>
        <w:tc>
          <w:tcPr>
            <w:tcW w:w="109"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56,828,847</w:t>
            </w:r>
          </w:p>
        </w:tc>
        <w:tc>
          <w:tcPr>
            <w:tcW w:w="326" w:type="dxa"/>
            <w:tcBorders/>
            <w:vAlign w:val="center"/>
          </w:tcPr>
          <w:p>
            <w:pPr>
              <w:pStyle w:val="TableContents"/>
              <w:bidi w:val="0"/>
              <w:spacing w:before="0" w:after="0"/>
              <w:ind w:left="0" w:right="0" w:hanging="0"/>
              <w:jc w:val="left"/>
              <w:rPr/>
            </w:pPr>
            <w:r>
              <w:rPr/>
              <w:t>​</w:t>
            </w:r>
          </w:p>
        </w:tc>
        <w:tc>
          <w:tcPr>
            <w:tcW w:w="8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53,842,484</w:t>
            </w:r>
          </w:p>
        </w:tc>
        <w:tc>
          <w:tcPr>
            <w:tcW w:w="326" w:type="dxa"/>
            <w:tcBorders/>
            <w:vAlign w:val="center"/>
          </w:tcPr>
          <w:p>
            <w:pPr>
              <w:pStyle w:val="TableContents"/>
              <w:bidi w:val="0"/>
              <w:spacing w:before="0" w:after="0"/>
              <w:ind w:left="0" w:right="0" w:hanging="0"/>
              <w:jc w:val="left"/>
              <w:rPr/>
            </w:pPr>
            <w:r>
              <w:rPr/>
              <w:t>​</w:t>
            </w:r>
          </w:p>
        </w:tc>
        <w:tc>
          <w:tcPr>
            <w:tcW w:w="9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7,583,556</w:t>
            </w:r>
          </w:p>
        </w:tc>
      </w:tr>
      <w:tr>
        <w:trPr/>
        <w:tc>
          <w:tcPr>
            <w:tcW w:w="59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40" w:type="dxa"/>
            <w:tcBorders/>
            <w:shd w:fill="CCEEFF" w:val="clear"/>
            <w:vAlign w:val="center"/>
          </w:tcPr>
          <w:p>
            <w:pPr>
              <w:pStyle w:val="TableContents"/>
              <w:bidi w:val="0"/>
              <w:spacing w:before="0" w:after="0"/>
              <w:ind w:left="0" w:right="0" w:hanging="0"/>
              <w:jc w:val="right"/>
              <w:rPr/>
            </w:pPr>
            <w:r>
              <w:rPr/>
              <w:t>​</w:t>
            </w:r>
          </w:p>
        </w:tc>
      </w:tr>
      <w:tr>
        <w:trPr/>
        <w:tc>
          <w:tcPr>
            <w:tcW w:w="595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Non-current liabilities:</w:t>
            </w:r>
          </w:p>
        </w:tc>
        <w:tc>
          <w:tcPr>
            <w:tcW w:w="109"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40" w:type="dxa"/>
            <w:tcBorders/>
            <w:vAlign w:val="center"/>
          </w:tcPr>
          <w:p>
            <w:pPr>
              <w:pStyle w:val="TableContents"/>
              <w:bidi w:val="0"/>
              <w:spacing w:before="0" w:after="0"/>
              <w:ind w:left="0" w:right="0" w:hanging="0"/>
              <w:jc w:val="right"/>
              <w:rPr/>
            </w:pPr>
            <w:r>
              <w:rPr/>
              <w:t>​</w:t>
            </w:r>
          </w:p>
        </w:tc>
      </w:tr>
      <w:tr>
        <w:trPr/>
        <w:tc>
          <w:tcPr>
            <w:tcW w:w="59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Deferred tax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rFonts w:ascii="Times New Roman;Times;serif" w:hAnsi="Times New Roman;Times;serif"/>
                <w:i/>
                <w:sz w:val="14"/>
              </w:rPr>
            </w:pPr>
            <w:r>
              <w:rPr>
                <w:rFonts w:ascii="Times New Roman;Times;serif" w:hAnsi="Times New Roman;Times;serif"/>
                <w:i/>
                <w:sz w:val="14"/>
              </w:rPr>
              <w:t>13(c)</w:t>
            </w:r>
          </w:p>
        </w:tc>
        <w:tc>
          <w:tcPr>
            <w:tcW w:w="326"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2,126,120</w:t>
            </w:r>
          </w:p>
        </w:tc>
        <w:tc>
          <w:tcPr>
            <w:tcW w:w="326" w:type="dxa"/>
            <w:tcBorders/>
            <w:shd w:fill="CCEEFF" w:val="clear"/>
            <w:vAlign w:val="center"/>
          </w:tcPr>
          <w:p>
            <w:pPr>
              <w:pStyle w:val="TableContents"/>
              <w:bidi w:val="0"/>
              <w:spacing w:before="0" w:after="0"/>
              <w:ind w:left="0" w:right="0" w:hanging="0"/>
              <w:jc w:val="left"/>
              <w:rPr/>
            </w:pPr>
            <w:r>
              <w:rPr/>
              <w:t> </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2,299,303</w:t>
            </w:r>
          </w:p>
        </w:tc>
        <w:tc>
          <w:tcPr>
            <w:tcW w:w="326" w:type="dxa"/>
            <w:tcBorders/>
            <w:shd w:fill="CCEEFF" w:val="clear"/>
            <w:vAlign w:val="center"/>
          </w:tcPr>
          <w:p>
            <w:pPr>
              <w:pStyle w:val="TableContents"/>
              <w:bidi w:val="0"/>
              <w:spacing w:before="0" w:after="0"/>
              <w:ind w:left="0" w:right="0" w:hanging="0"/>
              <w:jc w:val="left"/>
              <w:rPr/>
            </w:pPr>
            <w:r>
              <w:rPr/>
              <w:t>​</w:t>
            </w:r>
          </w:p>
        </w:tc>
        <w:tc>
          <w:tcPr>
            <w:tcW w:w="94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323,850</w:t>
            </w:r>
          </w:p>
        </w:tc>
      </w:tr>
      <w:tr>
        <w:trPr/>
        <w:tc>
          <w:tcPr>
            <w:tcW w:w="595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Long-term operating lease liabilities</w:t>
            </w:r>
          </w:p>
        </w:tc>
        <w:tc>
          <w:tcPr>
            <w:tcW w:w="109"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rFonts w:ascii="Times New Roman;Times;serif" w:hAnsi="Times New Roman;Times;serif"/>
                <w:i/>
                <w:sz w:val="14"/>
              </w:rPr>
            </w:pPr>
            <w:r>
              <w:rPr>
                <w:rFonts w:ascii="Times New Roman;Times;serif" w:hAnsi="Times New Roman;Times;serif"/>
                <w:i/>
                <w:sz w:val="14"/>
              </w:rPr>
              <w:t>10</w:t>
            </w:r>
          </w:p>
        </w:tc>
        <w:tc>
          <w:tcPr>
            <w:tcW w:w="326"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672,640</w:t>
            </w:r>
          </w:p>
        </w:tc>
        <w:tc>
          <w:tcPr>
            <w:tcW w:w="326"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555,829</w:t>
            </w:r>
          </w:p>
        </w:tc>
        <w:tc>
          <w:tcPr>
            <w:tcW w:w="326" w:type="dxa"/>
            <w:tcBorders/>
            <w:vAlign w:val="center"/>
          </w:tcPr>
          <w:p>
            <w:pPr>
              <w:pStyle w:val="TableContents"/>
              <w:bidi w:val="0"/>
              <w:spacing w:before="0" w:after="0"/>
              <w:ind w:left="0" w:right="0" w:hanging="0"/>
              <w:jc w:val="left"/>
              <w:rPr/>
            </w:pPr>
            <w:r>
              <w:rPr/>
              <w:t>​</w:t>
            </w:r>
          </w:p>
        </w:tc>
        <w:tc>
          <w:tcPr>
            <w:tcW w:w="94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78,287</w:t>
            </w:r>
          </w:p>
        </w:tc>
      </w:tr>
      <w:tr>
        <w:trPr/>
        <w:tc>
          <w:tcPr>
            <w:tcW w:w="59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Long-term loans</w:t>
            </w:r>
          </w:p>
        </w:tc>
        <w:tc>
          <w:tcPr>
            <w:tcW w:w="109"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rFonts w:ascii="Times New Roman;Times;serif" w:hAnsi="Times New Roman;Times;serif"/>
                <w:i/>
                <w:sz w:val="14"/>
              </w:rPr>
            </w:pPr>
            <w:r>
              <w:rPr>
                <w:rFonts w:ascii="Times New Roman;Times;serif" w:hAnsi="Times New Roman;Times;serif"/>
                <w:i/>
                <w:sz w:val="14"/>
              </w:rPr>
              <w:t>18</w:t>
            </w:r>
          </w:p>
        </w:tc>
        <w:tc>
          <w:tcPr>
            <w:tcW w:w="326" w:type="dxa"/>
            <w:tcBorders/>
            <w:shd w:fill="CCEEFF" w:val="clear"/>
            <w:vAlign w:val="center"/>
          </w:tcPr>
          <w:p>
            <w:pPr>
              <w:pStyle w:val="TableContents"/>
              <w:bidi w:val="0"/>
              <w:spacing w:before="0" w:after="0"/>
              <w:ind w:left="0" w:right="0" w:hanging="0"/>
              <w:jc w:val="left"/>
              <w:rPr/>
            </w:pPr>
            <w:r>
              <w:rPr/>
              <w:t> </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3,654,964</w:t>
            </w:r>
          </w:p>
        </w:tc>
        <w:tc>
          <w:tcPr>
            <w:tcW w:w="326"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427,997</w:t>
            </w:r>
          </w:p>
        </w:tc>
        <w:tc>
          <w:tcPr>
            <w:tcW w:w="326" w:type="dxa"/>
            <w:tcBorders/>
            <w:shd w:fill="CCEEFF" w:val="clear"/>
            <w:vAlign w:val="center"/>
          </w:tcPr>
          <w:p>
            <w:pPr>
              <w:pStyle w:val="TableContents"/>
              <w:bidi w:val="0"/>
              <w:spacing w:before="0" w:after="0"/>
              <w:ind w:left="0" w:right="0" w:hanging="0"/>
              <w:jc w:val="left"/>
              <w:rPr/>
            </w:pPr>
            <w:r>
              <w:rPr/>
              <w:t>​</w:t>
            </w:r>
          </w:p>
        </w:tc>
        <w:tc>
          <w:tcPr>
            <w:tcW w:w="94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60,282</w:t>
            </w:r>
          </w:p>
        </w:tc>
      </w:tr>
      <w:tr>
        <w:trPr/>
        <w:tc>
          <w:tcPr>
            <w:tcW w:w="595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long-term liabilities</w:t>
            </w:r>
          </w:p>
        </w:tc>
        <w:tc>
          <w:tcPr>
            <w:tcW w:w="109"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604,934</w:t>
            </w:r>
          </w:p>
        </w:tc>
        <w:tc>
          <w:tcPr>
            <w:tcW w:w="326" w:type="dxa"/>
            <w:tcBorders/>
            <w:vAlign w:val="center"/>
          </w:tcPr>
          <w:p>
            <w:pPr>
              <w:pStyle w:val="TableContents"/>
              <w:bidi w:val="0"/>
              <w:spacing w:before="0" w:after="0"/>
              <w:ind w:left="0" w:right="0" w:hanging="0"/>
              <w:jc w:val="left"/>
              <w:rPr/>
            </w:pPr>
            <w:r>
              <w:rPr/>
              <w:t>​</w:t>
            </w:r>
          </w:p>
        </w:tc>
        <w:tc>
          <w:tcPr>
            <w:tcW w:w="8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715,284</w:t>
            </w:r>
          </w:p>
        </w:tc>
        <w:tc>
          <w:tcPr>
            <w:tcW w:w="326" w:type="dxa"/>
            <w:tcBorders/>
            <w:vAlign w:val="center"/>
          </w:tcPr>
          <w:p>
            <w:pPr>
              <w:pStyle w:val="TableContents"/>
              <w:bidi w:val="0"/>
              <w:spacing w:before="0" w:after="0"/>
              <w:ind w:left="0" w:right="0" w:hanging="0"/>
              <w:jc w:val="left"/>
              <w:rPr/>
            </w:pPr>
            <w:r>
              <w:rPr/>
              <w:t>​</w:t>
            </w:r>
          </w:p>
        </w:tc>
        <w:tc>
          <w:tcPr>
            <w:tcW w:w="9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100,745</w:t>
            </w:r>
          </w:p>
        </w:tc>
      </w:tr>
      <w:tr>
        <w:trPr/>
        <w:tc>
          <w:tcPr>
            <w:tcW w:w="59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non-current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7,058,658</w:t>
            </w:r>
          </w:p>
        </w:tc>
        <w:tc>
          <w:tcPr>
            <w:tcW w:w="326" w:type="dxa"/>
            <w:tcBorders/>
            <w:shd w:fill="CCEEFF" w:val="clear"/>
            <w:vAlign w:val="center"/>
          </w:tcPr>
          <w:p>
            <w:pPr>
              <w:pStyle w:val="TableContents"/>
              <w:bidi w:val="0"/>
              <w:spacing w:before="0" w:after="0"/>
              <w:ind w:left="0" w:right="0" w:hanging="0"/>
              <w:jc w:val="left"/>
              <w:rPr/>
            </w:pPr>
            <w:r>
              <w:rPr/>
              <w:t>​</w:t>
            </w:r>
          </w:p>
        </w:tc>
        <w:tc>
          <w:tcPr>
            <w:tcW w:w="8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3,998,413</w:t>
            </w:r>
          </w:p>
        </w:tc>
        <w:tc>
          <w:tcPr>
            <w:tcW w:w="326" w:type="dxa"/>
            <w:tcBorders/>
            <w:shd w:fill="CCEEFF" w:val="clear"/>
            <w:vAlign w:val="center"/>
          </w:tcPr>
          <w:p>
            <w:pPr>
              <w:pStyle w:val="TableContents"/>
              <w:bidi w:val="0"/>
              <w:spacing w:before="0" w:after="0"/>
              <w:ind w:left="0" w:right="0" w:hanging="0"/>
              <w:jc w:val="left"/>
              <w:rPr/>
            </w:pPr>
            <w:r>
              <w:rPr/>
              <w:t>​</w:t>
            </w:r>
          </w:p>
        </w:tc>
        <w:tc>
          <w:tcPr>
            <w:tcW w:w="9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563,164</w:t>
            </w:r>
          </w:p>
        </w:tc>
      </w:tr>
      <w:tr>
        <w:trPr/>
        <w:tc>
          <w:tcPr>
            <w:tcW w:w="59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40" w:type="dxa"/>
            <w:tcBorders/>
            <w:vAlign w:val="center"/>
          </w:tcPr>
          <w:p>
            <w:pPr>
              <w:pStyle w:val="TableContents"/>
              <w:bidi w:val="0"/>
              <w:spacing w:before="0" w:after="0"/>
              <w:ind w:left="0" w:right="0" w:hanging="0"/>
              <w:jc w:val="right"/>
              <w:rPr/>
            </w:pPr>
            <w:r>
              <w:rPr/>
              <w:t>​</w:t>
            </w:r>
          </w:p>
        </w:tc>
      </w:tr>
      <w:tr>
        <w:trPr/>
        <w:tc>
          <w:tcPr>
            <w:tcW w:w="59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63,887,505</w:t>
            </w:r>
          </w:p>
        </w:tc>
        <w:tc>
          <w:tcPr>
            <w:tcW w:w="326" w:type="dxa"/>
            <w:tcBorders/>
            <w:shd w:fill="CCEEFF" w:val="clear"/>
            <w:vAlign w:val="center"/>
          </w:tcPr>
          <w:p>
            <w:pPr>
              <w:pStyle w:val="TableContents"/>
              <w:bidi w:val="0"/>
              <w:spacing w:before="0" w:after="0"/>
              <w:ind w:left="0" w:right="0" w:hanging="0"/>
              <w:jc w:val="left"/>
              <w:rPr/>
            </w:pPr>
            <w:r>
              <w:rPr/>
              <w:t> </w:t>
            </w:r>
          </w:p>
        </w:tc>
        <w:tc>
          <w:tcPr>
            <w:tcW w:w="8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57,840,897</w:t>
            </w:r>
          </w:p>
        </w:tc>
        <w:tc>
          <w:tcPr>
            <w:tcW w:w="326" w:type="dxa"/>
            <w:tcBorders/>
            <w:shd w:fill="CCEEFF" w:val="clear"/>
            <w:vAlign w:val="center"/>
          </w:tcPr>
          <w:p>
            <w:pPr>
              <w:pStyle w:val="TableContents"/>
              <w:bidi w:val="0"/>
              <w:spacing w:before="0" w:after="0"/>
              <w:ind w:left="0" w:right="0" w:hanging="0"/>
              <w:jc w:val="left"/>
              <w:rPr/>
            </w:pPr>
            <w:r>
              <w:rPr/>
              <w:t>​</w:t>
            </w:r>
          </w:p>
        </w:tc>
        <w:tc>
          <w:tcPr>
            <w:tcW w:w="9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8,146,720</w:t>
            </w:r>
          </w:p>
        </w:tc>
      </w:tr>
      <w:tr>
        <w:trPr/>
        <w:tc>
          <w:tcPr>
            <w:tcW w:w="59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40" w:type="dxa"/>
            <w:tcBorders/>
            <w:vAlign w:val="center"/>
          </w:tcPr>
          <w:p>
            <w:pPr>
              <w:pStyle w:val="TableContents"/>
              <w:bidi w:val="0"/>
              <w:spacing w:before="0" w:after="0"/>
              <w:ind w:left="0" w:right="0" w:hanging="0"/>
              <w:jc w:val="right"/>
              <w:rPr/>
            </w:pPr>
            <w:r>
              <w:rPr/>
              <w:t>​</w:t>
            </w:r>
          </w:p>
        </w:tc>
      </w:tr>
      <w:tr>
        <w:trPr/>
        <w:tc>
          <w:tcPr>
            <w:tcW w:w="59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Commitments and contingencies</w:t>
            </w:r>
          </w:p>
        </w:tc>
        <w:tc>
          <w:tcPr>
            <w:tcW w:w="109"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rFonts w:ascii="Times New Roman;Times;serif" w:hAnsi="Times New Roman;Times;serif"/>
                <w:i/>
                <w:sz w:val="14"/>
              </w:rPr>
            </w:pPr>
            <w:r>
              <w:rPr>
                <w:rFonts w:ascii="Times New Roman;Times;serif" w:hAnsi="Times New Roman;Times;serif"/>
                <w:i/>
                <w:sz w:val="14"/>
              </w:rPr>
              <w:t>24</w:t>
            </w:r>
          </w:p>
        </w:tc>
        <w:tc>
          <w:tcPr>
            <w:tcW w:w="326"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40" w:type="dxa"/>
            <w:tcBorders/>
            <w:shd w:fill="CCEEFF" w:val="clear"/>
            <w:vAlign w:val="center"/>
          </w:tcPr>
          <w:p>
            <w:pPr>
              <w:pStyle w:val="TableContents"/>
              <w:bidi w:val="0"/>
              <w:spacing w:before="0" w:after="0"/>
              <w:ind w:left="0" w:right="0" w:hanging="0"/>
              <w:jc w:val="right"/>
              <w:rPr/>
            </w:pPr>
            <w:r>
              <w:rPr/>
              <w:t>​</w:t>
            </w:r>
          </w:p>
        </w:tc>
      </w:tr>
      <w:tr>
        <w:trPr/>
        <w:tc>
          <w:tcPr>
            <w:tcW w:w="59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40" w:type="dxa"/>
            <w:tcBorders/>
            <w:vAlign w:val="center"/>
          </w:tcPr>
          <w:p>
            <w:pPr>
              <w:pStyle w:val="TableContents"/>
              <w:bidi w:val="0"/>
              <w:spacing w:before="0" w:after="0"/>
              <w:ind w:left="0" w:right="0" w:hanging="0"/>
              <w:jc w:val="right"/>
              <w:rPr/>
            </w:pPr>
            <w:r>
              <w:rPr/>
              <w:t>​</w:t>
            </w:r>
          </w:p>
        </w:tc>
      </w:tr>
      <w:tr>
        <w:trPr/>
        <w:tc>
          <w:tcPr>
            <w:tcW w:w="59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Redeemable noncontrolling interests</w:t>
            </w:r>
          </w:p>
        </w:tc>
        <w:tc>
          <w:tcPr>
            <w:tcW w:w="109"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rFonts w:ascii="Times New Roman;Times;serif" w:hAnsi="Times New Roman;Times;serif"/>
                <w:i/>
                <w:sz w:val="14"/>
              </w:rPr>
            </w:pPr>
            <w:r>
              <w:rPr>
                <w:rFonts w:ascii="Times New Roman;Times;serif" w:hAnsi="Times New Roman;Times;serif"/>
                <w:i/>
                <w:sz w:val="14"/>
              </w:rPr>
              <w:t>19</w:t>
            </w:r>
          </w:p>
        </w:tc>
        <w:tc>
          <w:tcPr>
            <w:tcW w:w="326"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136,440</w:t>
            </w:r>
          </w:p>
        </w:tc>
        <w:tc>
          <w:tcPr>
            <w:tcW w:w="326"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115,759</w:t>
            </w:r>
          </w:p>
        </w:tc>
        <w:tc>
          <w:tcPr>
            <w:tcW w:w="326" w:type="dxa"/>
            <w:tcBorders/>
            <w:shd w:fill="CCEEFF" w:val="clear"/>
            <w:vAlign w:val="center"/>
          </w:tcPr>
          <w:p>
            <w:pPr>
              <w:pStyle w:val="TableContents"/>
              <w:bidi w:val="0"/>
              <w:spacing w:before="0" w:after="0"/>
              <w:ind w:left="0" w:right="0" w:hanging="0"/>
              <w:jc w:val="left"/>
              <w:rPr/>
            </w:pPr>
            <w:r>
              <w:rPr/>
              <w:t>​</w:t>
            </w:r>
          </w:p>
        </w:tc>
        <w:tc>
          <w:tcPr>
            <w:tcW w:w="94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16,304</w:t>
            </w:r>
          </w:p>
        </w:tc>
      </w:tr>
      <w:tr>
        <w:trPr/>
        <w:tc>
          <w:tcPr>
            <w:tcW w:w="59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40" w:type="dxa"/>
            <w:tcBorders/>
            <w:vAlign w:val="center"/>
          </w:tcPr>
          <w:p>
            <w:pPr>
              <w:pStyle w:val="TableContents"/>
              <w:bidi w:val="0"/>
              <w:spacing w:before="0" w:after="0"/>
              <w:ind w:left="0" w:right="0" w:hanging="0"/>
              <w:jc w:val="right"/>
              <w:rPr/>
            </w:pPr>
            <w:r>
              <w:rPr/>
              <w:t>​</w:t>
            </w:r>
          </w:p>
        </w:tc>
      </w:tr>
      <w:tr>
        <w:trPr/>
        <w:tc>
          <w:tcPr>
            <w:tcW w:w="59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Shareholders’ equity:</w:t>
            </w:r>
          </w:p>
        </w:tc>
        <w:tc>
          <w:tcPr>
            <w:tcW w:w="109"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40" w:type="dxa"/>
            <w:tcBorders/>
            <w:shd w:fill="CCEEFF" w:val="clear"/>
            <w:vAlign w:val="center"/>
          </w:tcPr>
          <w:p>
            <w:pPr>
              <w:pStyle w:val="TableContents"/>
              <w:bidi w:val="0"/>
              <w:spacing w:before="0" w:after="0"/>
              <w:ind w:left="0" w:right="0" w:hanging="0"/>
              <w:jc w:val="right"/>
              <w:rPr/>
            </w:pPr>
            <w:r>
              <w:rPr/>
              <w:t>​</w:t>
            </w:r>
          </w:p>
        </w:tc>
      </w:tr>
      <w:tr>
        <w:trPr/>
        <w:tc>
          <w:tcPr>
            <w:tcW w:w="595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Ordinary shares, US$0.0001 par value:</w:t>
            </w:r>
          </w:p>
        </w:tc>
        <w:tc>
          <w:tcPr>
            <w:tcW w:w="109"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40" w:type="dxa"/>
            <w:tcBorders/>
            <w:vAlign w:val="center"/>
          </w:tcPr>
          <w:p>
            <w:pPr>
              <w:pStyle w:val="TableContents"/>
              <w:bidi w:val="0"/>
              <w:spacing w:before="0" w:after="0"/>
              <w:ind w:left="0" w:right="0" w:hanging="0"/>
              <w:jc w:val="right"/>
              <w:rPr/>
            </w:pPr>
            <w:r>
              <w:rPr/>
              <w:t>​</w:t>
            </w:r>
          </w:p>
        </w:tc>
      </w:tr>
      <w:tr>
        <w:trPr/>
        <w:tc>
          <w:tcPr>
            <w:tcW w:w="59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1,000,300,000,000 shares authorized, 3,223,623,596 and 3,210,783,141 shares issued and outstanding as of December 31, 2022 and 2023, respectively</w:t>
            </w:r>
          </w:p>
        </w:tc>
        <w:tc>
          <w:tcPr>
            <w:tcW w:w="109"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2,710</w:t>
            </w:r>
          </w:p>
        </w:tc>
        <w:tc>
          <w:tcPr>
            <w:tcW w:w="326"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2,710</w:t>
            </w:r>
          </w:p>
        </w:tc>
        <w:tc>
          <w:tcPr>
            <w:tcW w:w="326" w:type="dxa"/>
            <w:tcBorders/>
            <w:shd w:fill="CCEEFF" w:val="clear"/>
            <w:vAlign w:val="center"/>
          </w:tcPr>
          <w:p>
            <w:pPr>
              <w:pStyle w:val="TableContents"/>
              <w:bidi w:val="0"/>
              <w:spacing w:before="0" w:after="0"/>
              <w:ind w:left="0" w:right="0" w:hanging="0"/>
              <w:jc w:val="left"/>
              <w:rPr/>
            </w:pPr>
            <w:r>
              <w:rPr/>
              <w:t>​</w:t>
            </w:r>
          </w:p>
        </w:tc>
        <w:tc>
          <w:tcPr>
            <w:tcW w:w="94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382</w:t>
            </w:r>
          </w:p>
        </w:tc>
      </w:tr>
      <w:tr>
        <w:trPr/>
        <w:tc>
          <w:tcPr>
            <w:tcW w:w="595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Additional paid-in capital</w:t>
            </w:r>
          </w:p>
        </w:tc>
        <w:tc>
          <w:tcPr>
            <w:tcW w:w="109"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22,854,234</w:t>
            </w:r>
          </w:p>
        </w:tc>
        <w:tc>
          <w:tcPr>
            <w:tcW w:w="326"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22,604,651</w:t>
            </w:r>
          </w:p>
        </w:tc>
        <w:tc>
          <w:tcPr>
            <w:tcW w:w="326" w:type="dxa"/>
            <w:tcBorders/>
            <w:vAlign w:val="center"/>
          </w:tcPr>
          <w:p>
            <w:pPr>
              <w:pStyle w:val="TableContents"/>
              <w:bidi w:val="0"/>
              <w:spacing w:before="0" w:after="0"/>
              <w:ind w:left="0" w:right="0" w:hanging="0"/>
              <w:jc w:val="left"/>
              <w:rPr/>
            </w:pPr>
            <w:r>
              <w:rPr/>
              <w:t>​</w:t>
            </w:r>
          </w:p>
        </w:tc>
        <w:tc>
          <w:tcPr>
            <w:tcW w:w="94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3,183,799</w:t>
            </w:r>
          </w:p>
        </w:tc>
      </w:tr>
      <w:tr>
        <w:trPr/>
        <w:tc>
          <w:tcPr>
            <w:tcW w:w="59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Treasury stock</w:t>
            </w:r>
          </w:p>
        </w:tc>
        <w:tc>
          <w:tcPr>
            <w:tcW w:w="109"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(10,910,754)</w:t>
            </w:r>
          </w:p>
        </w:tc>
        <w:tc>
          <w:tcPr>
            <w:tcW w:w="326"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(12,694,364)</w:t>
            </w:r>
          </w:p>
        </w:tc>
        <w:tc>
          <w:tcPr>
            <w:tcW w:w="326" w:type="dxa"/>
            <w:tcBorders/>
            <w:shd w:fill="CCEEFF" w:val="clear"/>
            <w:vAlign w:val="center"/>
          </w:tcPr>
          <w:p>
            <w:pPr>
              <w:pStyle w:val="TableContents"/>
              <w:bidi w:val="0"/>
              <w:spacing w:before="0" w:after="0"/>
              <w:ind w:left="0" w:right="0" w:hanging="0"/>
              <w:jc w:val="left"/>
              <w:rPr/>
            </w:pPr>
            <w:r>
              <w:rPr/>
              <w:t>​</w:t>
            </w:r>
          </w:p>
        </w:tc>
        <w:tc>
          <w:tcPr>
            <w:tcW w:w="94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(1,787,964)</w:t>
            </w:r>
          </w:p>
        </w:tc>
      </w:tr>
      <w:tr>
        <w:trPr/>
        <w:tc>
          <w:tcPr>
            <w:tcW w:w="595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Statutory reserves</w:t>
            </w:r>
          </w:p>
        </w:tc>
        <w:tc>
          <w:tcPr>
            <w:tcW w:w="109"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rFonts w:ascii="Times New Roman;Times;serif" w:hAnsi="Times New Roman;Times;serif"/>
                <w:i/>
                <w:sz w:val="14"/>
              </w:rPr>
            </w:pPr>
            <w:r>
              <w:rPr>
                <w:rFonts w:ascii="Times New Roman;Times;serif" w:hAnsi="Times New Roman;Times;serif"/>
                <w:i/>
                <w:sz w:val="14"/>
              </w:rPr>
              <w:t>2(u)</w:t>
            </w:r>
          </w:p>
        </w:tc>
        <w:tc>
          <w:tcPr>
            <w:tcW w:w="326"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1,278,666</w:t>
            </w:r>
          </w:p>
        </w:tc>
        <w:tc>
          <w:tcPr>
            <w:tcW w:w="326"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1,541,416</w:t>
            </w:r>
          </w:p>
        </w:tc>
        <w:tc>
          <w:tcPr>
            <w:tcW w:w="326" w:type="dxa"/>
            <w:tcBorders/>
            <w:vAlign w:val="center"/>
          </w:tcPr>
          <w:p>
            <w:pPr>
              <w:pStyle w:val="TableContents"/>
              <w:bidi w:val="0"/>
              <w:spacing w:before="0" w:after="0"/>
              <w:ind w:left="0" w:right="0" w:hanging="0"/>
              <w:jc w:val="left"/>
              <w:rPr/>
            </w:pPr>
            <w:r>
              <w:rPr/>
              <w:t>​</w:t>
            </w:r>
          </w:p>
        </w:tc>
        <w:tc>
          <w:tcPr>
            <w:tcW w:w="94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217,103</w:t>
            </w:r>
          </w:p>
        </w:tc>
      </w:tr>
      <w:tr>
        <w:trPr/>
        <w:tc>
          <w:tcPr>
            <w:tcW w:w="59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Accumulated other comprehensive income</w:t>
            </w:r>
          </w:p>
        </w:tc>
        <w:tc>
          <w:tcPr>
            <w:tcW w:w="109"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431,786</w:t>
            </w:r>
          </w:p>
        </w:tc>
        <w:tc>
          <w:tcPr>
            <w:tcW w:w="326"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616,780</w:t>
            </w:r>
          </w:p>
        </w:tc>
        <w:tc>
          <w:tcPr>
            <w:tcW w:w="326" w:type="dxa"/>
            <w:tcBorders/>
            <w:shd w:fill="CCEEFF" w:val="clear"/>
            <w:vAlign w:val="center"/>
          </w:tcPr>
          <w:p>
            <w:pPr>
              <w:pStyle w:val="TableContents"/>
              <w:bidi w:val="0"/>
              <w:spacing w:before="0" w:after="0"/>
              <w:ind w:left="0" w:right="0" w:hanging="0"/>
              <w:jc w:val="left"/>
              <w:rPr/>
            </w:pPr>
            <w:r>
              <w:rPr/>
              <w:t>​</w:t>
            </w:r>
          </w:p>
        </w:tc>
        <w:tc>
          <w:tcPr>
            <w:tcW w:w="94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86,872</w:t>
            </w:r>
          </w:p>
        </w:tc>
      </w:tr>
      <w:tr>
        <w:trPr/>
        <w:tc>
          <w:tcPr>
            <w:tcW w:w="595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Retained earnings</w:t>
            </w:r>
          </w:p>
        </w:tc>
        <w:tc>
          <w:tcPr>
            <w:tcW w:w="109"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8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91,074,675</w:t>
            </w:r>
          </w:p>
        </w:tc>
        <w:tc>
          <w:tcPr>
            <w:tcW w:w="326" w:type="dxa"/>
            <w:tcBorders/>
            <w:vAlign w:val="center"/>
          </w:tcPr>
          <w:p>
            <w:pPr>
              <w:pStyle w:val="TableContents"/>
              <w:bidi w:val="0"/>
              <w:spacing w:before="0" w:after="0"/>
              <w:ind w:left="0" w:right="0" w:hanging="0"/>
              <w:jc w:val="left"/>
              <w:rPr/>
            </w:pPr>
            <w:r>
              <w:rPr/>
              <w:t>​</w:t>
            </w:r>
          </w:p>
        </w:tc>
        <w:tc>
          <w:tcPr>
            <w:tcW w:w="8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112,214,583</w:t>
            </w:r>
          </w:p>
        </w:tc>
        <w:tc>
          <w:tcPr>
            <w:tcW w:w="326" w:type="dxa"/>
            <w:tcBorders/>
            <w:vAlign w:val="center"/>
          </w:tcPr>
          <w:p>
            <w:pPr>
              <w:pStyle w:val="TableContents"/>
              <w:bidi w:val="0"/>
              <w:spacing w:before="0" w:after="0"/>
              <w:ind w:left="0" w:right="0" w:hanging="0"/>
              <w:jc w:val="left"/>
              <w:rPr/>
            </w:pPr>
            <w:r>
              <w:rPr/>
              <w:t>​</w:t>
            </w:r>
          </w:p>
        </w:tc>
        <w:tc>
          <w:tcPr>
            <w:tcW w:w="9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15,805,093</w:t>
            </w:r>
          </w:p>
        </w:tc>
      </w:tr>
      <w:tr>
        <w:trPr/>
        <w:tc>
          <w:tcPr>
            <w:tcW w:w="59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NetEase, Inc.’s shareholders’ equity</w:t>
            </w:r>
          </w:p>
        </w:tc>
        <w:tc>
          <w:tcPr>
            <w:tcW w:w="109"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104,731,317</w:t>
            </w:r>
          </w:p>
        </w:tc>
        <w:tc>
          <w:tcPr>
            <w:tcW w:w="326"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124,285,776</w:t>
            </w:r>
          </w:p>
        </w:tc>
        <w:tc>
          <w:tcPr>
            <w:tcW w:w="326" w:type="dxa"/>
            <w:tcBorders/>
            <w:shd w:fill="CCEEFF" w:val="clear"/>
            <w:vAlign w:val="center"/>
          </w:tcPr>
          <w:p>
            <w:pPr>
              <w:pStyle w:val="TableContents"/>
              <w:bidi w:val="0"/>
              <w:spacing w:before="0" w:after="0"/>
              <w:ind w:left="0" w:right="0" w:hanging="0"/>
              <w:jc w:val="left"/>
              <w:rPr/>
            </w:pPr>
            <w:r>
              <w:rPr/>
              <w:t>​</w:t>
            </w:r>
          </w:p>
        </w:tc>
        <w:tc>
          <w:tcPr>
            <w:tcW w:w="94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17,505,285</w:t>
            </w:r>
          </w:p>
        </w:tc>
      </w:tr>
      <w:tr>
        <w:trPr/>
        <w:tc>
          <w:tcPr>
            <w:tcW w:w="595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Noncontrolling interests</w:t>
            </w:r>
          </w:p>
        </w:tc>
        <w:tc>
          <w:tcPr>
            <w:tcW w:w="109"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rFonts w:ascii="Times New Roman;Times;serif" w:hAnsi="Times New Roman;Times;serif"/>
                <w:i/>
                <w:sz w:val="14"/>
              </w:rPr>
            </w:pPr>
            <w:r>
              <w:rPr>
                <w:rFonts w:ascii="Times New Roman;Times;serif" w:hAnsi="Times New Roman;Times;serif"/>
                <w:i/>
                <w:sz w:val="14"/>
              </w:rPr>
              <w:t>19</w:t>
            </w:r>
          </w:p>
        </w:tc>
        <w:tc>
          <w:tcPr>
            <w:tcW w:w="326" w:type="dxa"/>
            <w:tcBorders/>
            <w:vAlign w:val="center"/>
          </w:tcPr>
          <w:p>
            <w:pPr>
              <w:pStyle w:val="TableContents"/>
              <w:bidi w:val="0"/>
              <w:spacing w:before="0" w:after="0"/>
              <w:ind w:left="0" w:right="0" w:hanging="0"/>
              <w:jc w:val="left"/>
              <w:rPr/>
            </w:pPr>
            <w:r>
              <w:rPr/>
              <w:t> </w:t>
            </w:r>
          </w:p>
        </w:tc>
        <w:tc>
          <w:tcPr>
            <w:tcW w:w="8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4,005,723</w:t>
            </w:r>
          </w:p>
        </w:tc>
        <w:tc>
          <w:tcPr>
            <w:tcW w:w="326" w:type="dxa"/>
            <w:tcBorders/>
            <w:vAlign w:val="center"/>
          </w:tcPr>
          <w:p>
            <w:pPr>
              <w:pStyle w:val="TableContents"/>
              <w:bidi w:val="0"/>
              <w:spacing w:before="0" w:after="0"/>
              <w:ind w:left="0" w:right="0" w:hanging="0"/>
              <w:jc w:val="left"/>
              <w:rPr/>
            </w:pPr>
            <w:r>
              <w:rPr/>
              <w:t>​</w:t>
            </w:r>
          </w:p>
        </w:tc>
        <w:tc>
          <w:tcPr>
            <w:tcW w:w="8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3,682,546</w:t>
            </w:r>
          </w:p>
        </w:tc>
        <w:tc>
          <w:tcPr>
            <w:tcW w:w="326" w:type="dxa"/>
            <w:tcBorders/>
            <w:vAlign w:val="center"/>
          </w:tcPr>
          <w:p>
            <w:pPr>
              <w:pStyle w:val="TableContents"/>
              <w:bidi w:val="0"/>
              <w:spacing w:before="0" w:after="0"/>
              <w:ind w:left="0" w:right="0" w:hanging="0"/>
              <w:jc w:val="left"/>
              <w:rPr/>
            </w:pPr>
            <w:r>
              <w:rPr/>
              <w:t>​</w:t>
            </w:r>
          </w:p>
        </w:tc>
        <w:tc>
          <w:tcPr>
            <w:tcW w:w="9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518,676</w:t>
            </w:r>
          </w:p>
        </w:tc>
      </w:tr>
      <w:tr>
        <w:trPr/>
        <w:tc>
          <w:tcPr>
            <w:tcW w:w="59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equity</w:t>
            </w:r>
          </w:p>
        </w:tc>
        <w:tc>
          <w:tcPr>
            <w:tcW w:w="109"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108,737,040</w:t>
            </w:r>
          </w:p>
        </w:tc>
        <w:tc>
          <w:tcPr>
            <w:tcW w:w="326" w:type="dxa"/>
            <w:tcBorders/>
            <w:shd w:fill="CCEEFF" w:val="clear"/>
            <w:vAlign w:val="center"/>
          </w:tcPr>
          <w:p>
            <w:pPr>
              <w:pStyle w:val="TableContents"/>
              <w:bidi w:val="0"/>
              <w:spacing w:before="0" w:after="0"/>
              <w:ind w:left="0" w:right="0" w:hanging="0"/>
              <w:jc w:val="left"/>
              <w:rPr/>
            </w:pPr>
            <w:r>
              <w:rPr/>
              <w:t>​</w:t>
            </w:r>
          </w:p>
        </w:tc>
        <w:tc>
          <w:tcPr>
            <w:tcW w:w="8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127,968,322</w:t>
            </w:r>
          </w:p>
        </w:tc>
        <w:tc>
          <w:tcPr>
            <w:tcW w:w="326" w:type="dxa"/>
            <w:tcBorders/>
            <w:shd w:fill="CCEEFF" w:val="clear"/>
            <w:vAlign w:val="center"/>
          </w:tcPr>
          <w:p>
            <w:pPr>
              <w:pStyle w:val="TableContents"/>
              <w:bidi w:val="0"/>
              <w:spacing w:before="0" w:after="0"/>
              <w:ind w:left="0" w:right="0" w:hanging="0"/>
              <w:jc w:val="left"/>
              <w:rPr/>
            </w:pPr>
            <w:r>
              <w:rPr/>
              <w:t>​</w:t>
            </w:r>
          </w:p>
        </w:tc>
        <w:tc>
          <w:tcPr>
            <w:tcW w:w="9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18,023,961</w:t>
            </w:r>
          </w:p>
        </w:tc>
      </w:tr>
      <w:tr>
        <w:trPr/>
        <w:tc>
          <w:tcPr>
            <w:tcW w:w="59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40" w:type="dxa"/>
            <w:tcBorders/>
            <w:vAlign w:val="center"/>
          </w:tcPr>
          <w:p>
            <w:pPr>
              <w:pStyle w:val="TableContents"/>
              <w:bidi w:val="0"/>
              <w:spacing w:before="0" w:after="0"/>
              <w:ind w:left="0" w:right="0" w:hanging="0"/>
              <w:jc w:val="right"/>
              <w:rPr/>
            </w:pPr>
            <w:r>
              <w:rPr/>
              <w:t>​</w:t>
            </w:r>
          </w:p>
        </w:tc>
      </w:tr>
      <w:tr>
        <w:trPr/>
        <w:tc>
          <w:tcPr>
            <w:tcW w:w="59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liabilities, redeemable noncontrolling interests and shareholders’ equity</w:t>
            </w:r>
          </w:p>
        </w:tc>
        <w:tc>
          <w:tcPr>
            <w:tcW w:w="109"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172,760,985</w:t>
            </w:r>
          </w:p>
        </w:tc>
        <w:tc>
          <w:tcPr>
            <w:tcW w:w="326" w:type="dxa"/>
            <w:tcBorders/>
            <w:shd w:fill="CCEEFF" w:val="clear"/>
            <w:vAlign w:val="center"/>
          </w:tcPr>
          <w:p>
            <w:pPr>
              <w:pStyle w:val="TableContents"/>
              <w:bidi w:val="0"/>
              <w:spacing w:before="0" w:after="0"/>
              <w:ind w:left="0" w:right="0" w:hanging="0"/>
              <w:jc w:val="left"/>
              <w:rPr/>
            </w:pPr>
            <w:r>
              <w:rPr/>
              <w:t>​</w:t>
            </w:r>
          </w:p>
        </w:tc>
        <w:tc>
          <w:tcPr>
            <w:tcW w:w="8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185,924,978</w:t>
            </w:r>
          </w:p>
        </w:tc>
        <w:tc>
          <w:tcPr>
            <w:tcW w:w="326" w:type="dxa"/>
            <w:tcBorders/>
            <w:shd w:fill="CCEEFF" w:val="clear"/>
            <w:vAlign w:val="center"/>
          </w:tcPr>
          <w:p>
            <w:pPr>
              <w:pStyle w:val="TableContents"/>
              <w:bidi w:val="0"/>
              <w:spacing w:before="0" w:after="0"/>
              <w:ind w:left="0" w:right="0" w:hanging="0"/>
              <w:jc w:val="left"/>
              <w:rPr/>
            </w:pPr>
            <w:r>
              <w:rPr/>
              <w:t>​</w:t>
            </w:r>
          </w:p>
        </w:tc>
        <w:tc>
          <w:tcPr>
            <w:tcW w:w="940" w:type="dxa"/>
            <w:tcBorders>
              <w:bottom w:val="double" w:sz="6" w:space="0" w:color="000000"/>
            </w:tcBorders>
            <w:shd w:fill="CCEEFF" w:val="clear"/>
            <w:tcMar>
              <w:bottom w:w="28" w:type="dxa"/>
            </w:tcMar>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26,186,985</w:t>
            </w:r>
          </w:p>
        </w:tc>
      </w:tr>
    </w:tbl>
    <w:p>
      <w:pPr>
        <w:pStyle w:val="TextBody"/>
        <w:bidi w:val="0"/>
        <w:spacing w:before="0" w:after="0"/>
        <w:ind w:left="14" w:right="0" w:hanging="0"/>
        <w:jc w:val="both"/>
        <w:rPr/>
      </w:pPr>
      <w:r>
        <w:rPr/>
        <w:t>​</w:t>
      </w:r>
    </w:p>
    <w:p>
      <w:pPr>
        <w:pStyle w:val="TextBody"/>
        <w:bidi w:val="0"/>
        <w:spacing w:before="0" w:after="0"/>
        <w:ind w:left="14" w:right="0" w:hanging="0"/>
        <w:jc w:val="both"/>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bookmarkStart w:id="317" w:name="_851b2205_f9ac_4ce1_98d8_919388b2f8ca"/>
      <w:bookmarkEnd w:id="317"/>
      <w:r>
        <w:rPr>
          <w:rFonts w:ascii="Times New Roman;Times;serif" w:hAnsi="Times New Roman;Times;serif"/>
          <w:b/>
          <w:sz w:val="20"/>
        </w:rPr>
        <w:t>NetEase, Inc.</w:t>
      </w:r>
    </w:p>
    <w:p>
      <w:pPr>
        <w:pStyle w:val="TextBody"/>
        <w:bidi w:val="0"/>
        <w:spacing w:before="0" w:after="0"/>
        <w:ind w:left="0" w:right="0" w:hanging="0"/>
        <w:jc w:val="both"/>
        <w:rPr>
          <w:rFonts w:ascii="Times New Roman;Times;serif" w:hAnsi="Times New Roman;Times;serif"/>
          <w:b/>
          <w:sz w:val="20"/>
        </w:rPr>
      </w:pPr>
      <w:bookmarkStart w:id="318" w:name="ConsolidatedStatementsofOperations_60696"/>
      <w:bookmarkEnd w:id="318"/>
      <w:r>
        <w:rPr>
          <w:rFonts w:ascii="Times New Roman;Times;serif" w:hAnsi="Times New Roman;Times;serif"/>
          <w:b/>
          <w:sz w:val="20"/>
        </w:rPr>
        <w:t>Consolidated Statements of Operations and Comprehensive Income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(in thousands except per share data</w:t>
      </w:r>
      <w:r>
        <w:rPr>
          <w:rFonts w:ascii="Times New Roman;Times;serif" w:hAnsi="Times New Roman;Times;serif"/>
          <w:sz w:val="20"/>
        </w:rPr>
        <w:t xml:space="preserve"> </w:t>
      </w:r>
      <w:r>
        <w:rPr>
          <w:rFonts w:ascii="Times New Roman;Times;serif" w:hAnsi="Times New Roman;Times;serif"/>
          <w:b/>
          <w:sz w:val="20"/>
        </w:rPr>
        <w:t>or per ADS data)</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319" w:name="Tc_hFv1nZO6Dk6wCFsO7cZRpw_56_0"/>
      <w:bookmarkStart w:id="320" w:name="Tc_wiYBlczkG0eG4F6LcH5tGg_55_2"/>
      <w:bookmarkStart w:id="321" w:name="Tc_TlpaG-96AUmjpuw0Cdf98A_55_0"/>
      <w:bookmarkStart w:id="322" w:name="Tc_UrrEHpgvvUCcbbYiGUHisw_54_0"/>
      <w:bookmarkStart w:id="323" w:name="Tc_j7BoFtoLXEmZ2_HCG2aFSw_53_2"/>
      <w:bookmarkStart w:id="324" w:name="Tc_qfqt9D3_-02TY6AFtZwg5w_53_0"/>
      <w:bookmarkStart w:id="325" w:name="Tc_g0rKFUe02UuuU_lKjgsjoQ_51_10"/>
      <w:bookmarkStart w:id="326" w:name="Tc_pbih5QRZJk2eEK30WXKGMw_51_8"/>
      <w:bookmarkStart w:id="327" w:name="Tc_A0STaabq3UWftrLlUbIlNw_51_4"/>
      <w:bookmarkStart w:id="328" w:name="Tc_vZASwaXp00ut_ud6lLEPaQ_51_0"/>
      <w:bookmarkStart w:id="329" w:name="Tc_CuJ3kHKfMk-OqFN1sFcYTA_50_0"/>
      <w:bookmarkStart w:id="330" w:name="Tc_SJY7pxVOM02wkcXZiLbHdQ_49_0"/>
      <w:bookmarkStart w:id="331" w:name="Tc_3gAEdUfaU0WSW3qaXXCDCw_47_10"/>
      <w:bookmarkStart w:id="332" w:name="Tc_mljukqusOUuQo1twEcjB5A_47_8"/>
      <w:bookmarkStart w:id="333" w:name="Tc_oNy6QH_vxU69iLrLSoo68g_47_4"/>
      <w:bookmarkStart w:id="334" w:name="Tc_pdOOb1MQwUGVW4I8JY0F8A_47_0"/>
      <w:bookmarkStart w:id="335" w:name="Tc_G6OpKC15pU2vf5nUuIwLQA_46_0"/>
      <w:bookmarkStart w:id="336" w:name="Tc_Fw1XZd2ZqUyuBVgEHsE05g_45_2"/>
      <w:bookmarkStart w:id="337" w:name="Tc_fPPofDY4VEaNkoQZc4l-EA_45_0"/>
      <w:bookmarkStart w:id="338" w:name="Tc_BJhQUe_O4Eu_yFwxeBMoNQ_43_10"/>
      <w:bookmarkStart w:id="339" w:name="Tc_AEi2WdLHuEWDxv9pNvMECA_43_8"/>
      <w:bookmarkStart w:id="340" w:name="Tc_BRDnNi_WnUGaSTPHO8_lYg_43_4"/>
      <w:bookmarkStart w:id="341" w:name="Tc_YFz1QzGETUegQVqKG2sgRQ_43_0"/>
      <w:bookmarkStart w:id="342" w:name="Tc_-b8wJmCg0kihZPPFwL11DQ_42_0"/>
      <w:bookmarkStart w:id="343" w:name="Tc_ZIKU9RzZyk27koVHdTY6jQ_41_0"/>
      <w:bookmarkStart w:id="344" w:name="Tc_Qd9oMz_OPUWKNN5Eiaig0w_39_10"/>
      <w:bookmarkStart w:id="345" w:name="Tc_Xx32Sdui5Ee7mS87UNwzZg_39_8"/>
      <w:bookmarkStart w:id="346" w:name="Tc_3_EbXgsm60Oh08NlB6fUjg_39_4"/>
      <w:bookmarkStart w:id="347" w:name="Tc_fKJXXYWarkeWLfJ-Staeig_39_0"/>
      <w:bookmarkStart w:id="348" w:name="Tc_5DeHZ9ohk0SKuPMSTIClTA_38_0"/>
      <w:bookmarkStart w:id="349" w:name="Tc_9knxQ6o9H0--7l0ogk3kjQ_37_2"/>
      <w:bookmarkStart w:id="350" w:name="Tc_Dfia_oFglE6w8MXMHXKhiQ_37_0"/>
      <w:bookmarkStart w:id="351" w:name="Tc_r9PXUiokZEWspTlVl9Ievg_35_0"/>
      <w:bookmarkStart w:id="352" w:name="Tc_hzAsONpUCEGLci8MlKNKwA_34_0"/>
      <w:bookmarkStart w:id="353" w:name="Tc_QUJP-CRW4kGZsUahHCKvIw_33_0"/>
      <w:bookmarkStart w:id="354" w:name="Tc_Xwxv8911XkOD0PqkxaHnMg_32_0"/>
      <w:bookmarkStart w:id="355" w:name="Tc_BabG_XHAG0iJw-8vQPUZ6A_31_0"/>
      <w:bookmarkStart w:id="356" w:name="Tc_-GFfDIyAzkm6NJCH8y9zvA_30_0"/>
      <w:bookmarkStart w:id="357" w:name="Tc_M6olZ_l_D06Cako9JtuAyg_29_10"/>
      <w:bookmarkStart w:id="358" w:name="Tc_rjHaP5dOFUiyEJFXSMt9wA_29_8"/>
      <w:bookmarkStart w:id="359" w:name="Tc_yuiWTby1006qQzYeQw4tiQ_29_4"/>
      <w:bookmarkStart w:id="360" w:name="Tc_uQI9OdHeRke6RWvgoPnsLg_29_2"/>
      <w:bookmarkStart w:id="361" w:name="Tc_h0idU9q_i0qKks71WQWjLw_29_0"/>
      <w:bookmarkStart w:id="362" w:name="Tc_-IgfxdU3xE-kckH33sPgbg_28_0"/>
      <w:bookmarkStart w:id="363" w:name="Tc_sB3G3OUIZku60c4PQNmWJA_27_0"/>
      <w:bookmarkStart w:id="364" w:name="Tc_MueXEfCzKkySg487bpvfCQ_26_0"/>
      <w:bookmarkStart w:id="365" w:name="Tc_XKfR79EJpEOFytXgZi-ukA_25_0"/>
      <w:bookmarkStart w:id="366" w:name="Tc_6GmO12xvtkCQ6aPds1WnfQ_24_0"/>
      <w:bookmarkStart w:id="367" w:name="Tc_Ib1t6DuDgEeuYb8j_VK7Og_23_0"/>
      <w:bookmarkStart w:id="368" w:name="Tc_wH8Op9iumUGyBeeVFp2HmQ_22_10"/>
      <w:bookmarkStart w:id="369" w:name="Tc_LtmnS3ab4EmmKUSWzm7Tcw_22_8"/>
      <w:bookmarkStart w:id="370" w:name="Tc_WQYtIHIHLE26F6771ZHSFg_22_4"/>
      <w:bookmarkStart w:id="371" w:name="Tc_aGHwbz6dmkKBNiRQR9of-g_22_0"/>
      <w:bookmarkStart w:id="372" w:name="Tc_QghHfKhal0q9QoBo1QwVgw_21_0"/>
      <w:bookmarkStart w:id="373" w:name="Tc_Bk08MtWiHECL78Yw7jmhCA_20_2"/>
      <w:bookmarkStart w:id="374" w:name="Tc_y1EDvS0tgESrhQDkRgbD2Q_20_0"/>
      <w:bookmarkStart w:id="375" w:name="Tc_DGkMx5FnXkCw4cmYdbXvdg_19_0"/>
      <w:bookmarkStart w:id="376" w:name="Tc_D8KgPzrUXUG51bg7Dnt-Ag_18_0"/>
      <w:bookmarkStart w:id="377" w:name="Tc_UnQXXgUMl0u9JNGSSduA7Q_17_0"/>
      <w:bookmarkStart w:id="378" w:name="Tc_ueyCTuB5BUS_LWbgPDpa4A_16_0"/>
      <w:bookmarkStart w:id="379" w:name="Tc_py8AZ8G7cEGhkbiDQOb6XQ_15_0"/>
      <w:bookmarkStart w:id="380" w:name="Tc_uqwlu4y9hEO5bpOZGdCzdA_14_0"/>
      <w:bookmarkStart w:id="381" w:name="Tc_EmtYJzcGAEaV3-lPI6fXLQ_13_0"/>
      <w:bookmarkStart w:id="382" w:name="Tc_zJRqNH0ig0W1eAl76O722A_12_0"/>
      <w:bookmarkStart w:id="383" w:name="Tc_C0BVQUtN8EaOw4yOuBLS5Q_11_0"/>
      <w:bookmarkStart w:id="384" w:name="Tc_U2_8tmC_ikCyQ1fHqhWThg_10_0"/>
      <w:bookmarkStart w:id="385" w:name="Tc_dbS_YW7mB0STkZLDz48c5w_9_0"/>
      <w:bookmarkStart w:id="386" w:name="Tc_MatVZ_HQ-E2t-i7i6EwOrA_8_0"/>
      <w:bookmarkStart w:id="387" w:name="Tc_e85MVq99j0-wkdG0KmhJsw_7_0"/>
      <w:bookmarkStart w:id="388" w:name="Tc_O8XZ2dEB7kSFLgip09vg5g_6_2"/>
      <w:bookmarkStart w:id="389" w:name="Tc_DJ7-wGRnaUG00fOhYa_FRQ_6_0"/>
      <w:bookmarkStart w:id="390" w:name="Tc__XUkj9LD0E2WBqiA_bGwRA_5_2"/>
      <w:bookmarkStart w:id="391" w:name="Tc_IXrPb1pcOE6K6qmQ0JsR4g_5_0"/>
      <w:bookmarkStart w:id="392" w:name="Tc_fNQz36SBCkq8TgIPq64kOA_4_10"/>
      <w:bookmarkStart w:id="393" w:name="Tc_0TgHl5VpX0yKy9FVwWE2sA_3_10"/>
      <w:bookmarkStart w:id="394" w:name="Tc_NK5gRPij0EeyKFW2D_-J3A_3_8"/>
      <w:bookmarkStart w:id="395" w:name="Tc_vWRgvPXrnkiJdOGZFv3j5w_3_6"/>
      <w:bookmarkStart w:id="396" w:name="Tc_gU3Pv7yJwE6-MPTb4jBkXw_3_4"/>
      <w:bookmarkStart w:id="397" w:name="Tc_69Y4I5HiCkWZj-dEW9b9lA_3_2"/>
      <w:bookmarkStart w:id="398" w:name="Tc_FHZ_WHM-3E-bR8v_0DPBcQ_2_10"/>
      <w:bookmarkStart w:id="399" w:name="Tc_72tPVeR620uZgqnfWYS6kg_2_8"/>
      <w:bookmarkStart w:id="400" w:name="Tc_WIgmA39z0EWZRRInaRBwpA_2_6"/>
      <w:bookmarkStart w:id="401" w:name="Tc_Q8_4gZQGi0iHGTZR1RNrwQ_2_4"/>
      <w:bookmarkStart w:id="402" w:name="Tc_r82CaJwUeEuWJ-n8-XTyNw_1_4"/>
      <w:bookmarkStart w:id="403" w:name="_89050f59_9a1b_47c8_8b54_e16b40cf2245"/>
      <w:bookmarkStart w:id="404" w:name="Tc_hFv1nZO6Dk6wCFsO7cZRpw_56_0"/>
      <w:bookmarkStart w:id="405" w:name="Tc_wiYBlczkG0eG4F6LcH5tGg_55_2"/>
      <w:bookmarkStart w:id="406" w:name="Tc_TlpaG-96AUmjpuw0Cdf98A_55_0"/>
      <w:bookmarkStart w:id="407" w:name="Tc_UrrEHpgvvUCcbbYiGUHisw_54_0"/>
      <w:bookmarkStart w:id="408" w:name="Tc_j7BoFtoLXEmZ2_HCG2aFSw_53_2"/>
      <w:bookmarkStart w:id="409" w:name="Tc_qfqt9D3_-02TY6AFtZwg5w_53_0"/>
      <w:bookmarkStart w:id="410" w:name="Tc_g0rKFUe02UuuU_lKjgsjoQ_51_10"/>
      <w:bookmarkStart w:id="411" w:name="Tc_pbih5QRZJk2eEK30WXKGMw_51_8"/>
      <w:bookmarkStart w:id="412" w:name="Tc_A0STaabq3UWftrLlUbIlNw_51_4"/>
      <w:bookmarkStart w:id="413" w:name="Tc_vZASwaXp00ut_ud6lLEPaQ_51_0"/>
      <w:bookmarkStart w:id="414" w:name="Tc_CuJ3kHKfMk-OqFN1sFcYTA_50_0"/>
      <w:bookmarkStart w:id="415" w:name="Tc_SJY7pxVOM02wkcXZiLbHdQ_49_0"/>
      <w:bookmarkStart w:id="416" w:name="Tc_3gAEdUfaU0WSW3qaXXCDCw_47_10"/>
      <w:bookmarkStart w:id="417" w:name="Tc_mljukqusOUuQo1twEcjB5A_47_8"/>
      <w:bookmarkStart w:id="418" w:name="Tc_oNy6QH_vxU69iLrLSoo68g_47_4"/>
      <w:bookmarkStart w:id="419" w:name="Tc_pdOOb1MQwUGVW4I8JY0F8A_47_0"/>
      <w:bookmarkStart w:id="420" w:name="Tc_G6OpKC15pU2vf5nUuIwLQA_46_0"/>
      <w:bookmarkStart w:id="421" w:name="Tc_Fw1XZd2ZqUyuBVgEHsE05g_45_2"/>
      <w:bookmarkStart w:id="422" w:name="Tc_fPPofDY4VEaNkoQZc4l-EA_45_0"/>
      <w:bookmarkStart w:id="423" w:name="Tc_BJhQUe_O4Eu_yFwxeBMoNQ_43_10"/>
      <w:bookmarkStart w:id="424" w:name="Tc_AEi2WdLHuEWDxv9pNvMECA_43_8"/>
      <w:bookmarkStart w:id="425" w:name="Tc_BRDnNi_WnUGaSTPHO8_lYg_43_4"/>
      <w:bookmarkStart w:id="426" w:name="Tc_YFz1QzGETUegQVqKG2sgRQ_43_0"/>
      <w:bookmarkStart w:id="427" w:name="Tc_-b8wJmCg0kihZPPFwL11DQ_42_0"/>
      <w:bookmarkStart w:id="428" w:name="Tc_ZIKU9RzZyk27koVHdTY6jQ_41_0"/>
      <w:bookmarkStart w:id="429" w:name="Tc_Qd9oMz_OPUWKNN5Eiaig0w_39_10"/>
      <w:bookmarkStart w:id="430" w:name="Tc_Xx32Sdui5Ee7mS87UNwzZg_39_8"/>
      <w:bookmarkStart w:id="431" w:name="Tc_3_EbXgsm60Oh08NlB6fUjg_39_4"/>
      <w:bookmarkStart w:id="432" w:name="Tc_fKJXXYWarkeWLfJ-Staeig_39_0"/>
      <w:bookmarkStart w:id="433" w:name="Tc_5DeHZ9ohk0SKuPMSTIClTA_38_0"/>
      <w:bookmarkStart w:id="434" w:name="Tc_9knxQ6o9H0--7l0ogk3kjQ_37_2"/>
      <w:bookmarkStart w:id="435" w:name="Tc_Dfia_oFglE6w8MXMHXKhiQ_37_0"/>
      <w:bookmarkStart w:id="436" w:name="Tc_r9PXUiokZEWspTlVl9Ievg_35_0"/>
      <w:bookmarkStart w:id="437" w:name="Tc_hzAsONpUCEGLci8MlKNKwA_34_0"/>
      <w:bookmarkStart w:id="438" w:name="Tc_QUJP-CRW4kGZsUahHCKvIw_33_0"/>
      <w:bookmarkStart w:id="439" w:name="Tc_Xwxv8911XkOD0PqkxaHnMg_32_0"/>
      <w:bookmarkStart w:id="440" w:name="Tc_BabG_XHAG0iJw-8vQPUZ6A_31_0"/>
      <w:bookmarkStart w:id="441" w:name="Tc_-GFfDIyAzkm6NJCH8y9zvA_30_0"/>
      <w:bookmarkStart w:id="442" w:name="Tc_M6olZ_l_D06Cako9JtuAyg_29_10"/>
      <w:bookmarkStart w:id="443" w:name="Tc_rjHaP5dOFUiyEJFXSMt9wA_29_8"/>
      <w:bookmarkStart w:id="444" w:name="Tc_yuiWTby1006qQzYeQw4tiQ_29_4"/>
      <w:bookmarkStart w:id="445" w:name="Tc_uQI9OdHeRke6RWvgoPnsLg_29_2"/>
      <w:bookmarkStart w:id="446" w:name="Tc_h0idU9q_i0qKks71WQWjLw_29_0"/>
      <w:bookmarkStart w:id="447" w:name="Tc_-IgfxdU3xE-kckH33sPgbg_28_0"/>
      <w:bookmarkStart w:id="448" w:name="Tc_sB3G3OUIZku60c4PQNmWJA_27_0"/>
      <w:bookmarkStart w:id="449" w:name="Tc_MueXEfCzKkySg487bpvfCQ_26_0"/>
      <w:bookmarkStart w:id="450" w:name="Tc_XKfR79EJpEOFytXgZi-ukA_25_0"/>
      <w:bookmarkStart w:id="451" w:name="Tc_6GmO12xvtkCQ6aPds1WnfQ_24_0"/>
      <w:bookmarkStart w:id="452" w:name="Tc_Ib1t6DuDgEeuYb8j_VK7Og_23_0"/>
      <w:bookmarkStart w:id="453" w:name="Tc_wH8Op9iumUGyBeeVFp2HmQ_22_10"/>
      <w:bookmarkStart w:id="454" w:name="Tc_LtmnS3ab4EmmKUSWzm7Tcw_22_8"/>
      <w:bookmarkStart w:id="455" w:name="Tc_WQYtIHIHLE26F6771ZHSFg_22_4"/>
      <w:bookmarkStart w:id="456" w:name="Tc_aGHwbz6dmkKBNiRQR9of-g_22_0"/>
      <w:bookmarkStart w:id="457" w:name="Tc_QghHfKhal0q9QoBo1QwVgw_21_0"/>
      <w:bookmarkStart w:id="458" w:name="Tc_Bk08MtWiHECL78Yw7jmhCA_20_2"/>
      <w:bookmarkStart w:id="459" w:name="Tc_y1EDvS0tgESrhQDkRgbD2Q_20_0"/>
      <w:bookmarkStart w:id="460" w:name="Tc_DGkMx5FnXkCw4cmYdbXvdg_19_0"/>
      <w:bookmarkStart w:id="461" w:name="Tc_D8KgPzrUXUG51bg7Dnt-Ag_18_0"/>
      <w:bookmarkStart w:id="462" w:name="Tc_UnQXXgUMl0u9JNGSSduA7Q_17_0"/>
      <w:bookmarkStart w:id="463" w:name="Tc_ueyCTuB5BUS_LWbgPDpa4A_16_0"/>
      <w:bookmarkStart w:id="464" w:name="Tc_py8AZ8G7cEGhkbiDQOb6XQ_15_0"/>
      <w:bookmarkStart w:id="465" w:name="Tc_uqwlu4y9hEO5bpOZGdCzdA_14_0"/>
      <w:bookmarkStart w:id="466" w:name="Tc_EmtYJzcGAEaV3-lPI6fXLQ_13_0"/>
      <w:bookmarkStart w:id="467" w:name="Tc_zJRqNH0ig0W1eAl76O722A_12_0"/>
      <w:bookmarkStart w:id="468" w:name="Tc_C0BVQUtN8EaOw4yOuBLS5Q_11_0"/>
      <w:bookmarkStart w:id="469" w:name="Tc_U2_8tmC_ikCyQ1fHqhWThg_10_0"/>
      <w:bookmarkStart w:id="470" w:name="Tc_dbS_YW7mB0STkZLDz48c5w_9_0"/>
      <w:bookmarkStart w:id="471" w:name="Tc_MatVZ_HQ-E2t-i7i6EwOrA_8_0"/>
      <w:bookmarkStart w:id="472" w:name="Tc_e85MVq99j0-wkdG0KmhJsw_7_0"/>
      <w:bookmarkStart w:id="473" w:name="Tc_O8XZ2dEB7kSFLgip09vg5g_6_2"/>
      <w:bookmarkStart w:id="474" w:name="Tc_DJ7-wGRnaUG00fOhYa_FRQ_6_0"/>
      <w:bookmarkStart w:id="475" w:name="Tc__XUkj9LD0E2WBqiA_bGwRA_5_2"/>
      <w:bookmarkStart w:id="476" w:name="Tc_IXrPb1pcOE6K6qmQ0JsR4g_5_0"/>
      <w:bookmarkStart w:id="477" w:name="Tc_fNQz36SBCkq8TgIPq64kOA_4_10"/>
      <w:bookmarkStart w:id="478" w:name="Tc_0TgHl5VpX0yKy9FVwWE2sA_3_10"/>
      <w:bookmarkStart w:id="479" w:name="Tc_NK5gRPij0EeyKFW2D_-J3A_3_8"/>
      <w:bookmarkStart w:id="480" w:name="Tc_vWRgvPXrnkiJdOGZFv3j5w_3_6"/>
      <w:bookmarkStart w:id="481" w:name="Tc_gU3Pv7yJwE6-MPTb4jBkXw_3_4"/>
      <w:bookmarkStart w:id="482" w:name="Tc_69Y4I5HiCkWZj-dEW9b9lA_3_2"/>
      <w:bookmarkStart w:id="483" w:name="Tc_FHZ_WHM-3E-bR8v_0DPBcQ_2_10"/>
      <w:bookmarkStart w:id="484" w:name="Tc_72tPVeR620uZgqnfWYS6kg_2_8"/>
      <w:bookmarkStart w:id="485" w:name="Tc_WIgmA39z0EWZRRInaRBwpA_2_6"/>
      <w:bookmarkStart w:id="486" w:name="Tc_Q8_4gZQGi0iHGTZR1RNrwQ_2_4"/>
      <w:bookmarkStart w:id="487" w:name="Tc_r82CaJwUeEuWJ-n8-XTyNw_1_4"/>
      <w:bookmarkStart w:id="488" w:name="_89050f59_9a1b_47c8_8b54_e16b40cf2245"/>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p>
    <w:tbl>
      <w:tblPr>
        <w:tblW w:w="10205" w:type="dxa"/>
        <w:jc w:val="left"/>
        <w:tblInd w:w="0" w:type="dxa"/>
        <w:tblLayout w:type="fixed"/>
        <w:tblCellMar>
          <w:top w:w="0" w:type="dxa"/>
          <w:left w:w="0" w:type="dxa"/>
          <w:bottom w:w="0" w:type="dxa"/>
          <w:right w:w="0" w:type="dxa"/>
        </w:tblCellMar>
      </w:tblPr>
      <w:tblGrid>
        <w:gridCol w:w="4071"/>
        <w:gridCol w:w="326"/>
        <w:gridCol w:w="496"/>
        <w:gridCol w:w="326"/>
        <w:gridCol w:w="1005"/>
        <w:gridCol w:w="326"/>
        <w:gridCol w:w="1005"/>
        <w:gridCol w:w="326"/>
        <w:gridCol w:w="1020"/>
        <w:gridCol w:w="326"/>
        <w:gridCol w:w="978"/>
      </w:tblGrid>
      <w:tr>
        <w:trPr/>
        <w:tc>
          <w:tcPr>
            <w:tcW w:w="4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585085" cy="175260"/>
                      <wp:effectExtent l="0" t="0" r="0" b="0"/>
                      <wp:wrapNone/>
                      <wp:docPr id="308" name="Frame307"/>
                      <a:graphic xmlns:a="http://schemas.openxmlformats.org/drawingml/2006/main">
                        <a:graphicData uri="http://schemas.microsoft.com/office/word/2010/wordprocessingShape">
                          <wps:wsp>
                            <wps:cNvSpPr txBox="1"/>
                            <wps:spPr>
                              <a:xfrm>
                                <a:off x="0" y="0"/>
                                <a:ext cx="2585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07010" cy="175260"/>
                      <wp:effectExtent l="0" t="0" r="0" b="0"/>
                      <wp:wrapNone/>
                      <wp:docPr id="309" name="Frame3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314960" cy="175260"/>
                      <wp:effectExtent l="0" t="0" r="0" b="0"/>
                      <wp:wrapNone/>
                      <wp:docPr id="310" name="Frame309"/>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07010" cy="175260"/>
                      <wp:effectExtent l="0" t="0" r="0" b="0"/>
                      <wp:wrapNone/>
                      <wp:docPr id="311" name="Frame3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38175" cy="175260"/>
                      <wp:effectExtent l="0" t="0" r="0" b="0"/>
                      <wp:wrapNone/>
                      <wp:docPr id="312" name="Frame311"/>
                      <a:graphic xmlns:a="http://schemas.openxmlformats.org/drawingml/2006/main">
                        <a:graphicData uri="http://schemas.microsoft.com/office/word/2010/wordprocessingShape">
                          <wps:wsp>
                            <wps:cNvSpPr txBox="1"/>
                            <wps:spPr>
                              <a:xfrm>
                                <a:off x="0" y="0"/>
                                <a:ext cx="638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07010" cy="175260"/>
                      <wp:effectExtent l="0" t="0" r="0" b="0"/>
                      <wp:wrapNone/>
                      <wp:docPr id="313" name="Frame3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38175" cy="175260"/>
                      <wp:effectExtent l="0" t="0" r="0" b="0"/>
                      <wp:wrapNone/>
                      <wp:docPr id="314" name="Frame313"/>
                      <a:graphic xmlns:a="http://schemas.openxmlformats.org/drawingml/2006/main">
                        <a:graphicData uri="http://schemas.microsoft.com/office/word/2010/wordprocessingShape">
                          <wps:wsp>
                            <wps:cNvSpPr txBox="1"/>
                            <wps:spPr>
                              <a:xfrm>
                                <a:off x="0" y="0"/>
                                <a:ext cx="638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07010" cy="175260"/>
                      <wp:effectExtent l="0" t="0" r="0" b="0"/>
                      <wp:wrapNone/>
                      <wp:docPr id="315" name="Frame3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47700" cy="175260"/>
                      <wp:effectExtent l="0" t="0" r="0" b="0"/>
                      <wp:wrapNone/>
                      <wp:docPr id="316" name="Frame315"/>
                      <a:graphic xmlns:a="http://schemas.openxmlformats.org/drawingml/2006/main">
                        <a:graphicData uri="http://schemas.microsoft.com/office/word/2010/wordprocessingShape">
                          <wps:wsp>
                            <wps:cNvSpPr txBox="1"/>
                            <wps:spPr>
                              <a:xfrm>
                                <a:off x="0" y="0"/>
                                <a:ext cx="647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07010" cy="175260"/>
                      <wp:effectExtent l="0" t="0" r="0" b="0"/>
                      <wp:wrapNone/>
                      <wp:docPr id="317" name="Frame3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21030" cy="175260"/>
                      <wp:effectExtent l="0" t="0" r="0" b="0"/>
                      <wp:wrapNone/>
                      <wp:docPr id="318" name="Frame317"/>
                      <a:graphic xmlns:a="http://schemas.openxmlformats.org/drawingml/2006/main">
                        <a:graphicData uri="http://schemas.microsoft.com/office/word/2010/wordprocessingShape">
                          <wps:wsp>
                            <wps:cNvSpPr txBox="1"/>
                            <wps:spPr>
                              <a:xfrm>
                                <a:off x="0" y="0"/>
                                <a:ext cx="621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86"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40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0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left"/>
              <w:rPr/>
            </w:pPr>
            <w:r>
              <w:rPr/>
              <w:t>    </w:t>
            </w:r>
          </w:p>
        </w:tc>
        <w:tc>
          <w:tcPr>
            <w:tcW w:w="100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02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97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0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center"/>
              <w:rPr>
                <w:rFonts w:ascii="Times New Roman;Times;serif" w:hAnsi="Times New Roman;Times;serif"/>
                <w:b/>
                <w:i/>
                <w:sz w:val="16"/>
              </w:rPr>
            </w:pPr>
            <w:r>
              <w:rPr>
                <w:rFonts w:ascii="Times New Roman;Times;serif" w:hAnsi="Times New Roman;Times;serif"/>
                <w:b/>
                <w:i/>
                <w:sz w:val="16"/>
              </w:rPr>
              <w:t>Notes</w:t>
            </w:r>
          </w:p>
        </w:tc>
        <w:tc>
          <w:tcPr>
            <w:tcW w:w="326" w:type="dxa"/>
            <w:tcBorders/>
            <w:vAlign w:val="center"/>
          </w:tcPr>
          <w:p>
            <w:pPr>
              <w:pStyle w:val="TableContents"/>
              <w:bidi w:val="0"/>
              <w:spacing w:before="0" w:after="0"/>
              <w:ind w:left="0" w:right="0" w:hanging="0"/>
              <w:jc w:val="left"/>
              <w:rPr/>
            </w:pPr>
            <w:r>
              <w:rPr/>
              <w:t>​</w:t>
            </w:r>
          </w:p>
        </w:tc>
        <w:tc>
          <w:tcPr>
            <w:tcW w:w="100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100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102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40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0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2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 2(q)</w:t>
            </w:r>
          </w:p>
        </w:tc>
      </w:tr>
      <w:tr>
        <w:trPr/>
        <w:tc>
          <w:tcPr>
            <w:tcW w:w="40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revenues</w:t>
            </w:r>
          </w:p>
        </w:tc>
        <w:tc>
          <w:tcPr>
            <w:tcW w:w="32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28</w:t>
            </w:r>
          </w:p>
        </w:tc>
        <w:tc>
          <w:tcPr>
            <w:tcW w:w="326" w:type="dxa"/>
            <w:tcBorders/>
            <w:shd w:fill="CCEEFF" w:val="clear"/>
            <w:vAlign w:val="center"/>
          </w:tcPr>
          <w:p>
            <w:pPr>
              <w:pStyle w:val="TableContents"/>
              <w:bidi w:val="0"/>
              <w:spacing w:before="0" w:after="0"/>
              <w:ind w:left="0" w:right="0" w:hanging="0"/>
              <w:jc w:val="left"/>
              <w:rPr/>
            </w:pPr>
            <w:r>
              <w:rPr/>
              <w:t>​</w:t>
            </w:r>
          </w:p>
        </w:tc>
        <w:tc>
          <w:tcPr>
            <w:tcW w:w="10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87,606,026</w:t>
            </w:r>
          </w:p>
        </w:tc>
        <w:tc>
          <w:tcPr>
            <w:tcW w:w="326" w:type="dxa"/>
            <w:tcBorders/>
            <w:shd w:fill="CCEEFF" w:val="clear"/>
            <w:vAlign w:val="center"/>
          </w:tcPr>
          <w:p>
            <w:pPr>
              <w:pStyle w:val="TableContents"/>
              <w:bidi w:val="0"/>
              <w:spacing w:before="0" w:after="0"/>
              <w:ind w:left="0" w:right="0" w:hanging="0"/>
              <w:jc w:val="left"/>
              <w:rPr/>
            </w:pPr>
            <w:r>
              <w:rPr/>
              <w:t>​</w:t>
            </w:r>
          </w:p>
        </w:tc>
        <w:tc>
          <w:tcPr>
            <w:tcW w:w="10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96,495,809</w:t>
            </w:r>
          </w:p>
        </w:tc>
        <w:tc>
          <w:tcPr>
            <w:tcW w:w="326" w:type="dxa"/>
            <w:tcBorders/>
            <w:shd w:fill="CCEEFF" w:val="clear"/>
            <w:vAlign w:val="center"/>
          </w:tcPr>
          <w:p>
            <w:pPr>
              <w:pStyle w:val="TableContents"/>
              <w:bidi w:val="0"/>
              <w:spacing w:before="0" w:after="0"/>
              <w:ind w:left="0" w:right="0" w:hanging="0"/>
              <w:jc w:val="left"/>
              <w:rPr/>
            </w:pPr>
            <w:r>
              <w:rPr/>
              <w:t>​</w:t>
            </w:r>
          </w:p>
        </w:tc>
        <w:tc>
          <w:tcPr>
            <w:tcW w:w="10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103,468,159</w:t>
            </w:r>
          </w:p>
        </w:tc>
        <w:tc>
          <w:tcPr>
            <w:tcW w:w="326"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14,573,185</w:t>
            </w:r>
          </w:p>
        </w:tc>
      </w:tr>
      <w:tr>
        <w:trPr/>
        <w:tc>
          <w:tcPr>
            <w:tcW w:w="407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Cost of revenues</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28</w:t>
            </w:r>
          </w:p>
        </w:tc>
        <w:tc>
          <w:tcPr>
            <w:tcW w:w="326" w:type="dxa"/>
            <w:tcBorders/>
            <w:vAlign w:val="center"/>
          </w:tcPr>
          <w:p>
            <w:pPr>
              <w:pStyle w:val="TableContents"/>
              <w:bidi w:val="0"/>
              <w:spacing w:before="0" w:after="0"/>
              <w:ind w:left="0" w:right="0" w:hanging="0"/>
              <w:jc w:val="left"/>
              <w:rPr/>
            </w:pPr>
            <w:r>
              <w:rPr/>
              <w:t>​</w:t>
            </w:r>
          </w:p>
        </w:tc>
        <w:tc>
          <w:tcPr>
            <w:tcW w:w="10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(40,635,225)</w:t>
            </w:r>
          </w:p>
        </w:tc>
        <w:tc>
          <w:tcPr>
            <w:tcW w:w="326" w:type="dxa"/>
            <w:tcBorders/>
            <w:vAlign w:val="center"/>
          </w:tcPr>
          <w:p>
            <w:pPr>
              <w:pStyle w:val="TableContents"/>
              <w:bidi w:val="0"/>
              <w:spacing w:before="0" w:after="0"/>
              <w:ind w:left="0" w:right="0" w:hanging="0"/>
              <w:jc w:val="left"/>
              <w:rPr/>
            </w:pPr>
            <w:r>
              <w:rPr/>
              <w:t> </w:t>
            </w:r>
          </w:p>
        </w:tc>
        <w:tc>
          <w:tcPr>
            <w:tcW w:w="10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(43,729,683)</w:t>
            </w:r>
          </w:p>
        </w:tc>
        <w:tc>
          <w:tcPr>
            <w:tcW w:w="326" w:type="dxa"/>
            <w:tcBorders/>
            <w:vAlign w:val="center"/>
          </w:tcPr>
          <w:p>
            <w:pPr>
              <w:pStyle w:val="TableContents"/>
              <w:bidi w:val="0"/>
              <w:spacing w:before="0" w:after="0"/>
              <w:ind w:left="0" w:right="0" w:hanging="0"/>
              <w:jc w:val="left"/>
              <w:rPr/>
            </w:pPr>
            <w:r>
              <w:rPr/>
              <w:t> </w:t>
            </w:r>
          </w:p>
        </w:tc>
        <w:tc>
          <w:tcPr>
            <w:tcW w:w="10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(40,404,765)</w:t>
            </w:r>
          </w:p>
        </w:tc>
        <w:tc>
          <w:tcPr>
            <w:tcW w:w="326" w:type="dxa"/>
            <w:tcBorders/>
            <w:vAlign w:val="center"/>
          </w:tcPr>
          <w:p>
            <w:pPr>
              <w:pStyle w:val="TableContents"/>
              <w:bidi w:val="0"/>
              <w:spacing w:before="0" w:after="0"/>
              <w:ind w:left="0" w:right="0" w:hanging="0"/>
              <w:jc w:val="left"/>
              <w:rPr/>
            </w:pPr>
            <w:r>
              <w:rPr/>
              <w:t>​</w:t>
            </w:r>
          </w:p>
        </w:tc>
        <w:tc>
          <w:tcPr>
            <w:tcW w:w="9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(5,690,892)</w:t>
            </w:r>
          </w:p>
        </w:tc>
      </w:tr>
      <w:tr>
        <w:trPr/>
        <w:tc>
          <w:tcPr>
            <w:tcW w:w="407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Gross profit</w:t>
            </w:r>
          </w:p>
        </w:tc>
        <w:tc>
          <w:tcPr>
            <w:tcW w:w="32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46,970,801</w:t>
            </w:r>
          </w:p>
        </w:tc>
        <w:tc>
          <w:tcPr>
            <w:tcW w:w="326" w:type="dxa"/>
            <w:tcBorders/>
            <w:shd w:fill="CCEEFF" w:val="clear"/>
            <w:vAlign w:val="center"/>
          </w:tcPr>
          <w:p>
            <w:pPr>
              <w:pStyle w:val="TableContents"/>
              <w:bidi w:val="0"/>
              <w:spacing w:before="0" w:after="0"/>
              <w:ind w:left="0" w:right="0" w:hanging="0"/>
              <w:jc w:val="left"/>
              <w:rPr/>
            </w:pPr>
            <w:r>
              <w:rPr/>
              <w:t>​</w:t>
            </w:r>
          </w:p>
        </w:tc>
        <w:tc>
          <w:tcPr>
            <w:tcW w:w="10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52,766,126</w:t>
            </w:r>
          </w:p>
        </w:tc>
        <w:tc>
          <w:tcPr>
            <w:tcW w:w="326" w:type="dxa"/>
            <w:tcBorders/>
            <w:shd w:fill="CCEEFF" w:val="clear"/>
            <w:vAlign w:val="center"/>
          </w:tcPr>
          <w:p>
            <w:pPr>
              <w:pStyle w:val="TableContents"/>
              <w:bidi w:val="0"/>
              <w:spacing w:before="0" w:after="0"/>
              <w:ind w:left="0" w:right="0" w:hanging="0"/>
              <w:jc w:val="left"/>
              <w:rPr/>
            </w:pPr>
            <w:r>
              <w:rPr/>
              <w:t>​</w:t>
            </w:r>
          </w:p>
        </w:tc>
        <w:tc>
          <w:tcPr>
            <w:tcW w:w="10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63,063,394</w:t>
            </w:r>
          </w:p>
        </w:tc>
        <w:tc>
          <w:tcPr>
            <w:tcW w:w="326" w:type="dxa"/>
            <w:tcBorders/>
            <w:shd w:fill="CCEEFF" w:val="clear"/>
            <w:vAlign w:val="center"/>
          </w:tcPr>
          <w:p>
            <w:pPr>
              <w:pStyle w:val="TableContents"/>
              <w:bidi w:val="0"/>
              <w:spacing w:before="0" w:after="0"/>
              <w:ind w:left="0" w:right="0" w:hanging="0"/>
              <w:jc w:val="left"/>
              <w:rPr/>
            </w:pPr>
            <w:r>
              <w:rPr/>
              <w:t>​</w:t>
            </w:r>
          </w:p>
        </w:tc>
        <w:tc>
          <w:tcPr>
            <w:tcW w:w="9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8,882,293</w:t>
            </w:r>
          </w:p>
        </w:tc>
      </w:tr>
      <w:tr>
        <w:trPr/>
        <w:tc>
          <w:tcPr>
            <w:tcW w:w="4071"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Operating expenses:</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left"/>
              <w:rPr/>
            </w:pPr>
            <w:r>
              <w:rPr/>
              <w:t>​</w:t>
            </w:r>
          </w:p>
        </w:tc>
      </w:tr>
      <w:tr>
        <w:trPr/>
        <w:tc>
          <w:tcPr>
            <w:tcW w:w="40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Selling and marketing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(12,214,191)</w:t>
            </w:r>
          </w:p>
        </w:tc>
        <w:tc>
          <w:tcPr>
            <w:tcW w:w="326" w:type="dxa"/>
            <w:tcBorders/>
            <w:shd w:fill="CCEEFF" w:val="clear"/>
            <w:vAlign w:val="center"/>
          </w:tcPr>
          <w:p>
            <w:pPr>
              <w:pStyle w:val="TableContents"/>
              <w:bidi w:val="0"/>
              <w:spacing w:before="0" w:after="0"/>
              <w:ind w:left="0" w:right="0" w:hanging="0"/>
              <w:jc w:val="left"/>
              <w:rPr/>
            </w:pPr>
            <w:r>
              <w:rPr/>
              <w:t> </w:t>
            </w:r>
          </w:p>
        </w:tc>
        <w:tc>
          <w:tcPr>
            <w:tcW w:w="10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(13,402,721)</w:t>
            </w:r>
          </w:p>
        </w:tc>
        <w:tc>
          <w:tcPr>
            <w:tcW w:w="326" w:type="dxa"/>
            <w:tcBorders/>
            <w:shd w:fill="CCEEFF" w:val="clear"/>
            <w:vAlign w:val="center"/>
          </w:tcPr>
          <w:p>
            <w:pPr>
              <w:pStyle w:val="TableContents"/>
              <w:bidi w:val="0"/>
              <w:spacing w:before="0" w:after="0"/>
              <w:ind w:left="0" w:right="0" w:hanging="0"/>
              <w:jc w:val="left"/>
              <w:rPr/>
            </w:pPr>
            <w:r>
              <w:rPr/>
              <w:t> </w:t>
            </w:r>
          </w:p>
        </w:tc>
        <w:tc>
          <w:tcPr>
            <w:tcW w:w="10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(13,969,460)</w:t>
            </w:r>
          </w:p>
        </w:tc>
        <w:tc>
          <w:tcPr>
            <w:tcW w:w="326"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(1,967,557)</w:t>
            </w:r>
          </w:p>
        </w:tc>
      </w:tr>
      <w:tr>
        <w:trPr/>
        <w:tc>
          <w:tcPr>
            <w:tcW w:w="407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General and administrative expenses</w:t>
            </w:r>
          </w:p>
        </w:tc>
        <w:tc>
          <w:tcPr>
            <w:tcW w:w="32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(4,263,549)</w:t>
            </w:r>
          </w:p>
        </w:tc>
        <w:tc>
          <w:tcPr>
            <w:tcW w:w="326" w:type="dxa"/>
            <w:tcBorders/>
            <w:vAlign w:val="center"/>
          </w:tcPr>
          <w:p>
            <w:pPr>
              <w:pStyle w:val="TableContents"/>
              <w:bidi w:val="0"/>
              <w:spacing w:before="0" w:after="0"/>
              <w:ind w:left="0" w:right="0" w:hanging="0"/>
              <w:jc w:val="left"/>
              <w:rPr/>
            </w:pPr>
            <w:r>
              <w:rPr/>
              <w:t> </w:t>
            </w:r>
          </w:p>
        </w:tc>
        <w:tc>
          <w:tcPr>
            <w:tcW w:w="100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(4,695,798)</w:t>
            </w:r>
          </w:p>
        </w:tc>
        <w:tc>
          <w:tcPr>
            <w:tcW w:w="32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(4,899,880)</w:t>
            </w:r>
          </w:p>
        </w:tc>
        <w:tc>
          <w:tcPr>
            <w:tcW w:w="326"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(690,134)</w:t>
            </w:r>
          </w:p>
        </w:tc>
      </w:tr>
      <w:tr>
        <w:trPr/>
        <w:tc>
          <w:tcPr>
            <w:tcW w:w="40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Research and development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(14,075,991)</w:t>
            </w:r>
          </w:p>
        </w:tc>
        <w:tc>
          <w:tcPr>
            <w:tcW w:w="326" w:type="dxa"/>
            <w:tcBorders/>
            <w:shd w:fill="CCEEFF" w:val="clear"/>
            <w:vAlign w:val="center"/>
          </w:tcPr>
          <w:p>
            <w:pPr>
              <w:pStyle w:val="TableContents"/>
              <w:bidi w:val="0"/>
              <w:spacing w:before="0" w:after="0"/>
              <w:ind w:left="0" w:right="0" w:hanging="0"/>
              <w:jc w:val="left"/>
              <w:rPr/>
            </w:pPr>
            <w:r>
              <w:rPr/>
              <w:t> </w:t>
            </w:r>
          </w:p>
        </w:tc>
        <w:tc>
          <w:tcPr>
            <w:tcW w:w="10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(15,039,014)</w:t>
            </w:r>
          </w:p>
        </w:tc>
        <w:tc>
          <w:tcPr>
            <w:tcW w:w="326" w:type="dxa"/>
            <w:tcBorders/>
            <w:shd w:fill="CCEEFF" w:val="clear"/>
            <w:vAlign w:val="center"/>
          </w:tcPr>
          <w:p>
            <w:pPr>
              <w:pStyle w:val="TableContents"/>
              <w:bidi w:val="0"/>
              <w:spacing w:before="0" w:after="0"/>
              <w:ind w:left="0" w:right="0" w:hanging="0"/>
              <w:jc w:val="left"/>
              <w:rPr/>
            </w:pPr>
            <w:r>
              <w:rPr/>
              <w:t> </w:t>
            </w:r>
          </w:p>
        </w:tc>
        <w:tc>
          <w:tcPr>
            <w:tcW w:w="10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(16,484,910)</w:t>
            </w:r>
          </w:p>
        </w:tc>
        <w:tc>
          <w:tcPr>
            <w:tcW w:w="326" w:type="dxa"/>
            <w:tcBorders/>
            <w:shd w:fill="CCEEFF" w:val="clear"/>
            <w:vAlign w:val="center"/>
          </w:tcPr>
          <w:p>
            <w:pPr>
              <w:pStyle w:val="TableContents"/>
              <w:bidi w:val="0"/>
              <w:spacing w:before="0" w:after="0"/>
              <w:ind w:left="0" w:right="0" w:hanging="0"/>
              <w:jc w:val="left"/>
              <w:rPr/>
            </w:pPr>
            <w:r>
              <w:rPr/>
              <w:t>​</w:t>
            </w:r>
          </w:p>
        </w:tc>
        <w:tc>
          <w:tcPr>
            <w:tcW w:w="9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(2,321,851)</w:t>
            </w:r>
          </w:p>
        </w:tc>
      </w:tr>
      <w:tr>
        <w:trPr/>
        <w:tc>
          <w:tcPr>
            <w:tcW w:w="407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operating expenses</w:t>
            </w:r>
          </w:p>
        </w:tc>
        <w:tc>
          <w:tcPr>
            <w:tcW w:w="32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(30,553,731)</w:t>
            </w:r>
          </w:p>
        </w:tc>
        <w:tc>
          <w:tcPr>
            <w:tcW w:w="326" w:type="dxa"/>
            <w:tcBorders/>
            <w:vAlign w:val="center"/>
          </w:tcPr>
          <w:p>
            <w:pPr>
              <w:pStyle w:val="TableContents"/>
              <w:bidi w:val="0"/>
              <w:spacing w:before="0" w:after="0"/>
              <w:ind w:left="0" w:right="0" w:hanging="0"/>
              <w:jc w:val="left"/>
              <w:rPr/>
            </w:pPr>
            <w:r>
              <w:rPr/>
              <w:t> </w:t>
            </w:r>
          </w:p>
        </w:tc>
        <w:tc>
          <w:tcPr>
            <w:tcW w:w="10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(33,137,533)</w:t>
            </w:r>
          </w:p>
        </w:tc>
        <w:tc>
          <w:tcPr>
            <w:tcW w:w="326" w:type="dxa"/>
            <w:tcBorders/>
            <w:vAlign w:val="center"/>
          </w:tcPr>
          <w:p>
            <w:pPr>
              <w:pStyle w:val="TableContents"/>
              <w:bidi w:val="0"/>
              <w:spacing w:before="0" w:after="0"/>
              <w:ind w:left="0" w:right="0" w:hanging="0"/>
              <w:jc w:val="left"/>
              <w:rPr/>
            </w:pPr>
            <w:r>
              <w:rPr/>
              <w:t> </w:t>
            </w:r>
          </w:p>
        </w:tc>
        <w:tc>
          <w:tcPr>
            <w:tcW w:w="10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(35,354,250)</w:t>
            </w:r>
          </w:p>
        </w:tc>
        <w:tc>
          <w:tcPr>
            <w:tcW w:w="326" w:type="dxa"/>
            <w:tcBorders/>
            <w:vAlign w:val="center"/>
          </w:tcPr>
          <w:p>
            <w:pPr>
              <w:pStyle w:val="TableContents"/>
              <w:bidi w:val="0"/>
              <w:spacing w:before="0" w:after="0"/>
              <w:ind w:left="0" w:right="0" w:hanging="0"/>
              <w:jc w:val="left"/>
              <w:rPr/>
            </w:pPr>
            <w:r>
              <w:rPr/>
              <w:t>​</w:t>
            </w:r>
          </w:p>
        </w:tc>
        <w:tc>
          <w:tcPr>
            <w:tcW w:w="9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(4,979,542)</w:t>
            </w:r>
          </w:p>
        </w:tc>
      </w:tr>
      <w:tr>
        <w:trPr/>
        <w:tc>
          <w:tcPr>
            <w:tcW w:w="407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Operating profit</w:t>
            </w:r>
          </w:p>
        </w:tc>
        <w:tc>
          <w:tcPr>
            <w:tcW w:w="32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05"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16,417,070</w:t>
            </w:r>
          </w:p>
        </w:tc>
        <w:tc>
          <w:tcPr>
            <w:tcW w:w="326" w:type="dxa"/>
            <w:tcBorders/>
            <w:shd w:fill="CCEEFF" w:val="clear"/>
            <w:vAlign w:val="center"/>
          </w:tcPr>
          <w:p>
            <w:pPr>
              <w:pStyle w:val="TableContents"/>
              <w:bidi w:val="0"/>
              <w:spacing w:before="0" w:after="0"/>
              <w:ind w:left="0" w:right="0" w:hanging="0"/>
              <w:jc w:val="left"/>
              <w:rPr/>
            </w:pPr>
            <w:r>
              <w:rPr/>
              <w:t> </w:t>
            </w:r>
          </w:p>
        </w:tc>
        <w:tc>
          <w:tcPr>
            <w:tcW w:w="1005"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19,628,593</w:t>
            </w:r>
          </w:p>
        </w:tc>
        <w:tc>
          <w:tcPr>
            <w:tcW w:w="326" w:type="dxa"/>
            <w:tcBorders/>
            <w:shd w:fill="CCEEFF" w:val="clear"/>
            <w:vAlign w:val="center"/>
          </w:tcPr>
          <w:p>
            <w:pPr>
              <w:pStyle w:val="TableContents"/>
              <w:bidi w:val="0"/>
              <w:spacing w:before="0" w:after="0"/>
              <w:ind w:left="0" w:right="0" w:hanging="0"/>
              <w:jc w:val="left"/>
              <w:rPr/>
            </w:pPr>
            <w:r>
              <w:rPr/>
              <w:t> </w:t>
            </w:r>
          </w:p>
        </w:tc>
        <w:tc>
          <w:tcPr>
            <w:tcW w:w="1020"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27,709,144</w:t>
            </w:r>
          </w:p>
        </w:tc>
        <w:tc>
          <w:tcPr>
            <w:tcW w:w="326"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3,902,751</w:t>
            </w:r>
          </w:p>
        </w:tc>
      </w:tr>
      <w:tr>
        <w:trPr/>
        <w:tc>
          <w:tcPr>
            <w:tcW w:w="4071"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Other income/(expenses):</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0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2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pPr>
            <w:r>
              <w:rPr/>
              <w:t>​</w:t>
            </w:r>
          </w:p>
        </w:tc>
      </w:tr>
      <w:tr>
        <w:trPr/>
        <w:tc>
          <w:tcPr>
            <w:tcW w:w="40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Investment income, net</w:t>
            </w:r>
          </w:p>
        </w:tc>
        <w:tc>
          <w:tcPr>
            <w:tcW w:w="32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2,947,721</w:t>
            </w:r>
          </w:p>
        </w:tc>
        <w:tc>
          <w:tcPr>
            <w:tcW w:w="326" w:type="dxa"/>
            <w:tcBorders/>
            <w:shd w:fill="CCEEFF" w:val="clear"/>
            <w:vAlign w:val="center"/>
          </w:tcPr>
          <w:p>
            <w:pPr>
              <w:pStyle w:val="TableContents"/>
              <w:bidi w:val="0"/>
              <w:spacing w:before="0" w:after="0"/>
              <w:ind w:left="0" w:right="0" w:hanging="0"/>
              <w:jc w:val="left"/>
              <w:rPr/>
            </w:pPr>
            <w:r>
              <w:rPr/>
              <w:t> </w:t>
            </w:r>
          </w:p>
        </w:tc>
        <w:tc>
          <w:tcPr>
            <w:tcW w:w="10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53,976</w:t>
            </w:r>
          </w:p>
        </w:tc>
        <w:tc>
          <w:tcPr>
            <w:tcW w:w="326" w:type="dxa"/>
            <w:tcBorders/>
            <w:shd w:fill="CCEEFF" w:val="clear"/>
            <w:vAlign w:val="center"/>
          </w:tcPr>
          <w:p>
            <w:pPr>
              <w:pStyle w:val="TableContents"/>
              <w:bidi w:val="0"/>
              <w:spacing w:before="0" w:after="0"/>
              <w:ind w:left="0" w:right="0" w:hanging="0"/>
              <w:jc w:val="left"/>
              <w:rPr/>
            </w:pPr>
            <w:r>
              <w:rPr/>
              <w:t> </w:t>
            </w:r>
          </w:p>
        </w:tc>
        <w:tc>
          <w:tcPr>
            <w:tcW w:w="10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1,306,722</w:t>
            </w:r>
          </w:p>
        </w:tc>
        <w:tc>
          <w:tcPr>
            <w:tcW w:w="326"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184,048</w:t>
            </w:r>
          </w:p>
        </w:tc>
      </w:tr>
      <w:tr>
        <w:trPr/>
        <w:tc>
          <w:tcPr>
            <w:tcW w:w="407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income, net</w:t>
            </w:r>
          </w:p>
        </w:tc>
        <w:tc>
          <w:tcPr>
            <w:tcW w:w="32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1,519,714</w:t>
            </w:r>
          </w:p>
        </w:tc>
        <w:tc>
          <w:tcPr>
            <w:tcW w:w="326" w:type="dxa"/>
            <w:tcBorders/>
            <w:vAlign w:val="center"/>
          </w:tcPr>
          <w:p>
            <w:pPr>
              <w:pStyle w:val="TableContents"/>
              <w:bidi w:val="0"/>
              <w:spacing w:before="0" w:after="0"/>
              <w:ind w:left="0" w:right="0" w:hanging="0"/>
              <w:jc w:val="left"/>
              <w:rPr/>
            </w:pPr>
            <w:r>
              <w:rPr/>
              <w:t> </w:t>
            </w:r>
          </w:p>
        </w:tc>
        <w:tc>
          <w:tcPr>
            <w:tcW w:w="100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2,149,673</w:t>
            </w:r>
          </w:p>
        </w:tc>
        <w:tc>
          <w:tcPr>
            <w:tcW w:w="32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4,120,418</w:t>
            </w:r>
          </w:p>
        </w:tc>
        <w:tc>
          <w:tcPr>
            <w:tcW w:w="326"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580,349</w:t>
            </w:r>
          </w:p>
        </w:tc>
      </w:tr>
      <w:tr>
        <w:trPr/>
        <w:tc>
          <w:tcPr>
            <w:tcW w:w="40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Exchange (losses)/gains, net</w:t>
            </w:r>
          </w:p>
        </w:tc>
        <w:tc>
          <w:tcPr>
            <w:tcW w:w="32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(490,481)</w:t>
            </w:r>
          </w:p>
        </w:tc>
        <w:tc>
          <w:tcPr>
            <w:tcW w:w="326" w:type="dxa"/>
            <w:tcBorders/>
            <w:shd w:fill="CCEEFF" w:val="clear"/>
            <w:vAlign w:val="center"/>
          </w:tcPr>
          <w:p>
            <w:pPr>
              <w:pStyle w:val="TableContents"/>
              <w:bidi w:val="0"/>
              <w:spacing w:before="0" w:after="0"/>
              <w:ind w:left="0" w:right="0" w:hanging="0"/>
              <w:jc w:val="left"/>
              <w:rPr/>
            </w:pPr>
            <w:r>
              <w:rPr/>
              <w:t> </w:t>
            </w:r>
          </w:p>
        </w:tc>
        <w:tc>
          <w:tcPr>
            <w:tcW w:w="10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1,571,207</w:t>
            </w:r>
          </w:p>
        </w:tc>
        <w:tc>
          <w:tcPr>
            <w:tcW w:w="326" w:type="dxa"/>
            <w:tcBorders/>
            <w:shd w:fill="CCEEFF" w:val="clear"/>
            <w:vAlign w:val="center"/>
          </w:tcPr>
          <w:p>
            <w:pPr>
              <w:pStyle w:val="TableContents"/>
              <w:bidi w:val="0"/>
              <w:spacing w:before="0" w:after="0"/>
              <w:ind w:left="0" w:right="0" w:hanging="0"/>
              <w:jc w:val="left"/>
              <w:rPr/>
            </w:pPr>
            <w:r>
              <w:rPr/>
              <w:t> </w:t>
            </w:r>
          </w:p>
        </w:tc>
        <w:tc>
          <w:tcPr>
            <w:tcW w:w="10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(132,999)</w:t>
            </w:r>
          </w:p>
        </w:tc>
        <w:tc>
          <w:tcPr>
            <w:tcW w:w="326"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(18,733)</w:t>
            </w:r>
          </w:p>
        </w:tc>
      </w:tr>
      <w:tr>
        <w:trPr/>
        <w:tc>
          <w:tcPr>
            <w:tcW w:w="407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net</w:t>
            </w:r>
          </w:p>
        </w:tc>
        <w:tc>
          <w:tcPr>
            <w:tcW w:w="32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710,435</w:t>
            </w:r>
          </w:p>
        </w:tc>
        <w:tc>
          <w:tcPr>
            <w:tcW w:w="326" w:type="dxa"/>
            <w:tcBorders/>
            <w:vAlign w:val="center"/>
          </w:tcPr>
          <w:p>
            <w:pPr>
              <w:pStyle w:val="TableContents"/>
              <w:bidi w:val="0"/>
              <w:spacing w:before="0" w:after="0"/>
              <w:ind w:left="0" w:right="0" w:hanging="0"/>
              <w:jc w:val="left"/>
              <w:rPr/>
            </w:pPr>
            <w:r>
              <w:rPr/>
              <w:t> </w:t>
            </w:r>
          </w:p>
        </w:tc>
        <w:tc>
          <w:tcPr>
            <w:tcW w:w="10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846,815</w:t>
            </w:r>
          </w:p>
        </w:tc>
        <w:tc>
          <w:tcPr>
            <w:tcW w:w="326" w:type="dxa"/>
            <w:tcBorders/>
            <w:vAlign w:val="center"/>
          </w:tcPr>
          <w:p>
            <w:pPr>
              <w:pStyle w:val="TableContents"/>
              <w:bidi w:val="0"/>
              <w:spacing w:before="0" w:after="0"/>
              <w:ind w:left="0" w:right="0" w:hanging="0"/>
              <w:jc w:val="left"/>
              <w:rPr/>
            </w:pPr>
            <w:r>
              <w:rPr/>
              <w:t> </w:t>
            </w:r>
          </w:p>
        </w:tc>
        <w:tc>
          <w:tcPr>
            <w:tcW w:w="10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1,053,642</w:t>
            </w:r>
          </w:p>
        </w:tc>
        <w:tc>
          <w:tcPr>
            <w:tcW w:w="326" w:type="dxa"/>
            <w:tcBorders/>
            <w:vAlign w:val="center"/>
          </w:tcPr>
          <w:p>
            <w:pPr>
              <w:pStyle w:val="TableContents"/>
              <w:bidi w:val="0"/>
              <w:spacing w:before="0" w:after="0"/>
              <w:ind w:left="0" w:right="0" w:hanging="0"/>
              <w:jc w:val="left"/>
              <w:rPr/>
            </w:pPr>
            <w:r>
              <w:rPr/>
              <w:t>​</w:t>
            </w:r>
          </w:p>
        </w:tc>
        <w:tc>
          <w:tcPr>
            <w:tcW w:w="9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148,402</w:t>
            </w:r>
          </w:p>
        </w:tc>
      </w:tr>
      <w:tr>
        <w:trPr/>
        <w:tc>
          <w:tcPr>
            <w:tcW w:w="407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Income before tax</w:t>
            </w:r>
          </w:p>
        </w:tc>
        <w:tc>
          <w:tcPr>
            <w:tcW w:w="32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05"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21,104,459</w:t>
            </w:r>
          </w:p>
        </w:tc>
        <w:tc>
          <w:tcPr>
            <w:tcW w:w="326" w:type="dxa"/>
            <w:tcBorders/>
            <w:shd w:fill="CCEEFF" w:val="clear"/>
            <w:vAlign w:val="center"/>
          </w:tcPr>
          <w:p>
            <w:pPr>
              <w:pStyle w:val="TableContents"/>
              <w:bidi w:val="0"/>
              <w:spacing w:before="0" w:after="0"/>
              <w:ind w:left="0" w:right="0" w:hanging="0"/>
              <w:jc w:val="left"/>
              <w:rPr/>
            </w:pPr>
            <w:r>
              <w:rPr/>
              <w:t> </w:t>
            </w:r>
          </w:p>
        </w:tc>
        <w:tc>
          <w:tcPr>
            <w:tcW w:w="1005"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24,250,264</w:t>
            </w:r>
          </w:p>
        </w:tc>
        <w:tc>
          <w:tcPr>
            <w:tcW w:w="326" w:type="dxa"/>
            <w:tcBorders/>
            <w:shd w:fill="CCEEFF" w:val="clear"/>
            <w:vAlign w:val="center"/>
          </w:tcPr>
          <w:p>
            <w:pPr>
              <w:pStyle w:val="TableContents"/>
              <w:bidi w:val="0"/>
              <w:spacing w:before="0" w:after="0"/>
              <w:ind w:left="0" w:right="0" w:hanging="0"/>
              <w:jc w:val="left"/>
              <w:rPr/>
            </w:pPr>
            <w:r>
              <w:rPr/>
              <w:t> </w:t>
            </w:r>
          </w:p>
        </w:tc>
        <w:tc>
          <w:tcPr>
            <w:tcW w:w="1020"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34,056,927</w:t>
            </w:r>
          </w:p>
        </w:tc>
        <w:tc>
          <w:tcPr>
            <w:tcW w:w="326"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4,796,817</w:t>
            </w:r>
          </w:p>
        </w:tc>
      </w:tr>
      <w:tr>
        <w:trPr/>
        <w:tc>
          <w:tcPr>
            <w:tcW w:w="407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w:t>
            </w:r>
          </w:p>
        </w:tc>
        <w:tc>
          <w:tcPr>
            <w:tcW w:w="32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13(a)</w:t>
            </w:r>
          </w:p>
        </w:tc>
        <w:tc>
          <w:tcPr>
            <w:tcW w:w="326" w:type="dxa"/>
            <w:tcBorders/>
            <w:vAlign w:val="center"/>
          </w:tcPr>
          <w:p>
            <w:pPr>
              <w:pStyle w:val="TableContents"/>
              <w:bidi w:val="0"/>
              <w:spacing w:before="0" w:after="0"/>
              <w:ind w:left="0" w:right="0" w:hanging="0"/>
              <w:jc w:val="left"/>
              <w:rPr/>
            </w:pPr>
            <w:r>
              <w:rPr/>
              <w:t>​</w:t>
            </w:r>
          </w:p>
        </w:tc>
        <w:tc>
          <w:tcPr>
            <w:tcW w:w="10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(4,128,269)</w:t>
            </w:r>
          </w:p>
        </w:tc>
        <w:tc>
          <w:tcPr>
            <w:tcW w:w="326" w:type="dxa"/>
            <w:tcBorders/>
            <w:vAlign w:val="center"/>
          </w:tcPr>
          <w:p>
            <w:pPr>
              <w:pStyle w:val="TableContents"/>
              <w:bidi w:val="0"/>
              <w:spacing w:before="0" w:after="0"/>
              <w:ind w:left="0" w:right="0" w:hanging="0"/>
              <w:jc w:val="left"/>
              <w:rPr/>
            </w:pPr>
            <w:r>
              <w:rPr/>
              <w:t> </w:t>
            </w:r>
          </w:p>
        </w:tc>
        <w:tc>
          <w:tcPr>
            <w:tcW w:w="10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(5,031,838)</w:t>
            </w:r>
          </w:p>
        </w:tc>
        <w:tc>
          <w:tcPr>
            <w:tcW w:w="326" w:type="dxa"/>
            <w:tcBorders/>
            <w:vAlign w:val="center"/>
          </w:tcPr>
          <w:p>
            <w:pPr>
              <w:pStyle w:val="TableContents"/>
              <w:bidi w:val="0"/>
              <w:spacing w:before="0" w:after="0"/>
              <w:ind w:left="0" w:right="0" w:hanging="0"/>
              <w:jc w:val="left"/>
              <w:rPr/>
            </w:pPr>
            <w:r>
              <w:rPr/>
              <w:t> </w:t>
            </w:r>
          </w:p>
        </w:tc>
        <w:tc>
          <w:tcPr>
            <w:tcW w:w="10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(4,699,704)</w:t>
            </w:r>
          </w:p>
        </w:tc>
        <w:tc>
          <w:tcPr>
            <w:tcW w:w="326" w:type="dxa"/>
            <w:tcBorders/>
            <w:vAlign w:val="center"/>
          </w:tcPr>
          <w:p>
            <w:pPr>
              <w:pStyle w:val="TableContents"/>
              <w:bidi w:val="0"/>
              <w:spacing w:before="0" w:after="0"/>
              <w:ind w:left="0" w:right="0" w:hanging="0"/>
              <w:jc w:val="left"/>
              <w:rPr/>
            </w:pPr>
            <w:r>
              <w:rPr/>
              <w:t>​</w:t>
            </w:r>
          </w:p>
        </w:tc>
        <w:tc>
          <w:tcPr>
            <w:tcW w:w="9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(661,939)</w:t>
            </w:r>
          </w:p>
        </w:tc>
      </w:tr>
      <w:tr>
        <w:trPr/>
        <w:tc>
          <w:tcPr>
            <w:tcW w:w="40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from continuing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16,976,190</w:t>
            </w:r>
          </w:p>
        </w:tc>
        <w:tc>
          <w:tcPr>
            <w:tcW w:w="326" w:type="dxa"/>
            <w:tcBorders/>
            <w:shd w:fill="CCEEFF" w:val="clear"/>
            <w:vAlign w:val="center"/>
          </w:tcPr>
          <w:p>
            <w:pPr>
              <w:pStyle w:val="TableContents"/>
              <w:bidi w:val="0"/>
              <w:spacing w:before="0" w:after="0"/>
              <w:ind w:left="0" w:right="0" w:hanging="0"/>
              <w:jc w:val="left"/>
              <w:rPr/>
            </w:pPr>
            <w:r>
              <w:rPr/>
              <w:t>​</w:t>
            </w:r>
          </w:p>
        </w:tc>
        <w:tc>
          <w:tcPr>
            <w:tcW w:w="10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19,218,426</w:t>
            </w:r>
          </w:p>
        </w:tc>
        <w:tc>
          <w:tcPr>
            <w:tcW w:w="326" w:type="dxa"/>
            <w:tcBorders/>
            <w:shd w:fill="CCEEFF" w:val="clear"/>
            <w:vAlign w:val="center"/>
          </w:tcPr>
          <w:p>
            <w:pPr>
              <w:pStyle w:val="TableContents"/>
              <w:bidi w:val="0"/>
              <w:spacing w:before="0" w:after="0"/>
              <w:ind w:left="0" w:right="0" w:hanging="0"/>
              <w:jc w:val="left"/>
              <w:rPr/>
            </w:pPr>
            <w:r>
              <w:rPr/>
              <w:t>​</w:t>
            </w:r>
          </w:p>
        </w:tc>
        <w:tc>
          <w:tcPr>
            <w:tcW w:w="10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29,357,223</w:t>
            </w:r>
          </w:p>
        </w:tc>
        <w:tc>
          <w:tcPr>
            <w:tcW w:w="326"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4,134,878</w:t>
            </w:r>
          </w:p>
        </w:tc>
      </w:tr>
      <w:tr>
        <w:trPr/>
        <w:tc>
          <w:tcPr>
            <w:tcW w:w="407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from discontinued operations</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624,864</w:t>
            </w:r>
          </w:p>
        </w:tc>
        <w:tc>
          <w:tcPr>
            <w:tcW w:w="326" w:type="dxa"/>
            <w:tcBorders/>
            <w:vAlign w:val="center"/>
          </w:tcPr>
          <w:p>
            <w:pPr>
              <w:pStyle w:val="TableContents"/>
              <w:bidi w:val="0"/>
              <w:spacing w:before="0" w:after="0"/>
              <w:ind w:left="0" w:right="0" w:hanging="0"/>
              <w:jc w:val="left"/>
              <w:rPr/>
            </w:pPr>
            <w:r>
              <w:rPr/>
              <w:t>​</w:t>
            </w:r>
          </w:p>
        </w:tc>
        <w:tc>
          <w:tcPr>
            <w:tcW w:w="102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7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07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income</w:t>
            </w:r>
          </w:p>
        </w:tc>
        <w:tc>
          <w:tcPr>
            <w:tcW w:w="32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05"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16,976,190</w:t>
            </w:r>
          </w:p>
        </w:tc>
        <w:tc>
          <w:tcPr>
            <w:tcW w:w="326" w:type="dxa"/>
            <w:tcBorders/>
            <w:shd w:fill="CCEEFF" w:val="clear"/>
            <w:vAlign w:val="center"/>
          </w:tcPr>
          <w:p>
            <w:pPr>
              <w:pStyle w:val="TableContents"/>
              <w:bidi w:val="0"/>
              <w:spacing w:before="0" w:after="0"/>
              <w:ind w:left="0" w:right="0" w:hanging="0"/>
              <w:jc w:val="left"/>
              <w:rPr/>
            </w:pPr>
            <w:r>
              <w:rPr/>
              <w:t> </w:t>
            </w:r>
          </w:p>
        </w:tc>
        <w:tc>
          <w:tcPr>
            <w:tcW w:w="1005"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19,843,290</w:t>
            </w:r>
          </w:p>
        </w:tc>
        <w:tc>
          <w:tcPr>
            <w:tcW w:w="326" w:type="dxa"/>
            <w:tcBorders/>
            <w:shd w:fill="CCEEFF" w:val="clear"/>
            <w:vAlign w:val="center"/>
          </w:tcPr>
          <w:p>
            <w:pPr>
              <w:pStyle w:val="TableContents"/>
              <w:bidi w:val="0"/>
              <w:spacing w:before="0" w:after="0"/>
              <w:ind w:left="0" w:right="0" w:hanging="0"/>
              <w:jc w:val="left"/>
              <w:rPr/>
            </w:pPr>
            <w:r>
              <w:rPr/>
              <w:t> </w:t>
            </w:r>
          </w:p>
        </w:tc>
        <w:tc>
          <w:tcPr>
            <w:tcW w:w="1020"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29,357,223</w:t>
            </w:r>
          </w:p>
        </w:tc>
        <w:tc>
          <w:tcPr>
            <w:tcW w:w="326"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4,134,878</w:t>
            </w:r>
          </w:p>
        </w:tc>
      </w:tr>
      <w:tr>
        <w:trPr/>
        <w:tc>
          <w:tcPr>
            <w:tcW w:w="407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Accretion of redeemable noncontrolling interests</w:t>
            </w:r>
          </w:p>
        </w:tc>
        <w:tc>
          <w:tcPr>
            <w:tcW w:w="32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(536,981)</w:t>
            </w:r>
          </w:p>
        </w:tc>
        <w:tc>
          <w:tcPr>
            <w:tcW w:w="326" w:type="dxa"/>
            <w:tcBorders/>
            <w:vAlign w:val="center"/>
          </w:tcPr>
          <w:p>
            <w:pPr>
              <w:pStyle w:val="TableContents"/>
              <w:bidi w:val="0"/>
              <w:spacing w:before="0" w:after="0"/>
              <w:ind w:left="0" w:right="0" w:hanging="0"/>
              <w:jc w:val="left"/>
              <w:rPr/>
            </w:pPr>
            <w:r>
              <w:rPr/>
              <w:t> </w:t>
            </w:r>
          </w:p>
        </w:tc>
        <w:tc>
          <w:tcPr>
            <w:tcW w:w="100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(2,978)</w:t>
            </w:r>
          </w:p>
        </w:tc>
        <w:tc>
          <w:tcPr>
            <w:tcW w:w="32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(3,589)</w:t>
            </w:r>
          </w:p>
        </w:tc>
        <w:tc>
          <w:tcPr>
            <w:tcW w:w="326"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(506)</w:t>
            </w:r>
          </w:p>
        </w:tc>
      </w:tr>
      <w:tr>
        <w:trPr/>
        <w:tc>
          <w:tcPr>
            <w:tcW w:w="40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 attributable to noncontrolling interests and redeemable noncontrolling interests</w:t>
            </w:r>
          </w:p>
        </w:tc>
        <w:tc>
          <w:tcPr>
            <w:tcW w:w="32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417,633</w:t>
            </w:r>
          </w:p>
        </w:tc>
        <w:tc>
          <w:tcPr>
            <w:tcW w:w="326" w:type="dxa"/>
            <w:tcBorders/>
            <w:shd w:fill="CCEEFF" w:val="clear"/>
            <w:vAlign w:val="center"/>
          </w:tcPr>
          <w:p>
            <w:pPr>
              <w:pStyle w:val="TableContents"/>
              <w:bidi w:val="0"/>
              <w:spacing w:before="0" w:after="0"/>
              <w:ind w:left="0" w:right="0" w:hanging="0"/>
              <w:jc w:val="left"/>
              <w:rPr/>
            </w:pPr>
            <w:r>
              <w:rPr/>
              <w:t>​</w:t>
            </w:r>
          </w:p>
        </w:tc>
        <w:tc>
          <w:tcPr>
            <w:tcW w:w="10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497,288</w:t>
            </w:r>
          </w:p>
        </w:tc>
        <w:tc>
          <w:tcPr>
            <w:tcW w:w="326" w:type="dxa"/>
            <w:tcBorders/>
            <w:shd w:fill="CCEEFF" w:val="clear"/>
            <w:vAlign w:val="center"/>
          </w:tcPr>
          <w:p>
            <w:pPr>
              <w:pStyle w:val="TableContents"/>
              <w:bidi w:val="0"/>
              <w:spacing w:before="0" w:after="0"/>
              <w:ind w:left="0" w:right="0" w:hanging="0"/>
              <w:jc w:val="left"/>
              <w:rPr/>
            </w:pPr>
            <w:r>
              <w:rPr/>
              <w:t>​</w:t>
            </w:r>
          </w:p>
        </w:tc>
        <w:tc>
          <w:tcPr>
            <w:tcW w:w="10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62,918</w:t>
            </w:r>
          </w:p>
        </w:tc>
        <w:tc>
          <w:tcPr>
            <w:tcW w:w="326" w:type="dxa"/>
            <w:tcBorders/>
            <w:shd w:fill="CCEEFF" w:val="clear"/>
            <w:vAlign w:val="center"/>
          </w:tcPr>
          <w:p>
            <w:pPr>
              <w:pStyle w:val="TableContents"/>
              <w:bidi w:val="0"/>
              <w:spacing w:before="0" w:after="0"/>
              <w:ind w:left="0" w:right="0" w:hanging="0"/>
              <w:jc w:val="left"/>
              <w:rPr/>
            </w:pPr>
            <w:r>
              <w:rPr/>
              <w:t>​</w:t>
            </w:r>
          </w:p>
        </w:tc>
        <w:tc>
          <w:tcPr>
            <w:tcW w:w="9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8,862</w:t>
            </w:r>
          </w:p>
        </w:tc>
      </w:tr>
      <w:tr>
        <w:trPr/>
        <w:tc>
          <w:tcPr>
            <w:tcW w:w="4071"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income attributable to the Company’s shareholders</w:t>
            </w:r>
          </w:p>
        </w:tc>
        <w:tc>
          <w:tcPr>
            <w:tcW w:w="32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5"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16,856,842</w:t>
            </w:r>
          </w:p>
        </w:tc>
        <w:tc>
          <w:tcPr>
            <w:tcW w:w="326" w:type="dxa"/>
            <w:tcBorders/>
            <w:vAlign w:val="center"/>
          </w:tcPr>
          <w:p>
            <w:pPr>
              <w:pStyle w:val="TableContents"/>
              <w:bidi w:val="0"/>
              <w:spacing w:before="0" w:after="0"/>
              <w:ind w:left="0" w:right="0" w:hanging="0"/>
              <w:jc w:val="left"/>
              <w:rPr/>
            </w:pPr>
            <w:r>
              <w:rPr/>
              <w:t> </w:t>
            </w:r>
          </w:p>
        </w:tc>
        <w:tc>
          <w:tcPr>
            <w:tcW w:w="1005"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20,337,600</w:t>
            </w:r>
          </w:p>
        </w:tc>
        <w:tc>
          <w:tcPr>
            <w:tcW w:w="32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29,416,552</w:t>
            </w:r>
          </w:p>
        </w:tc>
        <w:tc>
          <w:tcPr>
            <w:tcW w:w="326"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4,143,234</w:t>
            </w:r>
          </w:p>
        </w:tc>
      </w:tr>
      <w:tr>
        <w:trPr/>
        <w:tc>
          <w:tcPr>
            <w:tcW w:w="40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Including:</w:t>
            </w:r>
          </w:p>
        </w:tc>
        <w:tc>
          <w:tcPr>
            <w:tcW w:w="32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0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0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2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pPr>
            <w:r>
              <w:rPr/>
              <w:t>​</w:t>
            </w:r>
          </w:p>
        </w:tc>
      </w:tr>
      <w:tr>
        <w:trPr/>
        <w:tc>
          <w:tcPr>
            <w:tcW w:w="407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from continuing operations attributable to the Company’s shareholders</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16,856,842</w:t>
            </w:r>
          </w:p>
        </w:tc>
        <w:tc>
          <w:tcPr>
            <w:tcW w:w="326" w:type="dxa"/>
            <w:tcBorders/>
            <w:vAlign w:val="center"/>
          </w:tcPr>
          <w:p>
            <w:pPr>
              <w:pStyle w:val="TableContents"/>
              <w:bidi w:val="0"/>
              <w:spacing w:before="0" w:after="0"/>
              <w:ind w:left="0" w:right="0" w:hanging="0"/>
              <w:jc w:val="left"/>
              <w:rPr/>
            </w:pPr>
            <w:r>
              <w:rPr/>
              <w:t>​</w:t>
            </w:r>
          </w:p>
        </w:tc>
        <w:tc>
          <w:tcPr>
            <w:tcW w:w="100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19,712,736</w:t>
            </w:r>
          </w:p>
        </w:tc>
        <w:tc>
          <w:tcPr>
            <w:tcW w:w="326" w:type="dxa"/>
            <w:tcBorders/>
            <w:vAlign w:val="center"/>
          </w:tcPr>
          <w:p>
            <w:pPr>
              <w:pStyle w:val="TableContents"/>
              <w:bidi w:val="0"/>
              <w:spacing w:before="0" w:after="0"/>
              <w:ind w:left="0" w:right="0" w:hanging="0"/>
              <w:jc w:val="left"/>
              <w:rPr/>
            </w:pPr>
            <w:r>
              <w:rPr/>
              <w:t>​</w:t>
            </w:r>
          </w:p>
        </w:tc>
        <w:tc>
          <w:tcPr>
            <w:tcW w:w="10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29,416,552</w:t>
            </w:r>
          </w:p>
        </w:tc>
        <w:tc>
          <w:tcPr>
            <w:tcW w:w="326"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4,143,234</w:t>
            </w:r>
          </w:p>
        </w:tc>
      </w:tr>
      <w:tr>
        <w:trPr/>
        <w:tc>
          <w:tcPr>
            <w:tcW w:w="40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from discontinued operations attributable to the Company’s shareholders</w:t>
            </w:r>
          </w:p>
        </w:tc>
        <w:tc>
          <w:tcPr>
            <w:tcW w:w="32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100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624,864</w:t>
            </w:r>
          </w:p>
        </w:tc>
        <w:tc>
          <w:tcPr>
            <w:tcW w:w="326" w:type="dxa"/>
            <w:tcBorders/>
            <w:shd w:fill="CCEEFF" w:val="clear"/>
            <w:vAlign w:val="center"/>
          </w:tcPr>
          <w:p>
            <w:pPr>
              <w:pStyle w:val="TableContents"/>
              <w:bidi w:val="0"/>
              <w:spacing w:before="0" w:after="0"/>
              <w:ind w:left="0" w:right="0" w:hanging="0"/>
              <w:jc w:val="left"/>
              <w:rPr/>
            </w:pPr>
            <w:r>
              <w:rPr/>
              <w:t>​</w:t>
            </w:r>
          </w:p>
        </w:tc>
        <w:tc>
          <w:tcPr>
            <w:tcW w:w="102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pPr>
            <w:r>
              <w:rPr/>
              <w:t>—</w:t>
            </w:r>
          </w:p>
        </w:tc>
      </w:tr>
      <w:tr>
        <w:trPr/>
        <w:tc>
          <w:tcPr>
            <w:tcW w:w="4071"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income</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5"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16,976,190</w:t>
            </w:r>
          </w:p>
        </w:tc>
        <w:tc>
          <w:tcPr>
            <w:tcW w:w="326" w:type="dxa"/>
            <w:tcBorders/>
            <w:vAlign w:val="center"/>
          </w:tcPr>
          <w:p>
            <w:pPr>
              <w:pStyle w:val="TableContents"/>
              <w:bidi w:val="0"/>
              <w:spacing w:before="0" w:after="0"/>
              <w:ind w:left="0" w:right="0" w:hanging="0"/>
              <w:jc w:val="left"/>
              <w:rPr/>
            </w:pPr>
            <w:r>
              <w:rPr/>
              <w:t> </w:t>
            </w:r>
          </w:p>
        </w:tc>
        <w:tc>
          <w:tcPr>
            <w:tcW w:w="1005"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19,843,290</w:t>
            </w:r>
          </w:p>
        </w:tc>
        <w:tc>
          <w:tcPr>
            <w:tcW w:w="32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29,357,223</w:t>
            </w:r>
          </w:p>
        </w:tc>
        <w:tc>
          <w:tcPr>
            <w:tcW w:w="326"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4,134,878</w:t>
            </w:r>
          </w:p>
        </w:tc>
      </w:tr>
      <w:tr>
        <w:trPr/>
        <w:tc>
          <w:tcPr>
            <w:tcW w:w="407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Other comprehensive income</w:t>
            </w:r>
          </w:p>
        </w:tc>
        <w:tc>
          <w:tcPr>
            <w:tcW w:w="32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0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0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2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pPr>
            <w:r>
              <w:rPr/>
              <w:t>​</w:t>
            </w:r>
          </w:p>
        </w:tc>
      </w:tr>
      <w:tr>
        <w:trPr/>
        <w:tc>
          <w:tcPr>
            <w:tcW w:w="407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 adjustment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(183,190)</w:t>
            </w:r>
          </w:p>
        </w:tc>
        <w:tc>
          <w:tcPr>
            <w:tcW w:w="326" w:type="dxa"/>
            <w:tcBorders/>
            <w:vAlign w:val="center"/>
          </w:tcPr>
          <w:p>
            <w:pPr>
              <w:pStyle w:val="TableContents"/>
              <w:bidi w:val="0"/>
              <w:spacing w:before="0" w:after="0"/>
              <w:ind w:left="0" w:right="0" w:hanging="0"/>
              <w:jc w:val="left"/>
              <w:rPr/>
            </w:pPr>
            <w:r>
              <w:rPr/>
              <w:t>​</w:t>
            </w:r>
          </w:p>
        </w:tc>
        <w:tc>
          <w:tcPr>
            <w:tcW w:w="100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1,441,414</w:t>
            </w:r>
          </w:p>
        </w:tc>
        <w:tc>
          <w:tcPr>
            <w:tcW w:w="326" w:type="dxa"/>
            <w:tcBorders/>
            <w:vAlign w:val="center"/>
          </w:tcPr>
          <w:p>
            <w:pPr>
              <w:pStyle w:val="TableContents"/>
              <w:bidi w:val="0"/>
              <w:spacing w:before="0" w:after="0"/>
              <w:ind w:left="0" w:right="0" w:hanging="0"/>
              <w:jc w:val="left"/>
              <w:rPr/>
            </w:pPr>
            <w:r>
              <w:rPr/>
              <w:t>​</w:t>
            </w:r>
          </w:p>
        </w:tc>
        <w:tc>
          <w:tcPr>
            <w:tcW w:w="10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221,872</w:t>
            </w:r>
          </w:p>
        </w:tc>
        <w:tc>
          <w:tcPr>
            <w:tcW w:w="326"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31,250</w:t>
            </w:r>
          </w:p>
        </w:tc>
      </w:tr>
      <w:tr>
        <w:trPr/>
        <w:tc>
          <w:tcPr>
            <w:tcW w:w="407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comprehensive income</w:t>
            </w:r>
          </w:p>
        </w:tc>
        <w:tc>
          <w:tcPr>
            <w:tcW w:w="32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05"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16,793,000</w:t>
            </w:r>
          </w:p>
        </w:tc>
        <w:tc>
          <w:tcPr>
            <w:tcW w:w="326" w:type="dxa"/>
            <w:tcBorders/>
            <w:shd w:fill="CCEEFF" w:val="clear"/>
            <w:vAlign w:val="center"/>
          </w:tcPr>
          <w:p>
            <w:pPr>
              <w:pStyle w:val="TableContents"/>
              <w:bidi w:val="0"/>
              <w:spacing w:before="0" w:after="0"/>
              <w:ind w:left="0" w:right="0" w:hanging="0"/>
              <w:jc w:val="left"/>
              <w:rPr/>
            </w:pPr>
            <w:r>
              <w:rPr/>
              <w:t>​</w:t>
            </w:r>
          </w:p>
        </w:tc>
        <w:tc>
          <w:tcPr>
            <w:tcW w:w="1005"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21,284,704</w:t>
            </w:r>
          </w:p>
        </w:tc>
        <w:tc>
          <w:tcPr>
            <w:tcW w:w="326" w:type="dxa"/>
            <w:tcBorders/>
            <w:shd w:fill="CCEEFF" w:val="clear"/>
            <w:vAlign w:val="center"/>
          </w:tcPr>
          <w:p>
            <w:pPr>
              <w:pStyle w:val="TableContents"/>
              <w:bidi w:val="0"/>
              <w:spacing w:before="0" w:after="0"/>
              <w:ind w:left="0" w:right="0" w:hanging="0"/>
              <w:jc w:val="left"/>
              <w:rPr/>
            </w:pPr>
            <w:r>
              <w:rPr/>
              <w:t>​</w:t>
            </w:r>
          </w:p>
        </w:tc>
        <w:tc>
          <w:tcPr>
            <w:tcW w:w="1020"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29,579,095</w:t>
            </w:r>
          </w:p>
        </w:tc>
        <w:tc>
          <w:tcPr>
            <w:tcW w:w="326"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4,166,128</w:t>
            </w:r>
          </w:p>
        </w:tc>
      </w:tr>
      <w:tr>
        <w:trPr/>
        <w:tc>
          <w:tcPr>
            <w:tcW w:w="407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Comprehensive loss attributable to noncontrolling interests and redeemable noncontrolling interests</w:t>
            </w:r>
          </w:p>
        </w:tc>
        <w:tc>
          <w:tcPr>
            <w:tcW w:w="32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423,215</w:t>
            </w:r>
          </w:p>
        </w:tc>
        <w:tc>
          <w:tcPr>
            <w:tcW w:w="326" w:type="dxa"/>
            <w:tcBorders/>
            <w:vAlign w:val="center"/>
          </w:tcPr>
          <w:p>
            <w:pPr>
              <w:pStyle w:val="TableContents"/>
              <w:bidi w:val="0"/>
              <w:spacing w:before="0" w:after="0"/>
              <w:ind w:left="0" w:right="0" w:hanging="0"/>
              <w:jc w:val="left"/>
              <w:rPr/>
            </w:pPr>
            <w:r>
              <w:rPr/>
              <w:t> </w:t>
            </w:r>
          </w:p>
        </w:tc>
        <w:tc>
          <w:tcPr>
            <w:tcW w:w="100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315,725</w:t>
            </w:r>
          </w:p>
        </w:tc>
        <w:tc>
          <w:tcPr>
            <w:tcW w:w="32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26,040</w:t>
            </w:r>
          </w:p>
        </w:tc>
        <w:tc>
          <w:tcPr>
            <w:tcW w:w="326"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3,668</w:t>
            </w:r>
          </w:p>
        </w:tc>
      </w:tr>
      <w:tr>
        <w:trPr/>
        <w:tc>
          <w:tcPr>
            <w:tcW w:w="407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Comprehensive income attributable to the Company’s shareholders</w:t>
            </w:r>
          </w:p>
        </w:tc>
        <w:tc>
          <w:tcPr>
            <w:tcW w:w="32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05"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17,216,215</w:t>
            </w:r>
          </w:p>
        </w:tc>
        <w:tc>
          <w:tcPr>
            <w:tcW w:w="326" w:type="dxa"/>
            <w:tcBorders/>
            <w:shd w:fill="CCEEFF" w:val="clear"/>
            <w:vAlign w:val="center"/>
          </w:tcPr>
          <w:p>
            <w:pPr>
              <w:pStyle w:val="TableContents"/>
              <w:bidi w:val="0"/>
              <w:spacing w:before="0" w:after="0"/>
              <w:ind w:left="0" w:right="0" w:hanging="0"/>
              <w:jc w:val="left"/>
              <w:rPr/>
            </w:pPr>
            <w:r>
              <w:rPr/>
              <w:t> </w:t>
            </w:r>
          </w:p>
        </w:tc>
        <w:tc>
          <w:tcPr>
            <w:tcW w:w="1005"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21,600,429</w:t>
            </w:r>
          </w:p>
        </w:tc>
        <w:tc>
          <w:tcPr>
            <w:tcW w:w="326" w:type="dxa"/>
            <w:tcBorders/>
            <w:shd w:fill="CCEEFF" w:val="clear"/>
            <w:vAlign w:val="center"/>
          </w:tcPr>
          <w:p>
            <w:pPr>
              <w:pStyle w:val="TableContents"/>
              <w:bidi w:val="0"/>
              <w:spacing w:before="0" w:after="0"/>
              <w:ind w:left="0" w:right="0" w:hanging="0"/>
              <w:jc w:val="left"/>
              <w:rPr/>
            </w:pPr>
            <w:r>
              <w:rPr/>
              <w:t> </w:t>
            </w:r>
          </w:p>
        </w:tc>
        <w:tc>
          <w:tcPr>
            <w:tcW w:w="1020"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29,605,135</w:t>
            </w:r>
          </w:p>
        </w:tc>
        <w:tc>
          <w:tcPr>
            <w:tcW w:w="326"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4,169,796</w:t>
            </w:r>
          </w:p>
        </w:tc>
      </w:tr>
      <w:tr>
        <w:trPr/>
        <w:tc>
          <w:tcPr>
            <w:tcW w:w="40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0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2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pPr>
            <w:r>
              <w:rPr/>
              <w:t>​</w:t>
            </w:r>
          </w:p>
        </w:tc>
      </w:tr>
      <w:tr>
        <w:trPr/>
        <w:tc>
          <w:tcPr>
            <w:tcW w:w="40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per share, basic</w:t>
            </w:r>
          </w:p>
        </w:tc>
        <w:tc>
          <w:tcPr>
            <w:tcW w:w="32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23</w:t>
            </w:r>
          </w:p>
        </w:tc>
        <w:tc>
          <w:tcPr>
            <w:tcW w:w="326" w:type="dxa"/>
            <w:tcBorders/>
            <w:shd w:fill="CCEEFF" w:val="clear"/>
            <w:vAlign w:val="center"/>
          </w:tcPr>
          <w:p>
            <w:pPr>
              <w:pStyle w:val="TableContents"/>
              <w:bidi w:val="0"/>
              <w:spacing w:before="0" w:after="0"/>
              <w:ind w:left="0" w:right="0" w:hanging="0"/>
              <w:jc w:val="left"/>
              <w:rPr/>
            </w:pPr>
            <w:r>
              <w:rPr/>
              <w:t>​</w:t>
            </w:r>
          </w:p>
        </w:tc>
        <w:tc>
          <w:tcPr>
            <w:tcW w:w="10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5.07</w:t>
            </w:r>
          </w:p>
        </w:tc>
        <w:tc>
          <w:tcPr>
            <w:tcW w:w="326" w:type="dxa"/>
            <w:tcBorders/>
            <w:shd w:fill="CCEEFF" w:val="clear"/>
            <w:vAlign w:val="center"/>
          </w:tcPr>
          <w:p>
            <w:pPr>
              <w:pStyle w:val="TableContents"/>
              <w:bidi w:val="0"/>
              <w:spacing w:before="0" w:after="0"/>
              <w:ind w:left="0" w:right="0" w:hanging="0"/>
              <w:jc w:val="left"/>
              <w:rPr/>
            </w:pPr>
            <w:r>
              <w:rPr/>
              <w:t> </w:t>
            </w:r>
          </w:p>
        </w:tc>
        <w:tc>
          <w:tcPr>
            <w:tcW w:w="10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6.23</w:t>
            </w:r>
          </w:p>
        </w:tc>
        <w:tc>
          <w:tcPr>
            <w:tcW w:w="326" w:type="dxa"/>
            <w:tcBorders/>
            <w:shd w:fill="CCEEFF" w:val="clear"/>
            <w:vAlign w:val="center"/>
          </w:tcPr>
          <w:p>
            <w:pPr>
              <w:pStyle w:val="TableContents"/>
              <w:bidi w:val="0"/>
              <w:spacing w:before="0" w:after="0"/>
              <w:ind w:left="0" w:right="0" w:hanging="0"/>
              <w:jc w:val="left"/>
              <w:rPr/>
            </w:pPr>
            <w:r>
              <w:rPr/>
              <w:t> </w:t>
            </w:r>
          </w:p>
        </w:tc>
        <w:tc>
          <w:tcPr>
            <w:tcW w:w="10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9.15</w:t>
            </w:r>
          </w:p>
        </w:tc>
        <w:tc>
          <w:tcPr>
            <w:tcW w:w="326"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w:t>
            </w:r>
          </w:p>
        </w:tc>
      </w:tr>
      <w:tr>
        <w:trPr/>
        <w:tc>
          <w:tcPr>
            <w:tcW w:w="407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-Continuing operations</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5.07</w:t>
            </w:r>
          </w:p>
        </w:tc>
        <w:tc>
          <w:tcPr>
            <w:tcW w:w="326" w:type="dxa"/>
            <w:tcBorders/>
            <w:vAlign w:val="center"/>
          </w:tcPr>
          <w:p>
            <w:pPr>
              <w:pStyle w:val="TableContents"/>
              <w:bidi w:val="0"/>
              <w:spacing w:before="0" w:after="0"/>
              <w:ind w:left="0" w:right="0" w:hanging="0"/>
              <w:jc w:val="left"/>
              <w:rPr/>
            </w:pPr>
            <w:r>
              <w:rPr/>
              <w:t>​</w:t>
            </w:r>
          </w:p>
        </w:tc>
        <w:tc>
          <w:tcPr>
            <w:tcW w:w="100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6.04</w:t>
            </w:r>
          </w:p>
        </w:tc>
        <w:tc>
          <w:tcPr>
            <w:tcW w:w="326" w:type="dxa"/>
            <w:tcBorders/>
            <w:vAlign w:val="center"/>
          </w:tcPr>
          <w:p>
            <w:pPr>
              <w:pStyle w:val="TableContents"/>
              <w:bidi w:val="0"/>
              <w:spacing w:before="0" w:after="0"/>
              <w:ind w:left="0" w:right="0" w:hanging="0"/>
              <w:jc w:val="left"/>
              <w:rPr/>
            </w:pPr>
            <w:r>
              <w:rPr/>
              <w:t>​</w:t>
            </w:r>
          </w:p>
        </w:tc>
        <w:tc>
          <w:tcPr>
            <w:tcW w:w="10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9.15</w:t>
            </w:r>
          </w:p>
        </w:tc>
        <w:tc>
          <w:tcPr>
            <w:tcW w:w="326"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w:t>
            </w:r>
          </w:p>
        </w:tc>
      </w:tr>
      <w:tr>
        <w:trPr/>
        <w:tc>
          <w:tcPr>
            <w:tcW w:w="40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-Discontinued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0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0.19</w:t>
            </w:r>
          </w:p>
        </w:tc>
        <w:tc>
          <w:tcPr>
            <w:tcW w:w="326" w:type="dxa"/>
            <w:tcBorders/>
            <w:shd w:fill="CCEEFF" w:val="clear"/>
            <w:vAlign w:val="center"/>
          </w:tcPr>
          <w:p>
            <w:pPr>
              <w:pStyle w:val="TableContents"/>
              <w:bidi w:val="0"/>
              <w:spacing w:before="0" w:after="0"/>
              <w:ind w:left="0" w:right="0" w:hanging="0"/>
              <w:jc w:val="left"/>
              <w:rPr/>
            </w:pPr>
            <w:r>
              <w:rPr/>
              <w:t>​</w:t>
            </w:r>
          </w:p>
        </w:tc>
        <w:tc>
          <w:tcPr>
            <w:tcW w:w="102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pPr>
            <w:r>
              <w:rPr/>
              <w:t>—</w:t>
            </w:r>
          </w:p>
        </w:tc>
      </w:tr>
      <w:tr>
        <w:trPr/>
        <w:tc>
          <w:tcPr>
            <w:tcW w:w="40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0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2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pPr>
            <w:r>
              <w:rPr/>
              <w:t>​</w:t>
            </w:r>
          </w:p>
        </w:tc>
      </w:tr>
      <w:tr>
        <w:trPr/>
        <w:tc>
          <w:tcPr>
            <w:tcW w:w="40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per ADS, basic</w:t>
            </w:r>
          </w:p>
        </w:tc>
        <w:tc>
          <w:tcPr>
            <w:tcW w:w="32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25.34</w:t>
            </w:r>
          </w:p>
        </w:tc>
        <w:tc>
          <w:tcPr>
            <w:tcW w:w="326" w:type="dxa"/>
            <w:tcBorders/>
            <w:shd w:fill="CCEEFF" w:val="clear"/>
            <w:vAlign w:val="center"/>
          </w:tcPr>
          <w:p>
            <w:pPr>
              <w:pStyle w:val="TableContents"/>
              <w:bidi w:val="0"/>
              <w:spacing w:before="0" w:after="0"/>
              <w:ind w:left="0" w:right="0" w:hanging="0"/>
              <w:jc w:val="left"/>
              <w:rPr/>
            </w:pPr>
            <w:r>
              <w:rPr/>
              <w:t> </w:t>
            </w:r>
          </w:p>
        </w:tc>
        <w:tc>
          <w:tcPr>
            <w:tcW w:w="10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31.16</w:t>
            </w:r>
          </w:p>
        </w:tc>
        <w:tc>
          <w:tcPr>
            <w:tcW w:w="326" w:type="dxa"/>
            <w:tcBorders/>
            <w:shd w:fill="CCEEFF" w:val="clear"/>
            <w:vAlign w:val="center"/>
          </w:tcPr>
          <w:p>
            <w:pPr>
              <w:pStyle w:val="TableContents"/>
              <w:bidi w:val="0"/>
              <w:spacing w:before="0" w:after="0"/>
              <w:ind w:left="0" w:right="0" w:hanging="0"/>
              <w:jc w:val="left"/>
              <w:rPr/>
            </w:pPr>
            <w:r>
              <w:rPr/>
              <w:t> </w:t>
            </w:r>
          </w:p>
        </w:tc>
        <w:tc>
          <w:tcPr>
            <w:tcW w:w="10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45.73</w:t>
            </w:r>
          </w:p>
        </w:tc>
        <w:tc>
          <w:tcPr>
            <w:tcW w:w="326"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6.44</w:t>
            </w:r>
          </w:p>
        </w:tc>
      </w:tr>
      <w:tr>
        <w:trPr/>
        <w:tc>
          <w:tcPr>
            <w:tcW w:w="407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-Continuing operations</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25.34</w:t>
            </w:r>
          </w:p>
        </w:tc>
        <w:tc>
          <w:tcPr>
            <w:tcW w:w="326" w:type="dxa"/>
            <w:tcBorders/>
            <w:vAlign w:val="center"/>
          </w:tcPr>
          <w:p>
            <w:pPr>
              <w:pStyle w:val="TableContents"/>
              <w:bidi w:val="0"/>
              <w:spacing w:before="0" w:after="0"/>
              <w:ind w:left="0" w:right="0" w:hanging="0"/>
              <w:jc w:val="left"/>
              <w:rPr/>
            </w:pPr>
            <w:r>
              <w:rPr/>
              <w:t>​</w:t>
            </w:r>
          </w:p>
        </w:tc>
        <w:tc>
          <w:tcPr>
            <w:tcW w:w="100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30.20</w:t>
            </w:r>
          </w:p>
        </w:tc>
        <w:tc>
          <w:tcPr>
            <w:tcW w:w="326" w:type="dxa"/>
            <w:tcBorders/>
            <w:vAlign w:val="center"/>
          </w:tcPr>
          <w:p>
            <w:pPr>
              <w:pStyle w:val="TableContents"/>
              <w:bidi w:val="0"/>
              <w:spacing w:before="0" w:after="0"/>
              <w:ind w:left="0" w:right="0" w:hanging="0"/>
              <w:jc w:val="left"/>
              <w:rPr/>
            </w:pPr>
            <w:r>
              <w:rPr/>
              <w:t>​</w:t>
            </w:r>
          </w:p>
        </w:tc>
        <w:tc>
          <w:tcPr>
            <w:tcW w:w="10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45.73</w:t>
            </w:r>
          </w:p>
        </w:tc>
        <w:tc>
          <w:tcPr>
            <w:tcW w:w="326"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6.44</w:t>
            </w:r>
          </w:p>
        </w:tc>
      </w:tr>
      <w:tr>
        <w:trPr/>
        <w:tc>
          <w:tcPr>
            <w:tcW w:w="40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-Discontinued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0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0.96</w:t>
            </w:r>
          </w:p>
        </w:tc>
        <w:tc>
          <w:tcPr>
            <w:tcW w:w="326" w:type="dxa"/>
            <w:tcBorders/>
            <w:shd w:fill="CCEEFF" w:val="clear"/>
            <w:vAlign w:val="center"/>
          </w:tcPr>
          <w:p>
            <w:pPr>
              <w:pStyle w:val="TableContents"/>
              <w:bidi w:val="0"/>
              <w:spacing w:before="0" w:after="0"/>
              <w:ind w:left="0" w:right="0" w:hanging="0"/>
              <w:jc w:val="left"/>
              <w:rPr/>
            </w:pPr>
            <w:r>
              <w:rPr/>
              <w:t>​</w:t>
            </w:r>
          </w:p>
        </w:tc>
        <w:tc>
          <w:tcPr>
            <w:tcW w:w="102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pPr>
            <w:r>
              <w:rPr/>
              <w:t>—</w:t>
            </w:r>
          </w:p>
        </w:tc>
      </w:tr>
      <w:tr>
        <w:trPr/>
        <w:tc>
          <w:tcPr>
            <w:tcW w:w="40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0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2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pPr>
            <w:r>
              <w:rPr/>
              <w:t>​</w:t>
            </w:r>
          </w:p>
        </w:tc>
      </w:tr>
      <w:tr>
        <w:trPr/>
        <w:tc>
          <w:tcPr>
            <w:tcW w:w="40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per share, diluted</w:t>
            </w:r>
          </w:p>
        </w:tc>
        <w:tc>
          <w:tcPr>
            <w:tcW w:w="32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23</w:t>
            </w:r>
          </w:p>
        </w:tc>
        <w:tc>
          <w:tcPr>
            <w:tcW w:w="326" w:type="dxa"/>
            <w:tcBorders/>
            <w:shd w:fill="CCEEFF" w:val="clear"/>
            <w:vAlign w:val="center"/>
          </w:tcPr>
          <w:p>
            <w:pPr>
              <w:pStyle w:val="TableContents"/>
              <w:bidi w:val="0"/>
              <w:spacing w:before="0" w:after="0"/>
              <w:ind w:left="0" w:right="0" w:hanging="0"/>
              <w:jc w:val="left"/>
              <w:rPr/>
            </w:pPr>
            <w:r>
              <w:rPr/>
              <w:t>​</w:t>
            </w:r>
          </w:p>
        </w:tc>
        <w:tc>
          <w:tcPr>
            <w:tcW w:w="10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5.01</w:t>
            </w:r>
          </w:p>
        </w:tc>
        <w:tc>
          <w:tcPr>
            <w:tcW w:w="326" w:type="dxa"/>
            <w:tcBorders/>
            <w:shd w:fill="CCEEFF" w:val="clear"/>
            <w:vAlign w:val="center"/>
          </w:tcPr>
          <w:p>
            <w:pPr>
              <w:pStyle w:val="TableContents"/>
              <w:bidi w:val="0"/>
              <w:spacing w:before="0" w:after="0"/>
              <w:ind w:left="0" w:right="0" w:hanging="0"/>
              <w:jc w:val="left"/>
              <w:rPr/>
            </w:pPr>
            <w:r>
              <w:rPr/>
              <w:t> </w:t>
            </w:r>
          </w:p>
        </w:tc>
        <w:tc>
          <w:tcPr>
            <w:tcW w:w="10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6.17</w:t>
            </w:r>
          </w:p>
        </w:tc>
        <w:tc>
          <w:tcPr>
            <w:tcW w:w="326" w:type="dxa"/>
            <w:tcBorders/>
            <w:shd w:fill="CCEEFF" w:val="clear"/>
            <w:vAlign w:val="center"/>
          </w:tcPr>
          <w:p>
            <w:pPr>
              <w:pStyle w:val="TableContents"/>
              <w:bidi w:val="0"/>
              <w:spacing w:before="0" w:after="0"/>
              <w:ind w:left="0" w:right="0" w:hanging="0"/>
              <w:jc w:val="left"/>
              <w:rPr/>
            </w:pPr>
            <w:r>
              <w:rPr/>
              <w:t> </w:t>
            </w:r>
          </w:p>
        </w:tc>
        <w:tc>
          <w:tcPr>
            <w:tcW w:w="10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9.05</w:t>
            </w:r>
          </w:p>
        </w:tc>
        <w:tc>
          <w:tcPr>
            <w:tcW w:w="326"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w:t>
            </w:r>
          </w:p>
        </w:tc>
      </w:tr>
      <w:tr>
        <w:trPr/>
        <w:tc>
          <w:tcPr>
            <w:tcW w:w="407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-Continuing operations</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5.01</w:t>
            </w:r>
          </w:p>
        </w:tc>
        <w:tc>
          <w:tcPr>
            <w:tcW w:w="326" w:type="dxa"/>
            <w:tcBorders/>
            <w:vAlign w:val="center"/>
          </w:tcPr>
          <w:p>
            <w:pPr>
              <w:pStyle w:val="TableContents"/>
              <w:bidi w:val="0"/>
              <w:spacing w:before="0" w:after="0"/>
              <w:ind w:left="0" w:right="0" w:hanging="0"/>
              <w:jc w:val="left"/>
              <w:rPr/>
            </w:pPr>
            <w:r>
              <w:rPr/>
              <w:t>​</w:t>
            </w:r>
          </w:p>
        </w:tc>
        <w:tc>
          <w:tcPr>
            <w:tcW w:w="100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5.98</w:t>
            </w:r>
          </w:p>
        </w:tc>
        <w:tc>
          <w:tcPr>
            <w:tcW w:w="326" w:type="dxa"/>
            <w:tcBorders/>
            <w:vAlign w:val="center"/>
          </w:tcPr>
          <w:p>
            <w:pPr>
              <w:pStyle w:val="TableContents"/>
              <w:bidi w:val="0"/>
              <w:spacing w:before="0" w:after="0"/>
              <w:ind w:left="0" w:right="0" w:hanging="0"/>
              <w:jc w:val="left"/>
              <w:rPr/>
            </w:pPr>
            <w:r>
              <w:rPr/>
              <w:t>​</w:t>
            </w:r>
          </w:p>
        </w:tc>
        <w:tc>
          <w:tcPr>
            <w:tcW w:w="10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9.05</w:t>
            </w:r>
          </w:p>
        </w:tc>
        <w:tc>
          <w:tcPr>
            <w:tcW w:w="326"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w:t>
            </w:r>
          </w:p>
        </w:tc>
      </w:tr>
      <w:tr>
        <w:trPr/>
        <w:tc>
          <w:tcPr>
            <w:tcW w:w="40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-Discontinued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0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0.19</w:t>
            </w:r>
          </w:p>
        </w:tc>
        <w:tc>
          <w:tcPr>
            <w:tcW w:w="326" w:type="dxa"/>
            <w:tcBorders/>
            <w:shd w:fill="CCEEFF" w:val="clear"/>
            <w:vAlign w:val="center"/>
          </w:tcPr>
          <w:p>
            <w:pPr>
              <w:pStyle w:val="TableContents"/>
              <w:bidi w:val="0"/>
              <w:spacing w:before="0" w:after="0"/>
              <w:ind w:left="0" w:right="0" w:hanging="0"/>
              <w:jc w:val="left"/>
              <w:rPr/>
            </w:pPr>
            <w:r>
              <w:rPr/>
              <w:t>​</w:t>
            </w:r>
          </w:p>
        </w:tc>
        <w:tc>
          <w:tcPr>
            <w:tcW w:w="102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pPr>
            <w:r>
              <w:rPr/>
              <w:t>—</w:t>
            </w:r>
          </w:p>
        </w:tc>
      </w:tr>
      <w:tr>
        <w:trPr/>
        <w:tc>
          <w:tcPr>
            <w:tcW w:w="40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0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2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pPr>
            <w:r>
              <w:rPr/>
              <w:t>​</w:t>
            </w:r>
          </w:p>
        </w:tc>
      </w:tr>
      <w:tr>
        <w:trPr/>
        <w:tc>
          <w:tcPr>
            <w:tcW w:w="40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per ADS, diluted</w:t>
            </w:r>
          </w:p>
        </w:tc>
        <w:tc>
          <w:tcPr>
            <w:tcW w:w="32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25.03</w:t>
            </w:r>
          </w:p>
        </w:tc>
        <w:tc>
          <w:tcPr>
            <w:tcW w:w="326" w:type="dxa"/>
            <w:tcBorders/>
            <w:shd w:fill="CCEEFF" w:val="clear"/>
            <w:vAlign w:val="center"/>
          </w:tcPr>
          <w:p>
            <w:pPr>
              <w:pStyle w:val="TableContents"/>
              <w:bidi w:val="0"/>
              <w:spacing w:before="0" w:after="0"/>
              <w:ind w:left="0" w:right="0" w:hanging="0"/>
              <w:jc w:val="left"/>
              <w:rPr/>
            </w:pPr>
            <w:r>
              <w:rPr/>
              <w:t> </w:t>
            </w:r>
          </w:p>
        </w:tc>
        <w:tc>
          <w:tcPr>
            <w:tcW w:w="10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30.85</w:t>
            </w:r>
          </w:p>
        </w:tc>
        <w:tc>
          <w:tcPr>
            <w:tcW w:w="326" w:type="dxa"/>
            <w:tcBorders/>
            <w:shd w:fill="CCEEFF" w:val="clear"/>
            <w:vAlign w:val="center"/>
          </w:tcPr>
          <w:p>
            <w:pPr>
              <w:pStyle w:val="TableContents"/>
              <w:bidi w:val="0"/>
              <w:spacing w:before="0" w:after="0"/>
              <w:ind w:left="0" w:right="0" w:hanging="0"/>
              <w:jc w:val="left"/>
              <w:rPr/>
            </w:pPr>
            <w:r>
              <w:rPr/>
              <w:t> </w:t>
            </w:r>
          </w:p>
        </w:tc>
        <w:tc>
          <w:tcPr>
            <w:tcW w:w="10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45.23</w:t>
            </w:r>
          </w:p>
        </w:tc>
        <w:tc>
          <w:tcPr>
            <w:tcW w:w="326"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6.37</w:t>
            </w:r>
          </w:p>
        </w:tc>
      </w:tr>
      <w:tr>
        <w:trPr/>
        <w:tc>
          <w:tcPr>
            <w:tcW w:w="407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-Continuing operations</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25.03</w:t>
            </w:r>
          </w:p>
        </w:tc>
        <w:tc>
          <w:tcPr>
            <w:tcW w:w="326" w:type="dxa"/>
            <w:tcBorders/>
            <w:vAlign w:val="center"/>
          </w:tcPr>
          <w:p>
            <w:pPr>
              <w:pStyle w:val="TableContents"/>
              <w:bidi w:val="0"/>
              <w:spacing w:before="0" w:after="0"/>
              <w:ind w:left="0" w:right="0" w:hanging="0"/>
              <w:jc w:val="left"/>
              <w:rPr/>
            </w:pPr>
            <w:r>
              <w:rPr/>
              <w:t>​</w:t>
            </w:r>
          </w:p>
        </w:tc>
        <w:tc>
          <w:tcPr>
            <w:tcW w:w="100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29.90</w:t>
            </w:r>
          </w:p>
        </w:tc>
        <w:tc>
          <w:tcPr>
            <w:tcW w:w="326" w:type="dxa"/>
            <w:tcBorders/>
            <w:vAlign w:val="center"/>
          </w:tcPr>
          <w:p>
            <w:pPr>
              <w:pStyle w:val="TableContents"/>
              <w:bidi w:val="0"/>
              <w:spacing w:before="0" w:after="0"/>
              <w:ind w:left="0" w:right="0" w:hanging="0"/>
              <w:jc w:val="left"/>
              <w:rPr/>
            </w:pPr>
            <w:r>
              <w:rPr/>
              <w:t>​</w:t>
            </w:r>
          </w:p>
        </w:tc>
        <w:tc>
          <w:tcPr>
            <w:tcW w:w="10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45.23</w:t>
            </w:r>
          </w:p>
        </w:tc>
        <w:tc>
          <w:tcPr>
            <w:tcW w:w="326"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6.37</w:t>
            </w:r>
          </w:p>
        </w:tc>
      </w:tr>
      <w:tr>
        <w:trPr/>
        <w:tc>
          <w:tcPr>
            <w:tcW w:w="40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-Discontinued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0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0.95</w:t>
            </w:r>
          </w:p>
        </w:tc>
        <w:tc>
          <w:tcPr>
            <w:tcW w:w="326" w:type="dxa"/>
            <w:tcBorders/>
            <w:shd w:fill="CCEEFF" w:val="clear"/>
            <w:vAlign w:val="center"/>
          </w:tcPr>
          <w:p>
            <w:pPr>
              <w:pStyle w:val="TableContents"/>
              <w:bidi w:val="0"/>
              <w:spacing w:before="0" w:after="0"/>
              <w:ind w:left="0" w:right="0" w:hanging="0"/>
              <w:jc w:val="left"/>
              <w:rPr/>
            </w:pPr>
            <w:r>
              <w:rPr/>
              <w:t>​</w:t>
            </w:r>
          </w:p>
        </w:tc>
        <w:tc>
          <w:tcPr>
            <w:tcW w:w="102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pPr>
            <w:r>
              <w:rPr/>
              <w:t>—</w:t>
            </w:r>
          </w:p>
        </w:tc>
      </w:tr>
      <w:tr>
        <w:trPr/>
        <w:tc>
          <w:tcPr>
            <w:tcW w:w="40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0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2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pPr>
            <w:r>
              <w:rPr/>
              <w:t>​</w:t>
            </w:r>
          </w:p>
        </w:tc>
      </w:tr>
      <w:tr>
        <w:trPr/>
        <w:tc>
          <w:tcPr>
            <w:tcW w:w="40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Weighted average number of ordinary shares outstanding, basic</w:t>
            </w:r>
          </w:p>
        </w:tc>
        <w:tc>
          <w:tcPr>
            <w:tcW w:w="32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23</w:t>
            </w:r>
          </w:p>
        </w:tc>
        <w:tc>
          <w:tcPr>
            <w:tcW w:w="326" w:type="dxa"/>
            <w:tcBorders/>
            <w:shd w:fill="CCEEFF" w:val="clear"/>
            <w:vAlign w:val="center"/>
          </w:tcPr>
          <w:p>
            <w:pPr>
              <w:pStyle w:val="TableContents"/>
              <w:bidi w:val="0"/>
              <w:spacing w:before="0" w:after="0"/>
              <w:ind w:left="0" w:right="0" w:hanging="0"/>
              <w:jc w:val="left"/>
              <w:rPr/>
            </w:pPr>
            <w:r>
              <w:rPr/>
              <w:t>​</w:t>
            </w:r>
          </w:p>
        </w:tc>
        <w:tc>
          <w:tcPr>
            <w:tcW w:w="10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3,325,864</w:t>
            </w:r>
          </w:p>
        </w:tc>
        <w:tc>
          <w:tcPr>
            <w:tcW w:w="326" w:type="dxa"/>
            <w:tcBorders/>
            <w:shd w:fill="CCEEFF" w:val="clear"/>
            <w:vAlign w:val="center"/>
          </w:tcPr>
          <w:p>
            <w:pPr>
              <w:pStyle w:val="TableContents"/>
              <w:bidi w:val="0"/>
              <w:spacing w:before="0" w:after="0"/>
              <w:ind w:left="0" w:right="0" w:hanging="0"/>
              <w:jc w:val="left"/>
              <w:rPr/>
            </w:pPr>
            <w:r>
              <w:rPr/>
              <w:t> </w:t>
            </w:r>
          </w:p>
        </w:tc>
        <w:tc>
          <w:tcPr>
            <w:tcW w:w="10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3,263,455</w:t>
            </w:r>
          </w:p>
        </w:tc>
        <w:tc>
          <w:tcPr>
            <w:tcW w:w="326" w:type="dxa"/>
            <w:tcBorders/>
            <w:shd w:fill="CCEEFF" w:val="clear"/>
            <w:vAlign w:val="center"/>
          </w:tcPr>
          <w:p>
            <w:pPr>
              <w:pStyle w:val="TableContents"/>
              <w:bidi w:val="0"/>
              <w:spacing w:before="0" w:after="0"/>
              <w:ind w:left="0" w:right="0" w:hanging="0"/>
              <w:jc w:val="left"/>
              <w:rPr/>
            </w:pPr>
            <w:r>
              <w:rPr/>
              <w:t> </w:t>
            </w:r>
          </w:p>
        </w:tc>
        <w:tc>
          <w:tcPr>
            <w:tcW w:w="10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3,216,475</w:t>
            </w:r>
          </w:p>
        </w:tc>
        <w:tc>
          <w:tcPr>
            <w:tcW w:w="326"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3,216,475</w:t>
            </w:r>
          </w:p>
        </w:tc>
      </w:tr>
      <w:tr>
        <w:trPr/>
        <w:tc>
          <w:tcPr>
            <w:tcW w:w="407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Weighted average number of ADS outstanding, basic</w:t>
            </w:r>
          </w:p>
        </w:tc>
        <w:tc>
          <w:tcPr>
            <w:tcW w:w="32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665,173</w:t>
            </w:r>
          </w:p>
        </w:tc>
        <w:tc>
          <w:tcPr>
            <w:tcW w:w="326" w:type="dxa"/>
            <w:tcBorders/>
            <w:vAlign w:val="center"/>
          </w:tcPr>
          <w:p>
            <w:pPr>
              <w:pStyle w:val="TableContents"/>
              <w:bidi w:val="0"/>
              <w:spacing w:before="0" w:after="0"/>
              <w:ind w:left="0" w:right="0" w:hanging="0"/>
              <w:jc w:val="left"/>
              <w:rPr/>
            </w:pPr>
            <w:r>
              <w:rPr/>
              <w:t> </w:t>
            </w:r>
          </w:p>
        </w:tc>
        <w:tc>
          <w:tcPr>
            <w:tcW w:w="100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652,691</w:t>
            </w:r>
          </w:p>
        </w:tc>
        <w:tc>
          <w:tcPr>
            <w:tcW w:w="32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643,295</w:t>
            </w:r>
          </w:p>
        </w:tc>
        <w:tc>
          <w:tcPr>
            <w:tcW w:w="326"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643,295</w:t>
            </w:r>
          </w:p>
        </w:tc>
      </w:tr>
      <w:tr>
        <w:trPr/>
        <w:tc>
          <w:tcPr>
            <w:tcW w:w="40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Weighted average number of ordinary shares outstanding, diluted</w:t>
            </w:r>
          </w:p>
        </w:tc>
        <w:tc>
          <w:tcPr>
            <w:tcW w:w="32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23</w:t>
            </w:r>
          </w:p>
        </w:tc>
        <w:tc>
          <w:tcPr>
            <w:tcW w:w="326" w:type="dxa"/>
            <w:tcBorders/>
            <w:shd w:fill="CCEEFF" w:val="clear"/>
            <w:vAlign w:val="center"/>
          </w:tcPr>
          <w:p>
            <w:pPr>
              <w:pStyle w:val="TableContents"/>
              <w:bidi w:val="0"/>
              <w:spacing w:before="0" w:after="0"/>
              <w:ind w:left="0" w:right="0" w:hanging="0"/>
              <w:jc w:val="left"/>
              <w:rPr/>
            </w:pPr>
            <w:r>
              <w:rPr/>
              <w:t>​</w:t>
            </w:r>
          </w:p>
        </w:tc>
        <w:tc>
          <w:tcPr>
            <w:tcW w:w="10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3,367,478</w:t>
            </w:r>
          </w:p>
        </w:tc>
        <w:tc>
          <w:tcPr>
            <w:tcW w:w="326" w:type="dxa"/>
            <w:tcBorders/>
            <w:shd w:fill="CCEEFF" w:val="clear"/>
            <w:vAlign w:val="center"/>
          </w:tcPr>
          <w:p>
            <w:pPr>
              <w:pStyle w:val="TableContents"/>
              <w:bidi w:val="0"/>
              <w:spacing w:before="0" w:after="0"/>
              <w:ind w:left="0" w:right="0" w:hanging="0"/>
              <w:jc w:val="left"/>
              <w:rPr/>
            </w:pPr>
            <w:r>
              <w:rPr/>
              <w:t> </w:t>
            </w:r>
          </w:p>
        </w:tc>
        <w:tc>
          <w:tcPr>
            <w:tcW w:w="10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3,296,014</w:t>
            </w:r>
          </w:p>
        </w:tc>
        <w:tc>
          <w:tcPr>
            <w:tcW w:w="326" w:type="dxa"/>
            <w:tcBorders/>
            <w:shd w:fill="CCEEFF" w:val="clear"/>
            <w:vAlign w:val="center"/>
          </w:tcPr>
          <w:p>
            <w:pPr>
              <w:pStyle w:val="TableContents"/>
              <w:bidi w:val="0"/>
              <w:spacing w:before="0" w:after="0"/>
              <w:ind w:left="0" w:right="0" w:hanging="0"/>
              <w:jc w:val="left"/>
              <w:rPr/>
            </w:pPr>
            <w:r>
              <w:rPr/>
              <w:t> </w:t>
            </w:r>
          </w:p>
        </w:tc>
        <w:tc>
          <w:tcPr>
            <w:tcW w:w="10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3,252,029</w:t>
            </w:r>
          </w:p>
        </w:tc>
        <w:tc>
          <w:tcPr>
            <w:tcW w:w="326"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3,252,029</w:t>
            </w:r>
          </w:p>
        </w:tc>
      </w:tr>
      <w:tr>
        <w:trPr/>
        <w:tc>
          <w:tcPr>
            <w:tcW w:w="407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Weighted average number of ADS outstanding, diluted</w:t>
            </w:r>
          </w:p>
        </w:tc>
        <w:tc>
          <w:tcPr>
            <w:tcW w:w="32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673,496</w:t>
            </w:r>
          </w:p>
        </w:tc>
        <w:tc>
          <w:tcPr>
            <w:tcW w:w="326" w:type="dxa"/>
            <w:tcBorders/>
            <w:vAlign w:val="center"/>
          </w:tcPr>
          <w:p>
            <w:pPr>
              <w:pStyle w:val="TableContents"/>
              <w:bidi w:val="0"/>
              <w:spacing w:before="0" w:after="0"/>
              <w:ind w:left="0" w:right="0" w:hanging="0"/>
              <w:jc w:val="left"/>
              <w:rPr/>
            </w:pPr>
            <w:r>
              <w:rPr/>
              <w:t> </w:t>
            </w:r>
          </w:p>
        </w:tc>
        <w:tc>
          <w:tcPr>
            <w:tcW w:w="100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659,203</w:t>
            </w:r>
          </w:p>
        </w:tc>
        <w:tc>
          <w:tcPr>
            <w:tcW w:w="32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650,406</w:t>
            </w:r>
          </w:p>
        </w:tc>
        <w:tc>
          <w:tcPr>
            <w:tcW w:w="326"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650,406</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15" w:right="0" w:hanging="0"/>
        <w:jc w:val="both"/>
        <w:rPr>
          <w:rFonts w:ascii="Times New Roman;Times;serif" w:hAnsi="Times New Roman;Times;serif"/>
          <w:b/>
          <w:sz w:val="20"/>
        </w:rPr>
      </w:pPr>
      <w:bookmarkStart w:id="489" w:name="_2c099676_2976_4253_9a27_a43db01d5fbf"/>
      <w:bookmarkEnd w:id="489"/>
      <w:r>
        <w:rPr>
          <w:rFonts w:ascii="Times New Roman;Times;serif" w:hAnsi="Times New Roman;Times;serif"/>
          <w:b/>
          <w:sz w:val="20"/>
        </w:rPr>
        <w:t>NetEase, Inc.</w:t>
      </w:r>
    </w:p>
    <w:p>
      <w:pPr>
        <w:pStyle w:val="TextBody"/>
        <w:bidi w:val="0"/>
        <w:spacing w:before="0" w:after="0"/>
        <w:ind w:left="0" w:right="0" w:hanging="0"/>
        <w:jc w:val="both"/>
        <w:rPr>
          <w:rFonts w:ascii="Times New Roman;Times;serif" w:hAnsi="Times New Roman;Times;serif"/>
          <w:b/>
          <w:sz w:val="20"/>
        </w:rPr>
      </w:pPr>
      <w:bookmarkStart w:id="490" w:name="ConsolidatedStatementsofShareholdersEqui"/>
      <w:bookmarkEnd w:id="490"/>
      <w:r>
        <w:rPr>
          <w:rFonts w:ascii="Times New Roman;Times;serif" w:hAnsi="Times New Roman;Times;serif"/>
          <w:b/>
          <w:sz w:val="20"/>
        </w:rPr>
        <w:t>Consolidated Statements of Shareholders’ Equity</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491" w:name="Tc_leMR3Yj650exI70KCKDrdA_39_0"/>
      <w:bookmarkStart w:id="492" w:name="Tc_FlTJLOPn70CFLDycXydSOQ_38_14"/>
      <w:bookmarkStart w:id="493" w:name="Tc_Ly77e2jA1E27M2p6tNDfKQ_38_12"/>
      <w:bookmarkStart w:id="494" w:name="Tc_iHPdw1JG7UyO5kngc4COrA_38_10"/>
      <w:bookmarkStart w:id="495" w:name="Tc_LUVvP9jd-U-HX_tmlY-e9Q_38_8"/>
      <w:bookmarkStart w:id="496" w:name="Tc_IpFp1pNiC0ycwNh1Mgr-dg_38_6"/>
      <w:bookmarkStart w:id="497" w:name="Tc_2oIaWe4anEO0BtxHYqNOrQ_38_4"/>
      <w:bookmarkStart w:id="498" w:name="Tc_enI0I4uDNUaBElShA82mGQ_38_2"/>
      <w:bookmarkStart w:id="499" w:name="Tc_zhQ8vyKYI0-BmczQkPofQw_38_0"/>
      <w:bookmarkStart w:id="500" w:name="Tc_ZX4JKYQDwEiCOMlC911KxA_37_16"/>
      <w:bookmarkStart w:id="501" w:name="Tc_Ji6ICWIjGEmWexM289ZZUA_37_12"/>
      <w:bookmarkStart w:id="502" w:name="Tc_RhWz27IzmkSadXcw8UUPiw_37_10"/>
      <w:bookmarkStart w:id="503" w:name="Tc_IuB0YMEq1kWeInv39bnPyQ_37_8"/>
      <w:bookmarkStart w:id="504" w:name="Tc_gWc4kaZLnkaTnp_keqvH2w_37_6"/>
      <w:bookmarkStart w:id="505" w:name="Tc_MWb8vJV0AEmKUbD93kJaeg_37_4"/>
      <w:bookmarkStart w:id="506" w:name="Tc_scgS922PQk264NYTq_vhBA_37_2"/>
      <w:bookmarkStart w:id="507" w:name="Tc_UGEHD4SY3EGeynWbVMLIFA_37_0"/>
      <w:bookmarkStart w:id="508" w:name="Tc_cVZ4U80u6UmqvSztgAm0sw_36_18"/>
      <w:bookmarkStart w:id="509" w:name="Tc_lY5nXEOJwUC8ADZ72q1NFg_36_14"/>
      <w:bookmarkStart w:id="510" w:name="Tc_q2ttA7TWH0Cvr53cRJwcsg_36_12"/>
      <w:bookmarkStart w:id="511" w:name="Tc_Rh9WbsqLOE2QiUcpgnUTBQ_36_10"/>
      <w:bookmarkStart w:id="512" w:name="Tc_UB7K-qNaNkWDFTM3AG9VXg_36_8"/>
      <w:bookmarkStart w:id="513" w:name="Tc_pICD-Jqbhk2Jr60nP3KF1Q_36_6"/>
      <w:bookmarkStart w:id="514" w:name="Tc_PQc96gtxAkCPdY0Mal-dnQ_36_4"/>
      <w:bookmarkStart w:id="515" w:name="Tc_vMI34s3Y2UqjLixqsnCWZw_36_2"/>
      <w:bookmarkStart w:id="516" w:name="Tc_s_eK4-X5REq2EkVqo3hqpQ_36_0"/>
      <w:bookmarkStart w:id="517" w:name="Tc_QJBFUGfAvkCHInsnzLMVKQ_35_16"/>
      <w:bookmarkStart w:id="518" w:name="Tc_EFXNj2TZxU-LkYNrm6-iBQ_35_14"/>
      <w:bookmarkStart w:id="519" w:name="Tc_WmaKEztCkkKF_Y9BLVBc-w_35_12"/>
      <w:bookmarkStart w:id="520" w:name="Tc_duRE-WrNzEShhBJEIKm0bQ_35_10"/>
      <w:bookmarkStart w:id="521" w:name="Tc_-EayjoVOl0mAiNylfjBxlA_35_8"/>
      <w:bookmarkStart w:id="522" w:name="Tc_RSK4rkX3okOEIZE2NVG4hg_35_6"/>
      <w:bookmarkStart w:id="523" w:name="Tc_wRhyjrngy0yM2gErRHCI9A_35_4"/>
      <w:bookmarkStart w:id="524" w:name="Tc_Da94IwJMr0qDuMwr2UxsjQ_35_2"/>
      <w:bookmarkStart w:id="525" w:name="Tc_GFtzPfTsf0idUG6oR_6QXg_35_0"/>
      <w:bookmarkStart w:id="526" w:name="Tc_AFkCFxuzJ0GzyUTHkFoNdQ_34_16"/>
      <w:bookmarkStart w:id="527" w:name="Tc_hm24TzN0fE2pAyp2jRSmWw_34_14"/>
      <w:bookmarkStart w:id="528" w:name="Tc_5M6nHHdCLkSK4nFb4lkeZg_34_12"/>
      <w:bookmarkStart w:id="529" w:name="Tc_H77OgbfF-0en6VjnCM57AQ_34_10"/>
      <w:bookmarkStart w:id="530" w:name="Tc_W5EHV8rjk0CmE73JRT0RfQ_34_8"/>
      <w:bookmarkStart w:id="531" w:name="Tc_fOkwymHMq0WFkbJE-3qPgQ_34_4"/>
      <w:bookmarkStart w:id="532" w:name="Tc_Yla5hTWiWEW6VFCem4tI1w_34_2"/>
      <w:bookmarkStart w:id="533" w:name="Tc_vf3Duo0260yRu8zT9wRfEg_34_0"/>
      <w:bookmarkStart w:id="534" w:name="Tc_eRii2EMHXkC_5zsrD7dQeQ_33_18"/>
      <w:bookmarkStart w:id="535" w:name="Tc_Kq32zY8_20KzWI88ZMTErA_33_16"/>
      <w:bookmarkStart w:id="536" w:name="Tc_pEsUZp_69kK0USMgIpajJA_33_14"/>
      <w:bookmarkStart w:id="537" w:name="Tc_IFm7Vh8Rn0aAexSWxTJFSw_33_12"/>
      <w:bookmarkStart w:id="538" w:name="Tc_f8vEAK3zhEqiPSAxeu8maw_33_6"/>
      <w:bookmarkStart w:id="539" w:name="Tc_XPDVbR9jz0ayG9Ilq5weSg_33_4"/>
      <w:bookmarkStart w:id="540" w:name="Tc_nhaa9QDxPU2t3RBLv57HvQ_33_2"/>
      <w:bookmarkStart w:id="541" w:name="Tc_IjNmtoROBkKeDwCp7e5Qjg_33_0"/>
      <w:bookmarkStart w:id="542" w:name="Tc_1Gd9ghrG6kuQ82DB2cJLxQ_32_14"/>
      <w:bookmarkStart w:id="543" w:name="Tc_IZyaJDJKNkix2eC7g3pK9g_32_12"/>
      <w:bookmarkStart w:id="544" w:name="Tc__pitx2J8d0e4J1xMmvTT9A_32_10"/>
      <w:bookmarkStart w:id="545" w:name="Tc_7UhoQ3Nt40COLyXb6ceozg_32_8"/>
      <w:bookmarkStart w:id="546" w:name="Tc_IHm74fSTskujEipmknNM8g_32_6"/>
      <w:bookmarkStart w:id="547" w:name="Tc_pQIQptS5oEyNzxOAghoCUw_32_4"/>
      <w:bookmarkStart w:id="548" w:name="Tc_0FiNigvwKEefXuRWi7tL3w_32_2"/>
      <w:bookmarkStart w:id="549" w:name="Tc_fR7d35ZSjkiwE02D6bbvUw_32_0"/>
      <w:bookmarkStart w:id="550" w:name="Tc_g_XbgBnHSk6UJJ69lGD5Tg_31_20"/>
      <w:bookmarkStart w:id="551" w:name="Tc_YRx8W2b0Y0irBkj8uFrXYw_31_18"/>
      <w:bookmarkStart w:id="552" w:name="Tc_1fzSrp10f0G8035akZvqZw_31_14"/>
      <w:bookmarkStart w:id="553" w:name="Tc_HI_iQcObI0SiAZOBs_pA2w_31_10"/>
      <w:bookmarkStart w:id="554" w:name="Tc_dV3MmZxsN0iIMTcqBdqdVQ_31_8"/>
      <w:bookmarkStart w:id="555" w:name="Tc_Q7vse4-xz0y_E1PK4FpH4w_31_6"/>
      <w:bookmarkStart w:id="556" w:name="Tc_CX-M1jn9d0qEwmdlG5oSPw_31_4"/>
      <w:bookmarkStart w:id="557" w:name="Tc_82Ez1rhNJ0m3BpsFDkHaLg_31_2"/>
      <w:bookmarkStart w:id="558" w:name="Tc_XQwZzuMpdka09g7--4gMZg_31_0"/>
      <w:bookmarkStart w:id="559" w:name="Tc_e-oSOf61eUyhqAWHLtcGJw_30_16"/>
      <w:bookmarkStart w:id="560" w:name="Tc_34nk3yLo30WDAeItABsNZg_30_14"/>
      <w:bookmarkStart w:id="561" w:name="Tc_96XjIDD9i0OgNnZ8GoRikw_30_12"/>
      <w:bookmarkStart w:id="562" w:name="Tc_vgmhe4kyCUC7BowfvCFJZg_30_10"/>
      <w:bookmarkStart w:id="563" w:name="Tc_G41SN9YMnUmcXe-CLHtonA_30_8"/>
      <w:bookmarkStart w:id="564" w:name="Tc_s9ZeVSIkiUO7E2_PxJm4-g_30_4"/>
      <w:bookmarkStart w:id="565" w:name="Tc_vj5KC7njkUyDfbTQVViczw_30_2"/>
      <w:bookmarkStart w:id="566" w:name="Tc_ZvO8fQJBfk-qD41_jaToMQ_30_0"/>
      <w:bookmarkStart w:id="567" w:name="Tc_ehUKKxCjeEe6nZnGmUG8cg_29_20"/>
      <w:bookmarkStart w:id="568" w:name="Tc_xytILPM-60yS41sekNvdiw_29_18"/>
      <w:bookmarkStart w:id="569" w:name="Tc_gdES17d2P0Kl0N2Sun7s_A_29_16"/>
      <w:bookmarkStart w:id="570" w:name="Tc_gz33Vc0N7kWLLUWkv5UpEg_29_14"/>
      <w:bookmarkStart w:id="571" w:name="Tc_B8vzJy4SQUGcvVPBmoQJqg_29_12"/>
      <w:bookmarkStart w:id="572" w:name="Tc_AzNvEV3x4Em2L8fMNlBa-g_29_4"/>
      <w:bookmarkStart w:id="573" w:name="Tc_6O0N3knGYkKjO1YUMf0KPg_29_2"/>
      <w:bookmarkStart w:id="574" w:name="Tc__lGH9u-EdEqvRLNG8lBXOg_29_0"/>
      <w:bookmarkStart w:id="575" w:name="Tc_njAVHS2NI0OuVBnFmC5deA_28_0"/>
      <w:bookmarkStart w:id="576" w:name="Tc_AJDOTjcuOESWNj_SAOiKlQ_27_14"/>
      <w:bookmarkStart w:id="577" w:name="Tc_OCoYKPD6OE2_rWECcFkVpg_27_12"/>
      <w:bookmarkStart w:id="578" w:name="Tc_GkD-hEHKGU-exYK_xFCO9A_27_10"/>
      <w:bookmarkStart w:id="579" w:name="Tc_wpsP_jni10ajQijZkzvFhw_27_8"/>
      <w:bookmarkStart w:id="580" w:name="Tc_tIlNU8hPd0qqJuIdmcqTUA_27_6"/>
      <w:bookmarkStart w:id="581" w:name="Tc_O7CgIIDOgkew7Mik67Mudw_27_4"/>
      <w:bookmarkStart w:id="582" w:name="Tc_Cx_62CsLLEydA3IQpjOZng_27_2"/>
      <w:bookmarkStart w:id="583" w:name="Tc_8_cEv4IEfkmUK6oLsNH3sg_27_0"/>
      <w:bookmarkStart w:id="584" w:name="Tc_RwwpUS4LCkqgxxkOVZ_utw_26_16"/>
      <w:bookmarkStart w:id="585" w:name="Tc_q5AiNlMkVESQyLKtfCMXOw_26_12"/>
      <w:bookmarkStart w:id="586" w:name="Tc_q-r6uce1VUWUoRiIv5zLWA_26_10"/>
      <w:bookmarkStart w:id="587" w:name="Tc_9r18ic8Cj0awJXqT2Hca7g_26_8"/>
      <w:bookmarkStart w:id="588" w:name="Tc_oNZQXeGl8kW-O3trTfIwLA_26_6"/>
      <w:bookmarkStart w:id="589" w:name="Tc_C8pwicbjB0uPVfD4XRloLQ_26_4"/>
      <w:bookmarkStart w:id="590" w:name="Tc_02Nh2QSB8kCel9vhFt9Tfw_26_2"/>
      <w:bookmarkStart w:id="591" w:name="Tc_oxADx24-dE6kPgu4wUB6-A_26_0"/>
      <w:bookmarkStart w:id="592" w:name="Tc_VzeIWdlDYUmHcUFqdu1eIw_25_18"/>
      <w:bookmarkStart w:id="593" w:name="Tc_0Xk0qqP3KkSQghj85PgEiw_25_14"/>
      <w:bookmarkStart w:id="594" w:name="Tc_LEMbKCMTjE-lsMi58W2mPA_25_12"/>
      <w:bookmarkStart w:id="595" w:name="Tc_t9Yj_e9iaUuf6iAp2-4hQQ_25_10"/>
      <w:bookmarkStart w:id="596" w:name="Tc_bJtodP-rTkWJZLE-GpXuTQ_25_8"/>
      <w:bookmarkStart w:id="597" w:name="Tc_E79ZrHLGWEmThz0lnBrtDA_25_6"/>
      <w:bookmarkStart w:id="598" w:name="Tc_d8_DL8p8oUC3o2WmMfyZUA_25_4"/>
      <w:bookmarkStart w:id="599" w:name="Tc_BKOJtmR1tUW01Q5-zftEHA_25_2"/>
      <w:bookmarkStart w:id="600" w:name="Tc_L1ywCu0F_kmqpPFUUeKLdw_25_0"/>
      <w:bookmarkStart w:id="601" w:name="Tc_hmTLoNSakEKv0MUmK2jR6g_24_16"/>
      <w:bookmarkStart w:id="602" w:name="Tc_m9x45TYr7ECUsPKDtp_Cvw_24_14"/>
      <w:bookmarkStart w:id="603" w:name="Tc_1bATZXyAak63E72DP6BE7Q_24_12"/>
      <w:bookmarkStart w:id="604" w:name="Tc_BYPOmsOvu0md-zxHrQC09g_24_10"/>
      <w:bookmarkStart w:id="605" w:name="Tc_uBIlU4a2LESmwP2qpmb78g_24_8"/>
      <w:bookmarkStart w:id="606" w:name="Tc_BP1USFBtLku-bwd3E_np-A_24_4"/>
      <w:bookmarkStart w:id="607" w:name="Tc_lYwXyVBrYkOAH7C0MqRCrw_24_2"/>
      <w:bookmarkStart w:id="608" w:name="Tc_eLHkX28W3ESza-EOoIYqJg_24_0"/>
      <w:bookmarkStart w:id="609" w:name="Tc_ANVWaQ0nIkeibHDBtce3OA_23_20"/>
      <w:bookmarkStart w:id="610" w:name="Tc_Ur218zWoeUeukTEojvxxgw_23_18"/>
      <w:bookmarkStart w:id="611" w:name="Tc_00QJoPANAkqQkV3jIP8bHw_23_16"/>
      <w:bookmarkStart w:id="612" w:name="Tc_jk4K9i7MOESxMTSyMhCZIQ_23_14"/>
      <w:bookmarkStart w:id="613" w:name="Tc_HNGU-mS8M0ijbw9da4ormw_23_12"/>
      <w:bookmarkStart w:id="614" w:name="Tc_wJOI87_inUGZyBmxQIdMEA_23_0"/>
      <w:bookmarkStart w:id="615" w:name="Tc_LpUe--slHk-PA9_uPtRfGA_22_18"/>
      <w:bookmarkStart w:id="616" w:name="Tc_y5hCzqf-Akq8j58JoOmURQ_22_16"/>
      <w:bookmarkStart w:id="617" w:name="Tc_j4SZQM-pMEa2mkyyatHjNg_22_14"/>
      <w:bookmarkStart w:id="618" w:name="Tc_n98Ul3R9sU6VYl7UbW51Lg_22_12"/>
      <w:bookmarkStart w:id="619" w:name="Tc_i5rS2vSWT0y4XbhuvJ4WSw_22_6"/>
      <w:bookmarkStart w:id="620" w:name="Tc_QrRd7XWXhk2vYbeQgbWNCQ_22_4"/>
      <w:bookmarkStart w:id="621" w:name="Tc_uYmCAh25PEigSS3Cf4YEuA_22_2"/>
      <w:bookmarkStart w:id="622" w:name="Tc_3khliIxFo0O6rN0Fus3gMQ_22_0"/>
      <w:bookmarkStart w:id="623" w:name="Tc_7huL8Bpw70mLBRaj60pVTw_21_14"/>
      <w:bookmarkStart w:id="624" w:name="Tc_uNA9cQjbtE-uqxC4TsMYhQ_21_12"/>
      <w:bookmarkStart w:id="625" w:name="Tc_2d64rzzZ4kqNEAw5fPoXJQ_21_10"/>
      <w:bookmarkStart w:id="626" w:name="Tc_nHGvg1_E6kOQ03wHzb6CfA_21_8"/>
      <w:bookmarkStart w:id="627" w:name="Tc_FO79lcrqJ0WVwFrhqlOBkA_21_6"/>
      <w:bookmarkStart w:id="628" w:name="Tc_oc_S46jRUUWtMNmKONx_xA_21_4"/>
      <w:bookmarkStart w:id="629" w:name="Tc_n83FoRl_2kWvb7uEuQl3Zg_21_2"/>
      <w:bookmarkStart w:id="630" w:name="Tc_7S68w8V8o06zP8KuySG3rg_21_0"/>
      <w:bookmarkStart w:id="631" w:name="Tc_YGwwYtbCL06QUQhEd_TVkw_20_20"/>
      <w:bookmarkStart w:id="632" w:name="Tc_U35hCblVUE6WV5O-PuYfvg_20_18"/>
      <w:bookmarkStart w:id="633" w:name="Tc_Av6XbRu4kE-Tdh6ySUfXGA_20_14"/>
      <w:bookmarkStart w:id="634" w:name="Tc_-lRDeTNaaU-V5AbzD-q3uQ_20_10"/>
      <w:bookmarkStart w:id="635" w:name="Tc_HpyUTh8BY0S6RJDRzPEkJw_20_8"/>
      <w:bookmarkStart w:id="636" w:name="Tc_jctXR1oOVUqXh3-_9E8DLA_20_6"/>
      <w:bookmarkStart w:id="637" w:name="Tc_ZP9P94v91kKa-wi1UMa63A_20_4"/>
      <w:bookmarkStart w:id="638" w:name="Tc_nf5fPIZtJ0qv5JKWxijMfg_20_2"/>
      <w:bookmarkStart w:id="639" w:name="Tc_WteXq_Gsf0KMT1tuUrU2hA_20_0"/>
      <w:bookmarkStart w:id="640" w:name="Tc_jbrG6OeoLUacTKFi5gqp7w_19_16"/>
      <w:bookmarkStart w:id="641" w:name="Tc_UTqCFHVpC0CFrsZWp5sEyg_19_14"/>
      <w:bookmarkStart w:id="642" w:name="Tc_eKhRMWRY4UKyTCWobYbRUA_19_12"/>
      <w:bookmarkStart w:id="643" w:name="Tc_hYVNCal4oE6OQv4Tn7rEGg_19_10"/>
      <w:bookmarkStart w:id="644" w:name="Tc_tEDCQMTTbE2q45jqpoQfVA_19_8"/>
      <w:bookmarkStart w:id="645" w:name="Tc_rbSXkNbsiUix_5W6fDCkcQ_19_4"/>
      <w:bookmarkStart w:id="646" w:name="Tc_iHy_rSbnXk2KQ5YvJ5AAKg_19_2"/>
      <w:bookmarkStart w:id="647" w:name="Tc__bQ41G8jSEWG6_WyQUcYlg_19_0"/>
      <w:bookmarkStart w:id="648" w:name="Tc_bqVH07Wbb0Sq6zAeKZz0WQ_18_20"/>
      <w:bookmarkStart w:id="649" w:name="Tc_wKotgjrA1Eidh4bZ93jJLA_18_18"/>
      <w:bookmarkStart w:id="650" w:name="Tc_bq9MSWg40UKD6u2bMSuQfA_18_16"/>
      <w:bookmarkStart w:id="651" w:name="Tc_nskD4vD8-kC3HsrAYj3nAA_18_14"/>
      <w:bookmarkStart w:id="652" w:name="Tc_sKsYAdiKTEqlECOMZMGqfw_18_12"/>
      <w:bookmarkStart w:id="653" w:name="Tc_LezeDwcm7U-kkWL1rFY39A_18_0"/>
      <w:bookmarkStart w:id="654" w:name="Tc_ZdPZDx-Mjkm0VVFjjEfAPg_17_0"/>
      <w:bookmarkStart w:id="655" w:name="Tc_uqMke22SoUW4GYY-nmGEsQ_16_14"/>
      <w:bookmarkStart w:id="656" w:name="Tc_p7Ht7-HQ8UOHEg_L-Wxe3A_16_12"/>
      <w:bookmarkStart w:id="657" w:name="Tc_u1N2uZY_skm5ocLQQEKmzA_16_10"/>
      <w:bookmarkStart w:id="658" w:name="Tc_5Lsf0HGzFUGV7hcfdqflcA_16_8"/>
      <w:bookmarkStart w:id="659" w:name="Tc_07u5kELT-U2p7i1JhC8haQ_16_6"/>
      <w:bookmarkStart w:id="660" w:name="Tc_solDiHIj70O1vZxBqL401A_16_4"/>
      <w:bookmarkStart w:id="661" w:name="Tc_pzT18MKENEuoY0VuaRHIMQ_16_2"/>
      <w:bookmarkStart w:id="662" w:name="Tc_a5YaMPjP1k-67qgrOtKsIw_16_0"/>
      <w:bookmarkStart w:id="663" w:name="Tc_X3EDoe1iSUOCMTVWUB9GNw_15_16"/>
      <w:bookmarkStart w:id="664" w:name="Tc_w689I6rzA0mAoeM34jkzMA_15_12"/>
      <w:bookmarkStart w:id="665" w:name="Tc_Qb0grBwFpkiHyU1Frcr9Pw_15_10"/>
      <w:bookmarkStart w:id="666" w:name="Tc_BD9-oMMQf0uHGDQe6pbIGA_15_8"/>
      <w:bookmarkStart w:id="667" w:name="Tc_4TzzLJYivUmSg8VCMX7Meg_15_6"/>
      <w:bookmarkStart w:id="668" w:name="Tc_bLLHzSoGW0yrGXsISY9Xuw_15_4"/>
      <w:bookmarkStart w:id="669" w:name="Tc_AGaIV74JfUWYswGH0_OtKQ_15_2"/>
      <w:bookmarkStart w:id="670" w:name="Tc_mPoOBPeRfUOuSTsh1T0edg_15_0"/>
      <w:bookmarkStart w:id="671" w:name="Tc_z7tqOTLUIk6DqGIns3l2eg_14_16"/>
      <w:bookmarkStart w:id="672" w:name="Tc_UKSB4yXon0ahUk0CZdAMOw_14_14"/>
      <w:bookmarkStart w:id="673" w:name="Tc_hfTh-lXiC0yiIzILjfw3Zg_14_12"/>
      <w:bookmarkStart w:id="674" w:name="Tc_JQgNN02VgUO4yl_FY6KpKA_14_10"/>
      <w:bookmarkStart w:id="675" w:name="Tc_hj_712mOFUam_5audHjcwA_14_8"/>
      <w:bookmarkStart w:id="676" w:name="Tc__SHTVQq6DkylVG3joZBEPA_14_6"/>
      <w:bookmarkStart w:id="677" w:name="Tc_RpO8QwND606skl16L3yJwQ_14_4"/>
      <w:bookmarkStart w:id="678" w:name="Tc_DPqSdpbcLkWKAebBwxn3rw_14_2"/>
      <w:bookmarkStart w:id="679" w:name="Tc_YbjpR_IiSkSenIXjQqmdpQ_14_0"/>
      <w:bookmarkStart w:id="680" w:name="Tc_lbfbJmPlEkmN3utsjqPX3w_13_18"/>
      <w:bookmarkStart w:id="681" w:name="Tc_aKGXLW9f_E2wGTHqFY_ytg_13_14"/>
      <w:bookmarkStart w:id="682" w:name="Tc_SOBluJgz5UaeTbePts77ZA_13_12"/>
      <w:bookmarkStart w:id="683" w:name="Tc_cLVWnzq_YEGWAzDTnhFKOw_13_10"/>
      <w:bookmarkStart w:id="684" w:name="Tc_lw9a0ya9WkCDs3DA9G1jgQ_13_8"/>
      <w:bookmarkStart w:id="685" w:name="Tc__zMLbKU8kkahDddC0kA_EA_13_6"/>
      <w:bookmarkStart w:id="686" w:name="Tc_O-PaOhJlbk-3Q03K0113AQ_13_4"/>
      <w:bookmarkStart w:id="687" w:name="Tc_V91ncNkf4kWuwu3cpGEiQg_13_2"/>
      <w:bookmarkStart w:id="688" w:name="Tc_-wCyYyS2HkKWPTt7ni_pmQ_13_0"/>
      <w:bookmarkStart w:id="689" w:name="Tc_dlDvKB23aEuNlFI76mhBHg_12_16"/>
      <w:bookmarkStart w:id="690" w:name="Tc_XUfspI09SU6NAN6W1qs5KA_12_14"/>
      <w:bookmarkStart w:id="691" w:name="Tc_TXWOtA0__Uaeks6--_ZOKg_12_12"/>
      <w:bookmarkStart w:id="692" w:name="Tc_2bnDPwDakES10YM00SuCqQ_12_10"/>
      <w:bookmarkStart w:id="693" w:name="Tc_yGip5ybt3kyvnFlew8Dn5w_12_8"/>
      <w:bookmarkStart w:id="694" w:name="Tc_TcU7n_-LO0m9YzrmFl9OnQ_12_4"/>
      <w:bookmarkStart w:id="695" w:name="Tc_qSVVy6WFgk2ens8m8l6kUg_12_2"/>
      <w:bookmarkStart w:id="696" w:name="Tc_OBcn-RqtwUuAo4HfwwW7oQ_12_0"/>
      <w:bookmarkStart w:id="697" w:name="Tc_qpVupiUAQ0-H4pgqBW6IZw_11_16"/>
      <w:bookmarkStart w:id="698" w:name="Tc_IMcSwgW-4ESIvD3hN-ITvg_11_14"/>
      <w:bookmarkStart w:id="699" w:name="Tc_AjZFYrYoqka3Xg3FFemf-g_11_12"/>
      <w:bookmarkStart w:id="700" w:name="Tc_X4SyFOMryUy0umzKqnDVmQ_11_10"/>
      <w:bookmarkStart w:id="701" w:name="Tc_70u63CAn2EGLBygDIGVZkA_11_8"/>
      <w:bookmarkStart w:id="702" w:name="Tc_U0ZmapWt8UOlHUR-EWvPhQ_11_4"/>
      <w:bookmarkStart w:id="703" w:name="Tc_XEamITzUE0qHljFjPP2icQ_11_2"/>
      <w:bookmarkStart w:id="704" w:name="Tc_bwYUI_65n0GSJK3Zxosa8g_11_0"/>
      <w:bookmarkStart w:id="705" w:name="Tc_NrJouiyYBE-j-g2DtMxd1A_10_18"/>
      <w:bookmarkStart w:id="706" w:name="Tc_j6GF-Spg2kyupHEu-2lsEQ_10_16"/>
      <w:bookmarkStart w:id="707" w:name="Tc_jxDfeFqg40mCC4uFCt7ddQ_10_14"/>
      <w:bookmarkStart w:id="708" w:name="Tc_vdfk72QJm06ESuBhHuQd4Q_10_12"/>
      <w:bookmarkStart w:id="709" w:name="Tc_OweIpJRSgEOLKiVNTy1oyw_10_6"/>
      <w:bookmarkStart w:id="710" w:name="Tc_-j62-tCeEE20NnqXtos0EA_10_4"/>
      <w:bookmarkStart w:id="711" w:name="Tc_Ob7k8uK7WkievUqOzt0SXw_10_2"/>
      <w:bookmarkStart w:id="712" w:name="Tc_klnv39unZkSbbKET8bg7RQ_10_0"/>
      <w:bookmarkStart w:id="713" w:name="Tc_PXHsqEPEhE2OX5x-AyDdNA_9_14"/>
      <w:bookmarkStart w:id="714" w:name="Tc_DKJeaSZZgESji_HzmKsRzw_9_12"/>
      <w:bookmarkStart w:id="715" w:name="Tc_p8oyGh4xG0ah_uYOZxLlxA_9_10"/>
      <w:bookmarkStart w:id="716" w:name="Tc_zkYvVpNbJkaaeKk6fJqb5A_9_8"/>
      <w:bookmarkStart w:id="717" w:name="Tc_-WtYSvoCbkmCU9WH1Ir6iw_9_6"/>
      <w:bookmarkStart w:id="718" w:name="Tc_FBkhLIx_0Eq090euaPq70g_9_4"/>
      <w:bookmarkStart w:id="719" w:name="Tc_71WELI_7XU2g8hD3iBOxUw_9_2"/>
      <w:bookmarkStart w:id="720" w:name="Tc_TEaspyicq0K4cmbnsa1Bgg_9_0"/>
      <w:bookmarkStart w:id="721" w:name="Tc_A5TA5KxQZESNunwvJgtS-Q_8_20"/>
      <w:bookmarkStart w:id="722" w:name="Tc_2DABbvWtA0izVY-OTpQ9Aw_8_18"/>
      <w:bookmarkStart w:id="723" w:name="Tc_7kAjvYZYv0m-GGYlh3zW1w_8_14"/>
      <w:bookmarkStart w:id="724" w:name="Tc_mmfxX2zV8U6LgM4zGUf9hA_8_10"/>
      <w:bookmarkStart w:id="725" w:name="Tc_Elaos9mxRkqWPzZ6Exx2OA_8_8"/>
      <w:bookmarkStart w:id="726" w:name="Tc_5Bk-djk6ZEaeMK76C-HfGg_8_6"/>
      <w:bookmarkStart w:id="727" w:name="Tc_ydZ1dqMDHkiyZJ6NdtLPdg_8_4"/>
      <w:bookmarkStart w:id="728" w:name="Tc_vu32TqYRxUukqoGUE_IJRg_8_2"/>
      <w:bookmarkStart w:id="729" w:name="Tc_hOScRXifZ0GRQXWiZ0RYMw_8_0"/>
      <w:bookmarkStart w:id="730" w:name="Tc_YnfMSlenX0Km0r6xnYTnvg_7_16"/>
      <w:bookmarkStart w:id="731" w:name="Tc_yGSmN0E8Z0-n7yRrJBMf0g_7_14"/>
      <w:bookmarkStart w:id="732" w:name="Tc_gQJj-faRzUO1s20npa0bBg_7_12"/>
      <w:bookmarkStart w:id="733" w:name="Tc_SdP1o17F1UClWTtiT7_3Lg_7_10"/>
      <w:bookmarkStart w:id="734" w:name="Tc_rCIC8UTEBkaOzYznZxQsFA_7_8"/>
      <w:bookmarkStart w:id="735" w:name="Tc_bPqAJOVYPkGPxulJfvSaxw_7_4"/>
      <w:bookmarkStart w:id="736" w:name="Tc_aV9r4EjUM0Gdxy79bCZQfw_7_2"/>
      <w:bookmarkStart w:id="737" w:name="Tc_9Oug2sCMg0ecUy0ImIy1lg_7_0"/>
      <w:bookmarkStart w:id="738" w:name="Tc_F3xzznwIxkCaZTKMSiEEIw_6_20"/>
      <w:bookmarkStart w:id="739" w:name="Tc_Kq1Tv-3N-0iT3i0VXrCQrA_6_18"/>
      <w:bookmarkStart w:id="740" w:name="Tc_UPAJn7l2606g4oYfqto8iw_6_16"/>
      <w:bookmarkStart w:id="741" w:name="Tc_tv8DJzFIa0qvXN_UmWA53A_6_14"/>
      <w:bookmarkStart w:id="742" w:name="Tc_D_qCqhw--kqJQBHBTTgNoQ_6_12"/>
      <w:bookmarkStart w:id="743" w:name="Tc_n3NiFFLD106LNvC9i6hW4w_6_4"/>
      <w:bookmarkStart w:id="744" w:name="Tc_RthtVEYo9UWJQKV0UsAjfg_6_2"/>
      <w:bookmarkStart w:id="745" w:name="Tc_AIQdxqEwhUa97r-F0nHGgg_6_0"/>
      <w:bookmarkStart w:id="746" w:name="Tc_jNWtop-xY0SQIu4RiLsBYg_5_0"/>
      <w:bookmarkStart w:id="747" w:name="Tc_hkSQY5jcNkaCty0XxVqbnQ_4_20"/>
      <w:bookmarkStart w:id="748" w:name="Tc_Sul1S6HxD0aL_Qm5p8wNzg_4_18"/>
      <w:bookmarkStart w:id="749" w:name="Tc_3QzNQ5E_dE-Wz3XLnPfASw_4_16"/>
      <w:bookmarkStart w:id="750" w:name="Tc_ZYEy4VZutU-i4FaGPVSzvA_4_14"/>
      <w:bookmarkStart w:id="751" w:name="Tc_IWAlq3XtDkWBhuwPXC6p8g_4_12"/>
      <w:bookmarkStart w:id="752" w:name="Tc_KMdv871Th0OYwGdfbL5fdg_4_10"/>
      <w:bookmarkStart w:id="753" w:name="Tc_aW_gqY1gSUCz34TGLVKlrQ_4_6"/>
      <w:bookmarkStart w:id="754" w:name="Tc_DyElig1PF0Gsky22cekM4w_4_4"/>
      <w:bookmarkStart w:id="755" w:name="Tc_WcFNDuNGeUq7M-VVI_xChg_3_20"/>
      <w:bookmarkStart w:id="756" w:name="Tc_Nnlwe5aqikGLP2GjBQ9pyQ_3_18"/>
      <w:bookmarkStart w:id="757" w:name="Tc_oYlJYBtzKUecCRNHdbTemQ_3_16"/>
      <w:bookmarkStart w:id="758" w:name="Tc_6DVuZWSkc0SFc9AMdqMneg_3_14"/>
      <w:bookmarkStart w:id="759" w:name="Tc_9dnd2xenLk-3rlmHj-saag_3_12"/>
      <w:bookmarkStart w:id="760" w:name="Tc_cNZOdXlGxkuHaR8DaSX5Jw_3_10"/>
      <w:bookmarkStart w:id="761" w:name="Tc_fTYoOE6t7ECkTq_wI6V2hg_3_8"/>
      <w:bookmarkStart w:id="762" w:name="Tc_JHmunCA0AUKCQZ77LeHidw_3_6"/>
      <w:bookmarkStart w:id="763" w:name="Tc_cGt3NratmEuCJGL_FiNMIA_3_4"/>
      <w:bookmarkStart w:id="764" w:name="Tc_Nxh5HoYklkWuzsFBBUqezg_3_2"/>
      <w:bookmarkStart w:id="765" w:name="Tc_tH413BWP1ES69zWhxVtZ6g_2_20"/>
      <w:bookmarkStart w:id="766" w:name="Tc_CbIg4K8oU0GaAaeQ80_ytg_2_18"/>
      <w:bookmarkStart w:id="767" w:name="Tc_9V6dv2AFPkyji-L0H1aKSA_2_16"/>
      <w:bookmarkStart w:id="768" w:name="Tc_QLuK8fT3GUaxLqr1rHGzrA_2_14"/>
      <w:bookmarkStart w:id="769" w:name="Tc_1DwB9kxEpEq_V99Wc4bWnQ_2_12"/>
      <w:bookmarkStart w:id="770" w:name="Tc_CxRSL5mpb0Wo7zNF0AeEzg_2_8"/>
      <w:bookmarkStart w:id="771" w:name="Tc_F2c2Byi42U-sdWe2tiUUFA_2_6"/>
      <w:bookmarkStart w:id="772" w:name="Tc_kXo9Q-9-c0W4nIPsUJBlqw_2_2"/>
      <w:bookmarkStart w:id="773" w:name="Tc_M1VmlMpfAkG5vvtWWk08Dg_1_14"/>
      <w:bookmarkStart w:id="774" w:name="_592736b0_6fbf_4c66_a210_18330dd04667"/>
      <w:bookmarkStart w:id="775" w:name="Tc_leMR3Yj650exI70KCKDrdA_39_0"/>
      <w:bookmarkStart w:id="776" w:name="Tc_FlTJLOPn70CFLDycXydSOQ_38_14"/>
      <w:bookmarkStart w:id="777" w:name="Tc_Ly77e2jA1E27M2p6tNDfKQ_38_12"/>
      <w:bookmarkStart w:id="778" w:name="Tc_iHPdw1JG7UyO5kngc4COrA_38_10"/>
      <w:bookmarkStart w:id="779" w:name="Tc_LUVvP9jd-U-HX_tmlY-e9Q_38_8"/>
      <w:bookmarkStart w:id="780" w:name="Tc_IpFp1pNiC0ycwNh1Mgr-dg_38_6"/>
      <w:bookmarkStart w:id="781" w:name="Tc_2oIaWe4anEO0BtxHYqNOrQ_38_4"/>
      <w:bookmarkStart w:id="782" w:name="Tc_enI0I4uDNUaBElShA82mGQ_38_2"/>
      <w:bookmarkStart w:id="783" w:name="Tc_zhQ8vyKYI0-BmczQkPofQw_38_0"/>
      <w:bookmarkStart w:id="784" w:name="Tc_ZX4JKYQDwEiCOMlC911KxA_37_16"/>
      <w:bookmarkStart w:id="785" w:name="Tc_Ji6ICWIjGEmWexM289ZZUA_37_12"/>
      <w:bookmarkStart w:id="786" w:name="Tc_RhWz27IzmkSadXcw8UUPiw_37_10"/>
      <w:bookmarkStart w:id="787" w:name="Tc_IuB0YMEq1kWeInv39bnPyQ_37_8"/>
      <w:bookmarkStart w:id="788" w:name="Tc_gWc4kaZLnkaTnp_keqvH2w_37_6"/>
      <w:bookmarkStart w:id="789" w:name="Tc_MWb8vJV0AEmKUbD93kJaeg_37_4"/>
      <w:bookmarkStart w:id="790" w:name="Tc_scgS922PQk264NYTq_vhBA_37_2"/>
      <w:bookmarkStart w:id="791" w:name="Tc_UGEHD4SY3EGeynWbVMLIFA_37_0"/>
      <w:bookmarkStart w:id="792" w:name="Tc_cVZ4U80u6UmqvSztgAm0sw_36_18"/>
      <w:bookmarkStart w:id="793" w:name="Tc_lY5nXEOJwUC8ADZ72q1NFg_36_14"/>
      <w:bookmarkStart w:id="794" w:name="Tc_q2ttA7TWH0Cvr53cRJwcsg_36_12"/>
      <w:bookmarkStart w:id="795" w:name="Tc_Rh9WbsqLOE2QiUcpgnUTBQ_36_10"/>
      <w:bookmarkStart w:id="796" w:name="Tc_UB7K-qNaNkWDFTM3AG9VXg_36_8"/>
      <w:bookmarkStart w:id="797" w:name="Tc_pICD-Jqbhk2Jr60nP3KF1Q_36_6"/>
      <w:bookmarkStart w:id="798" w:name="Tc_PQc96gtxAkCPdY0Mal-dnQ_36_4"/>
      <w:bookmarkStart w:id="799" w:name="Tc_vMI34s3Y2UqjLixqsnCWZw_36_2"/>
      <w:bookmarkStart w:id="800" w:name="Tc_s_eK4-X5REq2EkVqo3hqpQ_36_0"/>
      <w:bookmarkStart w:id="801" w:name="Tc_QJBFUGfAvkCHInsnzLMVKQ_35_16"/>
      <w:bookmarkStart w:id="802" w:name="Tc_EFXNj2TZxU-LkYNrm6-iBQ_35_14"/>
      <w:bookmarkStart w:id="803" w:name="Tc_WmaKEztCkkKF_Y9BLVBc-w_35_12"/>
      <w:bookmarkStart w:id="804" w:name="Tc_duRE-WrNzEShhBJEIKm0bQ_35_10"/>
      <w:bookmarkStart w:id="805" w:name="Tc_-EayjoVOl0mAiNylfjBxlA_35_8"/>
      <w:bookmarkStart w:id="806" w:name="Tc_RSK4rkX3okOEIZE2NVG4hg_35_6"/>
      <w:bookmarkStart w:id="807" w:name="Tc_wRhyjrngy0yM2gErRHCI9A_35_4"/>
      <w:bookmarkStart w:id="808" w:name="Tc_Da94IwJMr0qDuMwr2UxsjQ_35_2"/>
      <w:bookmarkStart w:id="809" w:name="Tc_GFtzPfTsf0idUG6oR_6QXg_35_0"/>
      <w:bookmarkStart w:id="810" w:name="Tc_AFkCFxuzJ0GzyUTHkFoNdQ_34_16"/>
      <w:bookmarkStart w:id="811" w:name="Tc_hm24TzN0fE2pAyp2jRSmWw_34_14"/>
      <w:bookmarkStart w:id="812" w:name="Tc_5M6nHHdCLkSK4nFb4lkeZg_34_12"/>
      <w:bookmarkStart w:id="813" w:name="Tc_H77OgbfF-0en6VjnCM57AQ_34_10"/>
      <w:bookmarkStart w:id="814" w:name="Tc_W5EHV8rjk0CmE73JRT0RfQ_34_8"/>
      <w:bookmarkStart w:id="815" w:name="Tc_fOkwymHMq0WFkbJE-3qPgQ_34_4"/>
      <w:bookmarkStart w:id="816" w:name="Tc_Yla5hTWiWEW6VFCem4tI1w_34_2"/>
      <w:bookmarkStart w:id="817" w:name="Tc_vf3Duo0260yRu8zT9wRfEg_34_0"/>
      <w:bookmarkStart w:id="818" w:name="Tc_eRii2EMHXkC_5zsrD7dQeQ_33_18"/>
      <w:bookmarkStart w:id="819" w:name="Tc_Kq32zY8_20KzWI88ZMTErA_33_16"/>
      <w:bookmarkStart w:id="820" w:name="Tc_pEsUZp_69kK0USMgIpajJA_33_14"/>
      <w:bookmarkStart w:id="821" w:name="Tc_IFm7Vh8Rn0aAexSWxTJFSw_33_12"/>
      <w:bookmarkStart w:id="822" w:name="Tc_f8vEAK3zhEqiPSAxeu8maw_33_6"/>
      <w:bookmarkStart w:id="823" w:name="Tc_XPDVbR9jz0ayG9Ilq5weSg_33_4"/>
      <w:bookmarkStart w:id="824" w:name="Tc_nhaa9QDxPU2t3RBLv57HvQ_33_2"/>
      <w:bookmarkStart w:id="825" w:name="Tc_IjNmtoROBkKeDwCp7e5Qjg_33_0"/>
      <w:bookmarkStart w:id="826" w:name="Tc_1Gd9ghrG6kuQ82DB2cJLxQ_32_14"/>
      <w:bookmarkStart w:id="827" w:name="Tc_IZyaJDJKNkix2eC7g3pK9g_32_12"/>
      <w:bookmarkStart w:id="828" w:name="Tc__pitx2J8d0e4J1xMmvTT9A_32_10"/>
      <w:bookmarkStart w:id="829" w:name="Tc_7UhoQ3Nt40COLyXb6ceozg_32_8"/>
      <w:bookmarkStart w:id="830" w:name="Tc_IHm74fSTskujEipmknNM8g_32_6"/>
      <w:bookmarkStart w:id="831" w:name="Tc_pQIQptS5oEyNzxOAghoCUw_32_4"/>
      <w:bookmarkStart w:id="832" w:name="Tc_0FiNigvwKEefXuRWi7tL3w_32_2"/>
      <w:bookmarkStart w:id="833" w:name="Tc_fR7d35ZSjkiwE02D6bbvUw_32_0"/>
      <w:bookmarkStart w:id="834" w:name="Tc_g_XbgBnHSk6UJJ69lGD5Tg_31_20"/>
      <w:bookmarkStart w:id="835" w:name="Tc_YRx8W2b0Y0irBkj8uFrXYw_31_18"/>
      <w:bookmarkStart w:id="836" w:name="Tc_1fzSrp10f0G8035akZvqZw_31_14"/>
      <w:bookmarkStart w:id="837" w:name="Tc_HI_iQcObI0SiAZOBs_pA2w_31_10"/>
      <w:bookmarkStart w:id="838" w:name="Tc_dV3MmZxsN0iIMTcqBdqdVQ_31_8"/>
      <w:bookmarkStart w:id="839" w:name="Tc_Q7vse4-xz0y_E1PK4FpH4w_31_6"/>
      <w:bookmarkStart w:id="840" w:name="Tc_CX-M1jn9d0qEwmdlG5oSPw_31_4"/>
      <w:bookmarkStart w:id="841" w:name="Tc_82Ez1rhNJ0m3BpsFDkHaLg_31_2"/>
      <w:bookmarkStart w:id="842" w:name="Tc_XQwZzuMpdka09g7--4gMZg_31_0"/>
      <w:bookmarkStart w:id="843" w:name="Tc_e-oSOf61eUyhqAWHLtcGJw_30_16"/>
      <w:bookmarkStart w:id="844" w:name="Tc_34nk3yLo30WDAeItABsNZg_30_14"/>
      <w:bookmarkStart w:id="845" w:name="Tc_96XjIDD9i0OgNnZ8GoRikw_30_12"/>
      <w:bookmarkStart w:id="846" w:name="Tc_vgmhe4kyCUC7BowfvCFJZg_30_10"/>
      <w:bookmarkStart w:id="847" w:name="Tc_G41SN9YMnUmcXe-CLHtonA_30_8"/>
      <w:bookmarkStart w:id="848" w:name="Tc_s9ZeVSIkiUO7E2_PxJm4-g_30_4"/>
      <w:bookmarkStart w:id="849" w:name="Tc_vj5KC7njkUyDfbTQVViczw_30_2"/>
      <w:bookmarkStart w:id="850" w:name="Tc_ZvO8fQJBfk-qD41_jaToMQ_30_0"/>
      <w:bookmarkStart w:id="851" w:name="Tc_ehUKKxCjeEe6nZnGmUG8cg_29_20"/>
      <w:bookmarkStart w:id="852" w:name="Tc_xytILPM-60yS41sekNvdiw_29_18"/>
      <w:bookmarkStart w:id="853" w:name="Tc_gdES17d2P0Kl0N2Sun7s_A_29_16"/>
      <w:bookmarkStart w:id="854" w:name="Tc_gz33Vc0N7kWLLUWkv5UpEg_29_14"/>
      <w:bookmarkStart w:id="855" w:name="Tc_B8vzJy4SQUGcvVPBmoQJqg_29_12"/>
      <w:bookmarkStart w:id="856" w:name="Tc_AzNvEV3x4Em2L8fMNlBa-g_29_4"/>
      <w:bookmarkStart w:id="857" w:name="Tc_6O0N3knGYkKjO1YUMf0KPg_29_2"/>
      <w:bookmarkStart w:id="858" w:name="Tc__lGH9u-EdEqvRLNG8lBXOg_29_0"/>
      <w:bookmarkStart w:id="859" w:name="Tc_njAVHS2NI0OuVBnFmC5deA_28_0"/>
      <w:bookmarkStart w:id="860" w:name="Tc_AJDOTjcuOESWNj_SAOiKlQ_27_14"/>
      <w:bookmarkStart w:id="861" w:name="Tc_OCoYKPD6OE2_rWECcFkVpg_27_12"/>
      <w:bookmarkStart w:id="862" w:name="Tc_GkD-hEHKGU-exYK_xFCO9A_27_10"/>
      <w:bookmarkStart w:id="863" w:name="Tc_wpsP_jni10ajQijZkzvFhw_27_8"/>
      <w:bookmarkStart w:id="864" w:name="Tc_tIlNU8hPd0qqJuIdmcqTUA_27_6"/>
      <w:bookmarkStart w:id="865" w:name="Tc_O7CgIIDOgkew7Mik67Mudw_27_4"/>
      <w:bookmarkStart w:id="866" w:name="Tc_Cx_62CsLLEydA3IQpjOZng_27_2"/>
      <w:bookmarkStart w:id="867" w:name="Tc_8_cEv4IEfkmUK6oLsNH3sg_27_0"/>
      <w:bookmarkStart w:id="868" w:name="Tc_RwwpUS4LCkqgxxkOVZ_utw_26_16"/>
      <w:bookmarkStart w:id="869" w:name="Tc_q5AiNlMkVESQyLKtfCMXOw_26_12"/>
      <w:bookmarkStart w:id="870" w:name="Tc_q-r6uce1VUWUoRiIv5zLWA_26_10"/>
      <w:bookmarkStart w:id="871" w:name="Tc_9r18ic8Cj0awJXqT2Hca7g_26_8"/>
      <w:bookmarkStart w:id="872" w:name="Tc_oNZQXeGl8kW-O3trTfIwLA_26_6"/>
      <w:bookmarkStart w:id="873" w:name="Tc_C8pwicbjB0uPVfD4XRloLQ_26_4"/>
      <w:bookmarkStart w:id="874" w:name="Tc_02Nh2QSB8kCel9vhFt9Tfw_26_2"/>
      <w:bookmarkStart w:id="875" w:name="Tc_oxADx24-dE6kPgu4wUB6-A_26_0"/>
      <w:bookmarkStart w:id="876" w:name="Tc_VzeIWdlDYUmHcUFqdu1eIw_25_18"/>
      <w:bookmarkStart w:id="877" w:name="Tc_0Xk0qqP3KkSQghj85PgEiw_25_14"/>
      <w:bookmarkStart w:id="878" w:name="Tc_LEMbKCMTjE-lsMi58W2mPA_25_12"/>
      <w:bookmarkStart w:id="879" w:name="Tc_t9Yj_e9iaUuf6iAp2-4hQQ_25_10"/>
      <w:bookmarkStart w:id="880" w:name="Tc_bJtodP-rTkWJZLE-GpXuTQ_25_8"/>
      <w:bookmarkStart w:id="881" w:name="Tc_E79ZrHLGWEmThz0lnBrtDA_25_6"/>
      <w:bookmarkStart w:id="882" w:name="Tc_d8_DL8p8oUC3o2WmMfyZUA_25_4"/>
      <w:bookmarkStart w:id="883" w:name="Tc_BKOJtmR1tUW01Q5-zftEHA_25_2"/>
      <w:bookmarkStart w:id="884" w:name="Tc_L1ywCu0F_kmqpPFUUeKLdw_25_0"/>
      <w:bookmarkStart w:id="885" w:name="Tc_hmTLoNSakEKv0MUmK2jR6g_24_16"/>
      <w:bookmarkStart w:id="886" w:name="Tc_m9x45TYr7ECUsPKDtp_Cvw_24_14"/>
      <w:bookmarkStart w:id="887" w:name="Tc_1bATZXyAak63E72DP6BE7Q_24_12"/>
      <w:bookmarkStart w:id="888" w:name="Tc_BYPOmsOvu0md-zxHrQC09g_24_10"/>
      <w:bookmarkStart w:id="889" w:name="Tc_uBIlU4a2LESmwP2qpmb78g_24_8"/>
      <w:bookmarkStart w:id="890" w:name="Tc_BP1USFBtLku-bwd3E_np-A_24_4"/>
      <w:bookmarkStart w:id="891" w:name="Tc_lYwXyVBrYkOAH7C0MqRCrw_24_2"/>
      <w:bookmarkStart w:id="892" w:name="Tc_eLHkX28W3ESza-EOoIYqJg_24_0"/>
      <w:bookmarkStart w:id="893" w:name="Tc_ANVWaQ0nIkeibHDBtce3OA_23_20"/>
      <w:bookmarkStart w:id="894" w:name="Tc_Ur218zWoeUeukTEojvxxgw_23_18"/>
      <w:bookmarkStart w:id="895" w:name="Tc_00QJoPANAkqQkV3jIP8bHw_23_16"/>
      <w:bookmarkStart w:id="896" w:name="Tc_jk4K9i7MOESxMTSyMhCZIQ_23_14"/>
      <w:bookmarkStart w:id="897" w:name="Tc_HNGU-mS8M0ijbw9da4ormw_23_12"/>
      <w:bookmarkStart w:id="898" w:name="Tc_wJOI87_inUGZyBmxQIdMEA_23_0"/>
      <w:bookmarkStart w:id="899" w:name="Tc_LpUe--slHk-PA9_uPtRfGA_22_18"/>
      <w:bookmarkStart w:id="900" w:name="Tc_y5hCzqf-Akq8j58JoOmURQ_22_16"/>
      <w:bookmarkStart w:id="901" w:name="Tc_j4SZQM-pMEa2mkyyatHjNg_22_14"/>
      <w:bookmarkStart w:id="902" w:name="Tc_n98Ul3R9sU6VYl7UbW51Lg_22_12"/>
      <w:bookmarkStart w:id="903" w:name="Tc_i5rS2vSWT0y4XbhuvJ4WSw_22_6"/>
      <w:bookmarkStart w:id="904" w:name="Tc_QrRd7XWXhk2vYbeQgbWNCQ_22_4"/>
      <w:bookmarkStart w:id="905" w:name="Tc_uYmCAh25PEigSS3Cf4YEuA_22_2"/>
      <w:bookmarkStart w:id="906" w:name="Tc_3khliIxFo0O6rN0Fus3gMQ_22_0"/>
      <w:bookmarkStart w:id="907" w:name="Tc_7huL8Bpw70mLBRaj60pVTw_21_14"/>
      <w:bookmarkStart w:id="908" w:name="Tc_uNA9cQjbtE-uqxC4TsMYhQ_21_12"/>
      <w:bookmarkStart w:id="909" w:name="Tc_2d64rzzZ4kqNEAw5fPoXJQ_21_10"/>
      <w:bookmarkStart w:id="910" w:name="Tc_nHGvg1_E6kOQ03wHzb6CfA_21_8"/>
      <w:bookmarkStart w:id="911" w:name="Tc_FO79lcrqJ0WVwFrhqlOBkA_21_6"/>
      <w:bookmarkStart w:id="912" w:name="Tc_oc_S46jRUUWtMNmKONx_xA_21_4"/>
      <w:bookmarkStart w:id="913" w:name="Tc_n83FoRl_2kWvb7uEuQl3Zg_21_2"/>
      <w:bookmarkStart w:id="914" w:name="Tc_7S68w8V8o06zP8KuySG3rg_21_0"/>
      <w:bookmarkStart w:id="915" w:name="Tc_YGwwYtbCL06QUQhEd_TVkw_20_20"/>
      <w:bookmarkStart w:id="916" w:name="Tc_U35hCblVUE6WV5O-PuYfvg_20_18"/>
      <w:bookmarkStart w:id="917" w:name="Tc_Av6XbRu4kE-Tdh6ySUfXGA_20_14"/>
      <w:bookmarkStart w:id="918" w:name="Tc_-lRDeTNaaU-V5AbzD-q3uQ_20_10"/>
      <w:bookmarkStart w:id="919" w:name="Tc_HpyUTh8BY0S6RJDRzPEkJw_20_8"/>
      <w:bookmarkStart w:id="920" w:name="Tc_jctXR1oOVUqXh3-_9E8DLA_20_6"/>
      <w:bookmarkStart w:id="921" w:name="Tc_ZP9P94v91kKa-wi1UMa63A_20_4"/>
      <w:bookmarkStart w:id="922" w:name="Tc_nf5fPIZtJ0qv5JKWxijMfg_20_2"/>
      <w:bookmarkStart w:id="923" w:name="Tc_WteXq_Gsf0KMT1tuUrU2hA_20_0"/>
      <w:bookmarkStart w:id="924" w:name="Tc_jbrG6OeoLUacTKFi5gqp7w_19_16"/>
      <w:bookmarkStart w:id="925" w:name="Tc_UTqCFHVpC0CFrsZWp5sEyg_19_14"/>
      <w:bookmarkStart w:id="926" w:name="Tc_eKhRMWRY4UKyTCWobYbRUA_19_12"/>
      <w:bookmarkStart w:id="927" w:name="Tc_hYVNCal4oE6OQv4Tn7rEGg_19_10"/>
      <w:bookmarkStart w:id="928" w:name="Tc_tEDCQMTTbE2q45jqpoQfVA_19_8"/>
      <w:bookmarkStart w:id="929" w:name="Tc_rbSXkNbsiUix_5W6fDCkcQ_19_4"/>
      <w:bookmarkStart w:id="930" w:name="Tc_iHy_rSbnXk2KQ5YvJ5AAKg_19_2"/>
      <w:bookmarkStart w:id="931" w:name="Tc__bQ41G8jSEWG6_WyQUcYlg_19_0"/>
      <w:bookmarkStart w:id="932" w:name="Tc_bqVH07Wbb0Sq6zAeKZz0WQ_18_20"/>
      <w:bookmarkStart w:id="933" w:name="Tc_wKotgjrA1Eidh4bZ93jJLA_18_18"/>
      <w:bookmarkStart w:id="934" w:name="Tc_bq9MSWg40UKD6u2bMSuQfA_18_16"/>
      <w:bookmarkStart w:id="935" w:name="Tc_nskD4vD8-kC3HsrAYj3nAA_18_14"/>
      <w:bookmarkStart w:id="936" w:name="Tc_sKsYAdiKTEqlECOMZMGqfw_18_12"/>
      <w:bookmarkStart w:id="937" w:name="Tc_LezeDwcm7U-kkWL1rFY39A_18_0"/>
      <w:bookmarkStart w:id="938" w:name="Tc_ZdPZDx-Mjkm0VVFjjEfAPg_17_0"/>
      <w:bookmarkStart w:id="939" w:name="Tc_uqMke22SoUW4GYY-nmGEsQ_16_14"/>
      <w:bookmarkStart w:id="940" w:name="Tc_p7Ht7-HQ8UOHEg_L-Wxe3A_16_12"/>
      <w:bookmarkStart w:id="941" w:name="Tc_u1N2uZY_skm5ocLQQEKmzA_16_10"/>
      <w:bookmarkStart w:id="942" w:name="Tc_5Lsf0HGzFUGV7hcfdqflcA_16_8"/>
      <w:bookmarkStart w:id="943" w:name="Tc_07u5kELT-U2p7i1JhC8haQ_16_6"/>
      <w:bookmarkStart w:id="944" w:name="Tc_solDiHIj70O1vZxBqL401A_16_4"/>
      <w:bookmarkStart w:id="945" w:name="Tc_pzT18MKENEuoY0VuaRHIMQ_16_2"/>
      <w:bookmarkStart w:id="946" w:name="Tc_a5YaMPjP1k-67qgrOtKsIw_16_0"/>
      <w:bookmarkStart w:id="947" w:name="Tc_X3EDoe1iSUOCMTVWUB9GNw_15_16"/>
      <w:bookmarkStart w:id="948" w:name="Tc_w689I6rzA0mAoeM34jkzMA_15_12"/>
      <w:bookmarkStart w:id="949" w:name="Tc_Qb0grBwFpkiHyU1Frcr9Pw_15_10"/>
      <w:bookmarkStart w:id="950" w:name="Tc_BD9-oMMQf0uHGDQe6pbIGA_15_8"/>
      <w:bookmarkStart w:id="951" w:name="Tc_4TzzLJYivUmSg8VCMX7Meg_15_6"/>
      <w:bookmarkStart w:id="952" w:name="Tc_bLLHzSoGW0yrGXsISY9Xuw_15_4"/>
      <w:bookmarkStart w:id="953" w:name="Tc_AGaIV74JfUWYswGH0_OtKQ_15_2"/>
      <w:bookmarkStart w:id="954" w:name="Tc_mPoOBPeRfUOuSTsh1T0edg_15_0"/>
      <w:bookmarkStart w:id="955" w:name="Tc_z7tqOTLUIk6DqGIns3l2eg_14_16"/>
      <w:bookmarkStart w:id="956" w:name="Tc_UKSB4yXon0ahUk0CZdAMOw_14_14"/>
      <w:bookmarkStart w:id="957" w:name="Tc_hfTh-lXiC0yiIzILjfw3Zg_14_12"/>
      <w:bookmarkStart w:id="958" w:name="Tc_JQgNN02VgUO4yl_FY6KpKA_14_10"/>
      <w:bookmarkStart w:id="959" w:name="Tc_hj_712mOFUam_5audHjcwA_14_8"/>
      <w:bookmarkStart w:id="960" w:name="Tc__SHTVQq6DkylVG3joZBEPA_14_6"/>
      <w:bookmarkStart w:id="961" w:name="Tc_RpO8QwND606skl16L3yJwQ_14_4"/>
      <w:bookmarkStart w:id="962" w:name="Tc_DPqSdpbcLkWKAebBwxn3rw_14_2"/>
      <w:bookmarkStart w:id="963" w:name="Tc_YbjpR_IiSkSenIXjQqmdpQ_14_0"/>
      <w:bookmarkStart w:id="964" w:name="Tc_lbfbJmPlEkmN3utsjqPX3w_13_18"/>
      <w:bookmarkStart w:id="965" w:name="Tc_aKGXLW9f_E2wGTHqFY_ytg_13_14"/>
      <w:bookmarkStart w:id="966" w:name="Tc_SOBluJgz5UaeTbePts77ZA_13_12"/>
      <w:bookmarkStart w:id="967" w:name="Tc_cLVWnzq_YEGWAzDTnhFKOw_13_10"/>
      <w:bookmarkStart w:id="968" w:name="Tc_lw9a0ya9WkCDs3DA9G1jgQ_13_8"/>
      <w:bookmarkStart w:id="969" w:name="Tc__zMLbKU8kkahDddC0kA_EA_13_6"/>
      <w:bookmarkStart w:id="970" w:name="Tc_O-PaOhJlbk-3Q03K0113AQ_13_4"/>
      <w:bookmarkStart w:id="971" w:name="Tc_V91ncNkf4kWuwu3cpGEiQg_13_2"/>
      <w:bookmarkStart w:id="972" w:name="Tc_-wCyYyS2HkKWPTt7ni_pmQ_13_0"/>
      <w:bookmarkStart w:id="973" w:name="Tc_dlDvKB23aEuNlFI76mhBHg_12_16"/>
      <w:bookmarkStart w:id="974" w:name="Tc_XUfspI09SU6NAN6W1qs5KA_12_14"/>
      <w:bookmarkStart w:id="975" w:name="Tc_TXWOtA0__Uaeks6--_ZOKg_12_12"/>
      <w:bookmarkStart w:id="976" w:name="Tc_2bnDPwDakES10YM00SuCqQ_12_10"/>
      <w:bookmarkStart w:id="977" w:name="Tc_yGip5ybt3kyvnFlew8Dn5w_12_8"/>
      <w:bookmarkStart w:id="978" w:name="Tc_TcU7n_-LO0m9YzrmFl9OnQ_12_4"/>
      <w:bookmarkStart w:id="979" w:name="Tc_qSVVy6WFgk2ens8m8l6kUg_12_2"/>
      <w:bookmarkStart w:id="980" w:name="Tc_OBcn-RqtwUuAo4HfwwW7oQ_12_0"/>
      <w:bookmarkStart w:id="981" w:name="Tc_qpVupiUAQ0-H4pgqBW6IZw_11_16"/>
      <w:bookmarkStart w:id="982" w:name="Tc_IMcSwgW-4ESIvD3hN-ITvg_11_14"/>
      <w:bookmarkStart w:id="983" w:name="Tc_AjZFYrYoqka3Xg3FFemf-g_11_12"/>
      <w:bookmarkStart w:id="984" w:name="Tc_X4SyFOMryUy0umzKqnDVmQ_11_10"/>
      <w:bookmarkStart w:id="985" w:name="Tc_70u63CAn2EGLBygDIGVZkA_11_8"/>
      <w:bookmarkStart w:id="986" w:name="Tc_U0ZmapWt8UOlHUR-EWvPhQ_11_4"/>
      <w:bookmarkStart w:id="987" w:name="Tc_XEamITzUE0qHljFjPP2icQ_11_2"/>
      <w:bookmarkStart w:id="988" w:name="Tc_bwYUI_65n0GSJK3Zxosa8g_11_0"/>
      <w:bookmarkStart w:id="989" w:name="Tc_NrJouiyYBE-j-g2DtMxd1A_10_18"/>
      <w:bookmarkStart w:id="990" w:name="Tc_j6GF-Spg2kyupHEu-2lsEQ_10_16"/>
      <w:bookmarkStart w:id="991" w:name="Tc_jxDfeFqg40mCC4uFCt7ddQ_10_14"/>
      <w:bookmarkStart w:id="992" w:name="Tc_vdfk72QJm06ESuBhHuQd4Q_10_12"/>
      <w:bookmarkStart w:id="993" w:name="Tc_OweIpJRSgEOLKiVNTy1oyw_10_6"/>
      <w:bookmarkStart w:id="994" w:name="Tc_-j62-tCeEE20NnqXtos0EA_10_4"/>
      <w:bookmarkStart w:id="995" w:name="Tc_Ob7k8uK7WkievUqOzt0SXw_10_2"/>
      <w:bookmarkStart w:id="996" w:name="Tc_klnv39unZkSbbKET8bg7RQ_10_0"/>
      <w:bookmarkStart w:id="997" w:name="Tc_PXHsqEPEhE2OX5x-AyDdNA_9_14"/>
      <w:bookmarkStart w:id="998" w:name="Tc_DKJeaSZZgESji_HzmKsRzw_9_12"/>
      <w:bookmarkStart w:id="999" w:name="Tc_p8oyGh4xG0ah_uYOZxLlxA_9_10"/>
      <w:bookmarkStart w:id="1000" w:name="Tc_zkYvVpNbJkaaeKk6fJqb5A_9_8"/>
      <w:bookmarkStart w:id="1001" w:name="Tc_-WtYSvoCbkmCU9WH1Ir6iw_9_6"/>
      <w:bookmarkStart w:id="1002" w:name="Tc_FBkhLIx_0Eq090euaPq70g_9_4"/>
      <w:bookmarkStart w:id="1003" w:name="Tc_71WELI_7XU2g8hD3iBOxUw_9_2"/>
      <w:bookmarkStart w:id="1004" w:name="Tc_TEaspyicq0K4cmbnsa1Bgg_9_0"/>
      <w:bookmarkStart w:id="1005" w:name="Tc_A5TA5KxQZESNunwvJgtS-Q_8_20"/>
      <w:bookmarkStart w:id="1006" w:name="Tc_2DABbvWtA0izVY-OTpQ9Aw_8_18"/>
      <w:bookmarkStart w:id="1007" w:name="Tc_7kAjvYZYv0m-GGYlh3zW1w_8_14"/>
      <w:bookmarkStart w:id="1008" w:name="Tc_mmfxX2zV8U6LgM4zGUf9hA_8_10"/>
      <w:bookmarkStart w:id="1009" w:name="Tc_Elaos9mxRkqWPzZ6Exx2OA_8_8"/>
      <w:bookmarkStart w:id="1010" w:name="Tc_5Bk-djk6ZEaeMK76C-HfGg_8_6"/>
      <w:bookmarkStart w:id="1011" w:name="Tc_ydZ1dqMDHkiyZJ6NdtLPdg_8_4"/>
      <w:bookmarkStart w:id="1012" w:name="Tc_vu32TqYRxUukqoGUE_IJRg_8_2"/>
      <w:bookmarkStart w:id="1013" w:name="Tc_hOScRXifZ0GRQXWiZ0RYMw_8_0"/>
      <w:bookmarkStart w:id="1014" w:name="Tc_YnfMSlenX0Km0r6xnYTnvg_7_16"/>
      <w:bookmarkStart w:id="1015" w:name="Tc_yGSmN0E8Z0-n7yRrJBMf0g_7_14"/>
      <w:bookmarkStart w:id="1016" w:name="Tc_gQJj-faRzUO1s20npa0bBg_7_12"/>
      <w:bookmarkStart w:id="1017" w:name="Tc_SdP1o17F1UClWTtiT7_3Lg_7_10"/>
      <w:bookmarkStart w:id="1018" w:name="Tc_rCIC8UTEBkaOzYznZxQsFA_7_8"/>
      <w:bookmarkStart w:id="1019" w:name="Tc_bPqAJOVYPkGPxulJfvSaxw_7_4"/>
      <w:bookmarkStart w:id="1020" w:name="Tc_aV9r4EjUM0Gdxy79bCZQfw_7_2"/>
      <w:bookmarkStart w:id="1021" w:name="Tc_9Oug2sCMg0ecUy0ImIy1lg_7_0"/>
      <w:bookmarkStart w:id="1022" w:name="Tc_F3xzznwIxkCaZTKMSiEEIw_6_20"/>
      <w:bookmarkStart w:id="1023" w:name="Tc_Kq1Tv-3N-0iT3i0VXrCQrA_6_18"/>
      <w:bookmarkStart w:id="1024" w:name="Tc_UPAJn7l2606g4oYfqto8iw_6_16"/>
      <w:bookmarkStart w:id="1025" w:name="Tc_tv8DJzFIa0qvXN_UmWA53A_6_14"/>
      <w:bookmarkStart w:id="1026" w:name="Tc_D_qCqhw--kqJQBHBTTgNoQ_6_12"/>
      <w:bookmarkStart w:id="1027" w:name="Tc_n3NiFFLD106LNvC9i6hW4w_6_4"/>
      <w:bookmarkStart w:id="1028" w:name="Tc_RthtVEYo9UWJQKV0UsAjfg_6_2"/>
      <w:bookmarkStart w:id="1029" w:name="Tc_AIQdxqEwhUa97r-F0nHGgg_6_0"/>
      <w:bookmarkStart w:id="1030" w:name="Tc_jNWtop-xY0SQIu4RiLsBYg_5_0"/>
      <w:bookmarkStart w:id="1031" w:name="Tc_hkSQY5jcNkaCty0XxVqbnQ_4_20"/>
      <w:bookmarkStart w:id="1032" w:name="Tc_Sul1S6HxD0aL_Qm5p8wNzg_4_18"/>
      <w:bookmarkStart w:id="1033" w:name="Tc_3QzNQ5E_dE-Wz3XLnPfASw_4_16"/>
      <w:bookmarkStart w:id="1034" w:name="Tc_ZYEy4VZutU-i4FaGPVSzvA_4_14"/>
      <w:bookmarkStart w:id="1035" w:name="Tc_IWAlq3XtDkWBhuwPXC6p8g_4_12"/>
      <w:bookmarkStart w:id="1036" w:name="Tc_KMdv871Th0OYwGdfbL5fdg_4_10"/>
      <w:bookmarkStart w:id="1037" w:name="Tc_aW_gqY1gSUCz34TGLVKlrQ_4_6"/>
      <w:bookmarkStart w:id="1038" w:name="Tc_DyElig1PF0Gsky22cekM4w_4_4"/>
      <w:bookmarkStart w:id="1039" w:name="Tc_WcFNDuNGeUq7M-VVI_xChg_3_20"/>
      <w:bookmarkStart w:id="1040" w:name="Tc_Nnlwe5aqikGLP2GjBQ9pyQ_3_18"/>
      <w:bookmarkStart w:id="1041" w:name="Tc_oYlJYBtzKUecCRNHdbTemQ_3_16"/>
      <w:bookmarkStart w:id="1042" w:name="Tc_6DVuZWSkc0SFc9AMdqMneg_3_14"/>
      <w:bookmarkStart w:id="1043" w:name="Tc_9dnd2xenLk-3rlmHj-saag_3_12"/>
      <w:bookmarkStart w:id="1044" w:name="Tc_cNZOdXlGxkuHaR8DaSX5Jw_3_10"/>
      <w:bookmarkStart w:id="1045" w:name="Tc_fTYoOE6t7ECkTq_wI6V2hg_3_8"/>
      <w:bookmarkStart w:id="1046" w:name="Tc_JHmunCA0AUKCQZ77LeHidw_3_6"/>
      <w:bookmarkStart w:id="1047" w:name="Tc_cGt3NratmEuCJGL_FiNMIA_3_4"/>
      <w:bookmarkStart w:id="1048" w:name="Tc_Nxh5HoYklkWuzsFBBUqezg_3_2"/>
      <w:bookmarkStart w:id="1049" w:name="Tc_tH413BWP1ES69zWhxVtZ6g_2_20"/>
      <w:bookmarkStart w:id="1050" w:name="Tc_CbIg4K8oU0GaAaeQ80_ytg_2_18"/>
      <w:bookmarkStart w:id="1051" w:name="Tc_9V6dv2AFPkyji-L0H1aKSA_2_16"/>
      <w:bookmarkStart w:id="1052" w:name="Tc_QLuK8fT3GUaxLqr1rHGzrA_2_14"/>
      <w:bookmarkStart w:id="1053" w:name="Tc_1DwB9kxEpEq_V99Wc4bWnQ_2_12"/>
      <w:bookmarkStart w:id="1054" w:name="Tc_CxRSL5mpb0Wo7zNF0AeEzg_2_8"/>
      <w:bookmarkStart w:id="1055" w:name="Tc_F2c2Byi42U-sdWe2tiUUFA_2_6"/>
      <w:bookmarkStart w:id="1056" w:name="Tc_kXo9Q-9-c0W4nIPsUJBlqw_2_2"/>
      <w:bookmarkStart w:id="1057" w:name="Tc_M1VmlMpfAkG5vvtWWk08Dg_1_14"/>
      <w:bookmarkStart w:id="1058" w:name="_592736b0_6fbf_4c66_a210_18330dd04667"/>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p>
    <w:tbl>
      <w:tblPr>
        <w:tblW w:w="11746" w:type="dxa"/>
        <w:jc w:val="left"/>
        <w:tblInd w:w="0" w:type="dxa"/>
        <w:tblLayout w:type="fixed"/>
        <w:tblCellMar>
          <w:top w:w="0" w:type="dxa"/>
          <w:left w:w="0" w:type="dxa"/>
          <w:bottom w:w="0" w:type="dxa"/>
          <w:right w:w="0" w:type="dxa"/>
        </w:tblCellMar>
      </w:tblPr>
      <w:tblGrid>
        <w:gridCol w:w="1096"/>
        <w:gridCol w:w="326"/>
        <w:gridCol w:w="586"/>
        <w:gridCol w:w="326"/>
        <w:gridCol w:w="526"/>
        <w:gridCol w:w="326"/>
        <w:gridCol w:w="871"/>
        <w:gridCol w:w="326"/>
        <w:gridCol w:w="541"/>
        <w:gridCol w:w="326"/>
        <w:gridCol w:w="691"/>
        <w:gridCol w:w="326"/>
        <w:gridCol w:w="601"/>
        <w:gridCol w:w="326"/>
        <w:gridCol w:w="1201"/>
        <w:gridCol w:w="326"/>
        <w:gridCol w:w="706"/>
        <w:gridCol w:w="326"/>
        <w:gridCol w:w="871"/>
        <w:gridCol w:w="326"/>
        <w:gridCol w:w="796"/>
      </w:tblGrid>
      <w:tr>
        <w:trPr/>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95960" cy="175260"/>
                      <wp:effectExtent l="0" t="0" r="0" b="0"/>
                      <wp:wrapNone/>
                      <wp:docPr id="319" name="Frame318"/>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07010" cy="175260"/>
                      <wp:effectExtent l="0" t="0" r="0" b="0"/>
                      <wp:wrapNone/>
                      <wp:docPr id="320" name="Frame3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372110" cy="175260"/>
                      <wp:effectExtent l="0" t="0" r="0" b="0"/>
                      <wp:wrapNone/>
                      <wp:docPr id="321" name="Frame320"/>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07010" cy="175260"/>
                      <wp:effectExtent l="0" t="0" r="0" b="0"/>
                      <wp:wrapNone/>
                      <wp:docPr id="322" name="Frame3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334010" cy="175260"/>
                      <wp:effectExtent l="0" t="0" r="0" b="0"/>
                      <wp:wrapNone/>
                      <wp:docPr id="323" name="Frame322"/>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07010" cy="175260"/>
                      <wp:effectExtent l="0" t="0" r="0" b="0"/>
                      <wp:wrapNone/>
                      <wp:docPr id="324" name="Frame3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553085" cy="175260"/>
                      <wp:effectExtent l="0" t="0" r="0" b="0"/>
                      <wp:wrapNone/>
                      <wp:docPr id="325" name="Frame324"/>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07010" cy="175260"/>
                      <wp:effectExtent l="0" t="0" r="0" b="0"/>
                      <wp:wrapNone/>
                      <wp:docPr id="326" name="Frame3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343535" cy="175260"/>
                      <wp:effectExtent l="0" t="0" r="0" b="0"/>
                      <wp:wrapNone/>
                      <wp:docPr id="327" name="Frame326"/>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07010" cy="175260"/>
                      <wp:effectExtent l="0" t="0" r="0" b="0"/>
                      <wp:wrapNone/>
                      <wp:docPr id="328" name="Frame3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438785" cy="175260"/>
                      <wp:effectExtent l="0" t="0" r="0" b="0"/>
                      <wp:wrapNone/>
                      <wp:docPr id="329" name="Frame32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07010" cy="175260"/>
                      <wp:effectExtent l="0" t="0" r="0" b="0"/>
                      <wp:wrapNone/>
                      <wp:docPr id="330" name="Frame3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381635" cy="175260"/>
                      <wp:effectExtent l="0" t="0" r="0" b="0"/>
                      <wp:wrapNone/>
                      <wp:docPr id="331" name="Frame330"/>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07010" cy="175260"/>
                      <wp:effectExtent l="0" t="0" r="0" b="0"/>
                      <wp:wrapNone/>
                      <wp:docPr id="332" name="Frame3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762635" cy="175260"/>
                      <wp:effectExtent l="0" t="0" r="0" b="0"/>
                      <wp:wrapNone/>
                      <wp:docPr id="333" name="Frame332"/>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07010" cy="175260"/>
                      <wp:effectExtent l="0" t="0" r="0" b="0"/>
                      <wp:wrapNone/>
                      <wp:docPr id="334" name="Frame3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448310" cy="175260"/>
                      <wp:effectExtent l="0" t="0" r="0" b="0"/>
                      <wp:wrapNone/>
                      <wp:docPr id="335" name="Frame334"/>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07010" cy="175260"/>
                      <wp:effectExtent l="0" t="0" r="0" b="0"/>
                      <wp:wrapNone/>
                      <wp:docPr id="336" name="Frame3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553085" cy="175260"/>
                      <wp:effectExtent l="0" t="0" r="0" b="0"/>
                      <wp:wrapNone/>
                      <wp:docPr id="337" name="Frame336"/>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07010" cy="175260"/>
                      <wp:effectExtent l="0" t="0" r="0" b="0"/>
                      <wp:wrapNone/>
                      <wp:docPr id="338" name="Frame3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505460" cy="175260"/>
                      <wp:effectExtent l="0" t="0" r="0" b="0"/>
                      <wp:wrapNone/>
                      <wp:docPr id="339" name="Frame33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Accumulated</w:t>
            </w:r>
          </w:p>
        </w:tc>
        <w:tc>
          <w:tcPr>
            <w:tcW w:w="32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r>
      <w:tr>
        <w:trPr/>
        <w:tc>
          <w:tcPr>
            <w:tcW w:w="10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3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Ordinary shares</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Additional paid-</w:t>
            </w:r>
          </w:p>
        </w:tc>
        <w:tc>
          <w:tcPr>
            <w:tcW w:w="326" w:type="dxa"/>
            <w:tcBorders/>
            <w:vAlign w:val="center"/>
          </w:tcPr>
          <w:p>
            <w:pPr>
              <w:pStyle w:val="TableContents"/>
              <w:bidi w:val="0"/>
              <w:spacing w:before="0" w:after="0"/>
              <w:ind w:left="0" w:right="0" w:hanging="0"/>
              <w:jc w:val="left"/>
              <w:rPr/>
            </w:pPr>
            <w:r>
              <w:rPr/>
              <w:t>​</w:t>
            </w:r>
          </w:p>
        </w:tc>
        <w:tc>
          <w:tcPr>
            <w:tcW w:w="155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Treasury stock</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Statutory</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other comprehensive</w:t>
            </w:r>
          </w:p>
        </w:tc>
        <w:tc>
          <w:tcPr>
            <w:tcW w:w="32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Retained</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Noncontrolling</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 xml:space="preserve">Total </w:t>
            </w:r>
          </w:p>
        </w:tc>
      </w:tr>
      <w:tr>
        <w:trPr/>
        <w:tc>
          <w:tcPr>
            <w:tcW w:w="10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Share</w:t>
            </w:r>
          </w:p>
        </w:tc>
        <w:tc>
          <w:tcPr>
            <w:tcW w:w="326" w:type="dxa"/>
            <w:tcBorders/>
            <w:vAlign w:val="center"/>
          </w:tcPr>
          <w:p>
            <w:pPr>
              <w:pStyle w:val="TableContents"/>
              <w:bidi w:val="0"/>
              <w:spacing w:before="0" w:after="0"/>
              <w:ind w:left="0" w:right="0" w:hanging="0"/>
              <w:jc w:val="left"/>
              <w:rPr/>
            </w:pPr>
            <w:r>
              <w:rPr/>
              <w:t>    </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326" w:type="dxa"/>
            <w:tcBorders/>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2"/>
              </w:rPr>
              <w:t>in capital</w:t>
            </w:r>
          </w:p>
        </w:tc>
        <w:tc>
          <w:tcPr>
            <w:tcW w:w="326" w:type="dxa"/>
            <w:tcBorders/>
            <w:vAlign w:val="center"/>
          </w:tcPr>
          <w:p>
            <w:pPr>
              <w:pStyle w:val="TableContents"/>
              <w:bidi w:val="0"/>
              <w:spacing w:before="0" w:after="0"/>
              <w:ind w:left="0" w:right="0" w:hanging="0"/>
              <w:jc w:val="left"/>
              <w:rPr/>
            </w:pPr>
            <w:r>
              <w:rPr/>
              <w:t>    </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Share</w:t>
            </w:r>
          </w:p>
        </w:tc>
        <w:tc>
          <w:tcPr>
            <w:tcW w:w="32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326" w:type="dxa"/>
            <w:tcBorders/>
            <w:vAlign w:val="center"/>
          </w:tcPr>
          <w:p>
            <w:pPr>
              <w:pStyle w:val="TableContents"/>
              <w:bidi w:val="0"/>
              <w:spacing w:before="0" w:after="0"/>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reserves</w:t>
            </w:r>
          </w:p>
        </w:tc>
        <w:tc>
          <w:tcPr>
            <w:tcW w:w="326" w:type="dxa"/>
            <w:tcBorders/>
            <w:vAlign w:val="center"/>
          </w:tcPr>
          <w:p>
            <w:pPr>
              <w:pStyle w:val="TableContents"/>
              <w:bidi w:val="0"/>
              <w:spacing w:before="0" w:after="0"/>
              <w:ind w:left="0" w:right="0" w:hanging="0"/>
              <w:jc w:val="left"/>
              <w:rPr/>
            </w:pPr>
            <w:r>
              <w:rPr/>
              <w:t>    </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(loss)/ income</w:t>
            </w:r>
          </w:p>
        </w:tc>
        <w:tc>
          <w:tcPr>
            <w:tcW w:w="326" w:type="dxa"/>
            <w:tcBorders/>
            <w:vAlign w:val="center"/>
          </w:tcPr>
          <w:p>
            <w:pPr>
              <w:pStyle w:val="TableContents"/>
              <w:bidi w:val="0"/>
              <w:spacing w:before="0" w:after="0"/>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earnings</w:t>
            </w:r>
          </w:p>
        </w:tc>
        <w:tc>
          <w:tcPr>
            <w:tcW w:w="326" w:type="dxa"/>
            <w:tcBorders/>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interests</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equity</w:t>
            </w:r>
          </w:p>
        </w:tc>
      </w:tr>
      <w:tr>
        <w:trPr/>
        <w:tc>
          <w:tcPr>
            <w:tcW w:w="10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RMB</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RMB</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RMB</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RMB</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RMB</w:t>
            </w:r>
          </w:p>
        </w:tc>
        <w:tc>
          <w:tcPr>
            <w:tcW w:w="32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RMB</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RMB</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RMB</w:t>
            </w:r>
          </w:p>
        </w:tc>
      </w:tr>
      <w:tr>
        <w:trPr/>
        <w:tc>
          <w:tcPr>
            <w:tcW w:w="109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Balance as of December 31, 2020</w:t>
            </w:r>
          </w:p>
        </w:tc>
        <w:tc>
          <w:tcPr>
            <w:tcW w:w="32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3,446,311</w:t>
            </w:r>
          </w:p>
        </w:tc>
        <w:tc>
          <w:tcPr>
            <w:tcW w:w="3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2,794</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27,829,431</w:t>
            </w:r>
          </w:p>
        </w:tc>
        <w:tc>
          <w:tcPr>
            <w:tcW w:w="32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(96,976)</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(10,446,107)</w:t>
            </w:r>
          </w:p>
        </w:tc>
        <w:tc>
          <w:tcPr>
            <w:tcW w:w="3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1,228,448</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(650,457)</w:t>
            </w:r>
          </w:p>
        </w:tc>
        <w:tc>
          <w:tcPr>
            <w:tcW w:w="32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64,162,689</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871,006</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82,997,804</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Vesting of restricted share units</w:t>
            </w:r>
          </w:p>
        </w:tc>
        <w:tc>
          <w:tcPr>
            <w:tcW w:w="32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(2,714,220)</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25,335</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2,714,220</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r>
      <w:tr>
        <w:trPr/>
        <w:tc>
          <w:tcPr>
            <w:tcW w:w="109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Share-based compensation</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2,354,851</w:t>
            </w:r>
          </w:p>
        </w:tc>
        <w:tc>
          <w:tcPr>
            <w:tcW w:w="32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601,183</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2,956,034</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Appropriation to statutory reserves</w:t>
            </w:r>
          </w:p>
        </w:tc>
        <w:tc>
          <w:tcPr>
            <w:tcW w:w="32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16,677</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(16,677)</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r>
      <w:tr>
        <w:trPr/>
        <w:tc>
          <w:tcPr>
            <w:tcW w:w="109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Net income/(loss) attributable to the Company, noncontrolling and redeemable noncontrolling interest shareholders</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17,393,823</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(389,857)</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17,003,966</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Repurchase of shares</w:t>
            </w:r>
          </w:p>
        </w:tc>
        <w:tc>
          <w:tcPr>
            <w:tcW w:w="32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(100,835)</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(12,770,301)</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(12,770,301)</w:t>
            </w:r>
          </w:p>
        </w:tc>
      </w:tr>
      <w:tr>
        <w:trPr/>
        <w:tc>
          <w:tcPr>
            <w:tcW w:w="109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Net change of capital from noncontrolling interest shareholders</w:t>
            </w:r>
          </w:p>
        </w:tc>
        <w:tc>
          <w:tcPr>
            <w:tcW w:w="32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1,640,728</w:t>
            </w:r>
          </w:p>
        </w:tc>
        <w:tc>
          <w:tcPr>
            <w:tcW w:w="32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1,143,753</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2,784,481</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Conversion of Cloud Music’s preferred shares recognized as redeemable noncontrolling interests to ordinary shares</w:t>
            </w:r>
          </w:p>
        </w:tc>
        <w:tc>
          <w:tcPr>
            <w:tcW w:w="32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8,805,149</w:t>
            </w:r>
          </w:p>
        </w:tc>
        <w:tc>
          <w:tcPr>
            <w:tcW w:w="32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2,473,352</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11,278,501</w:t>
            </w:r>
          </w:p>
        </w:tc>
      </w:tr>
      <w:tr>
        <w:trPr/>
        <w:tc>
          <w:tcPr>
            <w:tcW w:w="109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Dividends to shareholders</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(3,508,379)</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(3,508,379)</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Dividends to noncontrolling interest shareholders</w:t>
            </w:r>
          </w:p>
        </w:tc>
        <w:tc>
          <w:tcPr>
            <w:tcW w:w="32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(731,250)</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(731,250)</w:t>
            </w:r>
          </w:p>
        </w:tc>
      </w:tr>
      <w:tr>
        <w:trPr/>
        <w:tc>
          <w:tcPr>
            <w:tcW w:w="109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Foreign currency translation adjustment</w:t>
            </w:r>
          </w:p>
        </w:tc>
        <w:tc>
          <w:tcPr>
            <w:tcW w:w="32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(177,608)</w:t>
            </w:r>
          </w:p>
        </w:tc>
        <w:tc>
          <w:tcPr>
            <w:tcW w:w="32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(5,582)</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(183,190)</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Accretion of redeemable noncontrolling interests</w:t>
            </w:r>
          </w:p>
        </w:tc>
        <w:tc>
          <w:tcPr>
            <w:tcW w:w="326" w:type="dxa"/>
            <w:tcBorders/>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(536,981)</w:t>
            </w:r>
          </w:p>
        </w:tc>
        <w:tc>
          <w:tcPr>
            <w:tcW w:w="326"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(12,047)</w:t>
            </w:r>
          </w:p>
        </w:tc>
        <w:tc>
          <w:tcPr>
            <w:tcW w:w="326"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(549,028)</w:t>
            </w:r>
          </w:p>
        </w:tc>
      </w:tr>
      <w:tr>
        <w:trPr/>
        <w:tc>
          <w:tcPr>
            <w:tcW w:w="109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Balance as of December 31, 2021</w:t>
            </w:r>
          </w:p>
        </w:tc>
        <w:tc>
          <w:tcPr>
            <w:tcW w:w="326" w:type="dxa"/>
            <w:tcBorders/>
            <w:shd w:fill="CCEEFF" w:val="cle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3,446,311</w:t>
            </w:r>
          </w:p>
        </w:tc>
        <w:tc>
          <w:tcPr>
            <w:tcW w:w="326" w:type="dxa"/>
            <w:tcBorders/>
            <w:shd w:fill="CCEEFF" w:val="clear"/>
            <w:vAlign w:val="center"/>
          </w:tcPr>
          <w:p>
            <w:pPr>
              <w:pStyle w:val="TableContents"/>
              <w:bidi w:val="0"/>
              <w:spacing w:before="0" w:after="0"/>
              <w:ind w:left="0" w:right="0" w:hanging="0"/>
              <w:jc w:val="left"/>
              <w:rPr/>
            </w:pPr>
            <w:r>
              <w:rPr/>
              <w:t>​</w:t>
            </w:r>
          </w:p>
        </w:tc>
        <w:tc>
          <w:tcPr>
            <w:tcW w:w="5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2,794</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37,915,939</w:t>
            </w:r>
          </w:p>
        </w:tc>
        <w:tc>
          <w:tcPr>
            <w:tcW w:w="326" w:type="dxa"/>
            <w:tcBorders/>
            <w:shd w:fill="CCEEFF" w:val="clear"/>
            <w:vAlign w:val="center"/>
          </w:tcPr>
          <w:p>
            <w:pPr>
              <w:pStyle w:val="TableContents"/>
              <w:bidi w:val="0"/>
              <w:spacing w:before="0" w:after="0"/>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(172,476)</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(20,502,188)</w:t>
            </w:r>
          </w:p>
        </w:tc>
        <w:tc>
          <w:tcPr>
            <w:tcW w:w="326" w:type="dxa"/>
            <w:tcBorders/>
            <w:shd w:fill="CCEEFF" w:val="cle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1,245,125</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(828,065)</w:t>
            </w:r>
          </w:p>
        </w:tc>
        <w:tc>
          <w:tcPr>
            <w:tcW w:w="326" w:type="dxa"/>
            <w:tcBorders/>
            <w:shd w:fill="CCEEFF" w:val="clear"/>
            <w:vAlign w:val="center"/>
          </w:tcPr>
          <w:p>
            <w:pPr>
              <w:pStyle w:val="TableContents"/>
              <w:bidi w:val="0"/>
              <w:spacing w:before="0" w:after="0"/>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77,494,475</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3,950,558</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99,278,638</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Vesting of restricted share units</w:t>
            </w:r>
          </w:p>
        </w:tc>
        <w:tc>
          <w:tcPr>
            <w:tcW w:w="32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518</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0</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(2,569,917)</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22,632</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2,569,917</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r>
      <w:tr>
        <w:trPr/>
        <w:tc>
          <w:tcPr>
            <w:tcW w:w="109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Share-based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2,763,611</w:t>
            </w:r>
          </w:p>
        </w:tc>
        <w:tc>
          <w:tcPr>
            <w:tcW w:w="32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277,999</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3,041,610</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Appropriation to statutory reserves</w:t>
            </w:r>
          </w:p>
        </w:tc>
        <w:tc>
          <w:tcPr>
            <w:tcW w:w="32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33,541</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(33,541)</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r>
      <w:tr>
        <w:trPr/>
        <w:tc>
          <w:tcPr>
            <w:tcW w:w="109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Net income/(loss) attributable to the Company, noncontrolling and redeemable noncontrolling interest shareholders</w:t>
            </w:r>
          </w:p>
        </w:tc>
        <w:tc>
          <w:tcPr>
            <w:tcW w:w="32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20,340,578</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(483,268)</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19,857,310</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Repurchase of shares</w:t>
            </w:r>
          </w:p>
        </w:tc>
        <w:tc>
          <w:tcPr>
            <w:tcW w:w="32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(73,361)</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(8,006,226)</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(8,006,226)</w:t>
            </w:r>
          </w:p>
        </w:tc>
      </w:tr>
      <w:tr>
        <w:trPr/>
        <w:tc>
          <w:tcPr>
            <w:tcW w:w="109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Cancellation of repurchased shares</w:t>
            </w:r>
          </w:p>
        </w:tc>
        <w:tc>
          <w:tcPr>
            <w:tcW w:w="32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(125,553)</w:t>
            </w:r>
          </w:p>
        </w:tc>
        <w:tc>
          <w:tcPr>
            <w:tcW w:w="3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(84)</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(15,027,659)</w:t>
            </w:r>
          </w:p>
        </w:tc>
        <w:tc>
          <w:tcPr>
            <w:tcW w:w="32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125,553</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15,027,743</w:t>
            </w:r>
          </w:p>
        </w:tc>
        <w:tc>
          <w:tcPr>
            <w:tcW w:w="3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Net change of capital from noncontrolling interest shareholders</w:t>
            </w:r>
          </w:p>
        </w:tc>
        <w:tc>
          <w:tcPr>
            <w:tcW w:w="32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(227,740)</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81,115</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(146,625)</w:t>
            </w:r>
          </w:p>
        </w:tc>
      </w:tr>
      <w:tr>
        <w:trPr/>
        <w:tc>
          <w:tcPr>
            <w:tcW w:w="109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Dividends to shareholders</w:t>
            </w:r>
          </w:p>
        </w:tc>
        <w:tc>
          <w:tcPr>
            <w:tcW w:w="32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(6,723,859)</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(6,723,859)</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Foreign currency translation adjustment</w:t>
            </w:r>
          </w:p>
        </w:tc>
        <w:tc>
          <w:tcPr>
            <w:tcW w:w="32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1,259,851</w:t>
            </w:r>
          </w:p>
        </w:tc>
        <w:tc>
          <w:tcPr>
            <w:tcW w:w="32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181,563</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1,441,414</w:t>
            </w:r>
          </w:p>
        </w:tc>
      </w:tr>
      <w:tr>
        <w:trPr/>
        <w:tc>
          <w:tcPr>
            <w:tcW w:w="109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Accretion of redeemable noncontrolling interests</w:t>
            </w:r>
          </w:p>
        </w:tc>
        <w:tc>
          <w:tcPr>
            <w:tcW w:w="326" w:type="dxa"/>
            <w:tcBorders/>
            <w:shd w:fill="CCEEFF" w:val="cle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(2,978)</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(2,244)</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(5,222)</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Balance as of December 31, 2022</w:t>
            </w:r>
          </w:p>
        </w:tc>
        <w:tc>
          <w:tcPr>
            <w:tcW w:w="326" w:type="dxa"/>
            <w:tcBorders/>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3,321,276</w:t>
            </w:r>
          </w:p>
        </w:tc>
        <w:tc>
          <w:tcPr>
            <w:tcW w:w="326" w:type="dxa"/>
            <w:tcBorders/>
            <w:vAlign w:val="center"/>
          </w:tcPr>
          <w:p>
            <w:pPr>
              <w:pStyle w:val="TableContents"/>
              <w:bidi w:val="0"/>
              <w:spacing w:before="0" w:after="0"/>
              <w:ind w:left="0" w:right="0" w:hanging="0"/>
              <w:jc w:val="left"/>
              <w:rPr/>
            </w:pPr>
            <w:r>
              <w:rPr/>
              <w:t>​</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2,710</w:t>
            </w:r>
          </w:p>
        </w:tc>
        <w:tc>
          <w:tcPr>
            <w:tcW w:w="326"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22,854,234</w:t>
            </w:r>
          </w:p>
        </w:tc>
        <w:tc>
          <w:tcPr>
            <w:tcW w:w="326" w:type="dxa"/>
            <w:tcBorders/>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(97,652)</w:t>
            </w:r>
          </w:p>
        </w:tc>
        <w:tc>
          <w:tcPr>
            <w:tcW w:w="326"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(10,910,754)</w:t>
            </w:r>
          </w:p>
        </w:tc>
        <w:tc>
          <w:tcPr>
            <w:tcW w:w="326" w:type="dxa"/>
            <w:tcBorders/>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1,278,666</w:t>
            </w:r>
          </w:p>
        </w:tc>
        <w:tc>
          <w:tcPr>
            <w:tcW w:w="326" w:type="dxa"/>
            <w:tcBorders/>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431,786</w:t>
            </w:r>
          </w:p>
        </w:tc>
        <w:tc>
          <w:tcPr>
            <w:tcW w:w="326" w:type="dxa"/>
            <w:tcBorders/>
            <w:vAlign w:val="center"/>
          </w:tcPr>
          <w:p>
            <w:pPr>
              <w:pStyle w:val="TableContents"/>
              <w:bidi w:val="0"/>
              <w:spacing w:before="0" w:after="0"/>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91,074,675</w:t>
            </w:r>
          </w:p>
        </w:tc>
        <w:tc>
          <w:tcPr>
            <w:tcW w:w="326"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4,005,723</w:t>
            </w:r>
          </w:p>
        </w:tc>
        <w:tc>
          <w:tcPr>
            <w:tcW w:w="326"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108,737,040</w:t>
            </w:r>
          </w:p>
        </w:tc>
      </w:tr>
      <w:tr>
        <w:trPr/>
        <w:tc>
          <w:tcPr>
            <w:tcW w:w="109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Vesting of restricted share units</w:t>
            </w:r>
          </w:p>
        </w:tc>
        <w:tc>
          <w:tcPr>
            <w:tcW w:w="32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(3,007,404)</w:t>
            </w:r>
          </w:p>
        </w:tc>
        <w:tc>
          <w:tcPr>
            <w:tcW w:w="32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25,951</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3,007,404</w:t>
            </w:r>
          </w:p>
        </w:tc>
        <w:tc>
          <w:tcPr>
            <w:tcW w:w="3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Share-based compensation</w:t>
            </w:r>
          </w:p>
        </w:tc>
        <w:tc>
          <w:tcPr>
            <w:tcW w:w="32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2,913,644</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149,757</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3,063,401</w:t>
            </w:r>
          </w:p>
        </w:tc>
      </w:tr>
      <w:tr>
        <w:trPr/>
        <w:tc>
          <w:tcPr>
            <w:tcW w:w="109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Appropriation to statutory reserves</w:t>
            </w:r>
          </w:p>
        </w:tc>
        <w:tc>
          <w:tcPr>
            <w:tcW w:w="32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262,750</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(262,750)</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Net income/ (loss) attributable to the Company, noncontrolling and redeemable noncontrolling interest shareholders</w:t>
            </w:r>
          </w:p>
        </w:tc>
        <w:tc>
          <w:tcPr>
            <w:tcW w:w="32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29,420,141</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(66,677)</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29,353,464</w:t>
            </w:r>
          </w:p>
        </w:tc>
      </w:tr>
      <w:tr>
        <w:trPr/>
        <w:tc>
          <w:tcPr>
            <w:tcW w:w="109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Repurchase of shares</w:t>
            </w:r>
          </w:p>
        </w:tc>
        <w:tc>
          <w:tcPr>
            <w:tcW w:w="32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(38,792)</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(4,791,014)</w:t>
            </w:r>
          </w:p>
        </w:tc>
        <w:tc>
          <w:tcPr>
            <w:tcW w:w="3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(4,791,014)</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Net change of capital from noncontrolling interest shareholders</w:t>
            </w:r>
          </w:p>
        </w:tc>
        <w:tc>
          <w:tcPr>
            <w:tcW w:w="32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(155,823)</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(471,164)</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(626,987)</w:t>
            </w:r>
          </w:p>
        </w:tc>
      </w:tr>
      <w:tr>
        <w:trPr/>
        <w:tc>
          <w:tcPr>
            <w:tcW w:w="109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Reclassification from mezzanine equity to noncontrolling interest shareholders</w:t>
            </w:r>
          </w:p>
        </w:tc>
        <w:tc>
          <w:tcPr>
            <w:tcW w:w="32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30,369</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30,369</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Dividends to shareholders</w:t>
            </w:r>
          </w:p>
        </w:tc>
        <w:tc>
          <w:tcPr>
            <w:tcW w:w="32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(8,013,894)</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(8,013,894)</w:t>
            </w:r>
          </w:p>
        </w:tc>
      </w:tr>
      <w:tr>
        <w:trPr/>
        <w:tc>
          <w:tcPr>
            <w:tcW w:w="109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Foreign currency translation adjustment</w:t>
            </w:r>
          </w:p>
        </w:tc>
        <w:tc>
          <w:tcPr>
            <w:tcW w:w="32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184,994</w:t>
            </w:r>
          </w:p>
        </w:tc>
        <w:tc>
          <w:tcPr>
            <w:tcW w:w="32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36,878</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221,872</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Accretion of redeemable noncontrolling interests</w:t>
            </w:r>
          </w:p>
        </w:tc>
        <w:tc>
          <w:tcPr>
            <w:tcW w:w="326" w:type="dxa"/>
            <w:tcBorders/>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(3,589)</w:t>
            </w:r>
          </w:p>
        </w:tc>
        <w:tc>
          <w:tcPr>
            <w:tcW w:w="326"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(2,340)</w:t>
            </w:r>
          </w:p>
        </w:tc>
        <w:tc>
          <w:tcPr>
            <w:tcW w:w="326"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(5,929)</w:t>
            </w:r>
          </w:p>
        </w:tc>
      </w:tr>
      <w:tr>
        <w:trPr/>
        <w:tc>
          <w:tcPr>
            <w:tcW w:w="109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Balance as of December 31, 2023</w:t>
            </w:r>
          </w:p>
        </w:tc>
        <w:tc>
          <w:tcPr>
            <w:tcW w:w="326" w:type="dxa"/>
            <w:tcBorders/>
            <w:shd w:fill="CCEEFF" w:val="clear"/>
            <w:vAlign w:val="center"/>
          </w:tcPr>
          <w:p>
            <w:pPr>
              <w:pStyle w:val="TableContents"/>
              <w:bidi w:val="0"/>
              <w:spacing w:before="0" w:after="0"/>
              <w:ind w:left="0" w:right="0" w:hanging="0"/>
              <w:jc w:val="left"/>
              <w:rPr/>
            </w:pPr>
            <w:r>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3,321,276</w:t>
            </w:r>
          </w:p>
        </w:tc>
        <w:tc>
          <w:tcPr>
            <w:tcW w:w="326" w:type="dxa"/>
            <w:tcBorders/>
            <w:shd w:fill="CCEEFF" w:val="clear"/>
            <w:vAlign w:val="center"/>
          </w:tcPr>
          <w:p>
            <w:pPr>
              <w:pStyle w:val="TableContents"/>
              <w:bidi w:val="0"/>
              <w:spacing w:before="0" w:after="0"/>
              <w:ind w:left="0" w:right="0" w:hanging="0"/>
              <w:jc w:val="left"/>
              <w:rPr/>
            </w:pPr>
            <w:r>
              <w:rPr/>
              <w:t>​</w:t>
            </w:r>
          </w:p>
        </w:tc>
        <w:tc>
          <w:tcPr>
            <w:tcW w:w="5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2,710</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22,604,651</w:t>
            </w:r>
          </w:p>
        </w:tc>
        <w:tc>
          <w:tcPr>
            <w:tcW w:w="326" w:type="dxa"/>
            <w:tcBorders/>
            <w:shd w:fill="CCEEFF" w:val="clear"/>
            <w:vAlign w:val="center"/>
          </w:tcPr>
          <w:p>
            <w:pPr>
              <w:pStyle w:val="TableContents"/>
              <w:bidi w:val="0"/>
              <w:spacing w:before="0" w:after="0"/>
              <w:ind w:left="0" w:right="0" w:hanging="0"/>
              <w:jc w:val="left"/>
              <w:rPr/>
            </w:pPr>
            <w:r>
              <w:rPr/>
              <w:t>​</w:t>
            </w:r>
          </w:p>
        </w:tc>
        <w:tc>
          <w:tcPr>
            <w:tcW w:w="5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(110,493)</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(12,694,364)</w:t>
            </w:r>
          </w:p>
        </w:tc>
        <w:tc>
          <w:tcPr>
            <w:tcW w:w="326" w:type="dxa"/>
            <w:tcBorders/>
            <w:shd w:fill="CCEEFF" w:val="clear"/>
            <w:vAlign w:val="center"/>
          </w:tcPr>
          <w:p>
            <w:pPr>
              <w:pStyle w:val="TableContents"/>
              <w:bidi w:val="0"/>
              <w:spacing w:before="0" w:after="0"/>
              <w:ind w:left="0" w:right="0" w:hanging="0"/>
              <w:jc w:val="left"/>
              <w:rPr/>
            </w:pPr>
            <w:r>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1,541,416</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616,780</w:t>
            </w:r>
          </w:p>
        </w:tc>
        <w:tc>
          <w:tcPr>
            <w:tcW w:w="326" w:type="dxa"/>
            <w:tcBorders/>
            <w:shd w:fill="CCEEFF" w:val="clear"/>
            <w:vAlign w:val="center"/>
          </w:tcPr>
          <w:p>
            <w:pPr>
              <w:pStyle w:val="TableContents"/>
              <w:bidi w:val="0"/>
              <w:spacing w:before="0" w:after="0"/>
              <w:ind w:left="0" w:right="0" w:hanging="0"/>
              <w:jc w:val="left"/>
              <w:rPr/>
            </w:pPr>
            <w:r>
              <w:rPr/>
              <w:t>​</w:t>
            </w:r>
          </w:p>
        </w:tc>
        <w:tc>
          <w:tcPr>
            <w:tcW w:w="7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112,214,583</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3,682,546</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45" w:hanging="0"/>
              <w:jc w:val="right"/>
              <w:rPr>
                <w:rFonts w:ascii="Times New Roman;Times;serif" w:hAnsi="Times New Roman;Times;serif"/>
                <w:sz w:val="12"/>
              </w:rPr>
            </w:pPr>
            <w:r>
              <w:rPr>
                <w:rFonts w:ascii="Times New Roman;Times;serif" w:hAnsi="Times New Roman;Times;serif"/>
                <w:sz w:val="12"/>
              </w:rPr>
              <w:t>127,968,322</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18"/>
        </w:rPr>
      </w:pPr>
      <w:bookmarkStart w:id="1059" w:name="_06ae4c2e_9a04_4af4_8fcf_ea301ee010e3"/>
      <w:bookmarkEnd w:id="1059"/>
      <w:r>
        <w:rPr>
          <w:rFonts w:ascii="Times New Roman;Times;serif" w:hAnsi="Times New Roman;Times;serif"/>
          <w:b/>
          <w:sz w:val="18"/>
        </w:rPr>
        <w:t>NetEase, Inc.</w:t>
      </w:r>
    </w:p>
    <w:p>
      <w:pPr>
        <w:pStyle w:val="TextBody"/>
        <w:bidi w:val="0"/>
        <w:spacing w:before="0" w:after="0"/>
        <w:ind w:left="0" w:right="0" w:hanging="0"/>
        <w:jc w:val="both"/>
        <w:rPr>
          <w:rFonts w:ascii="Times New Roman;Times;serif" w:hAnsi="Times New Roman;Times;serif"/>
          <w:b/>
          <w:sz w:val="18"/>
        </w:rPr>
      </w:pPr>
      <w:bookmarkStart w:id="1060" w:name="CashFlows_216956"/>
      <w:bookmarkEnd w:id="1060"/>
      <w:r>
        <w:rPr>
          <w:rFonts w:ascii="Times New Roman;Times;serif" w:hAnsi="Times New Roman;Times;serif"/>
          <w:b/>
          <w:sz w:val="18"/>
        </w:rPr>
        <w:t>Consolidated Statements of Cash Flows</w:t>
      </w:r>
    </w:p>
    <w:p>
      <w:pPr>
        <w:pStyle w:val="TextBody"/>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(in thousands)</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1061" w:name="Tc_gIpv6NihB0Spz4TwFOxq0A_66_0"/>
      <w:bookmarkStart w:id="1062" w:name="Tc_Or8xdbxQm0KCZ-WyDMhEyQ_65_0"/>
      <w:bookmarkStart w:id="1063" w:name="Tc_iOwhG4OHQ0iiY5cxx9HAYQ_64_0"/>
      <w:bookmarkStart w:id="1064" w:name="Tc_RRa_DsNPIEqhVvMQA9n2lw_63_0"/>
      <w:bookmarkStart w:id="1065" w:name="Tc_c9qsXg_KzUGC9cAifh_LtQ_62_0"/>
      <w:bookmarkStart w:id="1066" w:name="Tc_Nr5k7ChBTUmLJDt-JUNBHA_61_0"/>
      <w:bookmarkStart w:id="1067" w:name="Tc_UUrg5P4P7Uu04e-MeoO53A_60_0"/>
      <w:bookmarkStart w:id="1068" w:name="Tc_Wxt5BVjV_UiAkxi5-L6D_A_59_0"/>
      <w:bookmarkStart w:id="1069" w:name="Tc_2AA-Vmyvw0qm_kf9_gCMYA_57_0"/>
      <w:bookmarkStart w:id="1070" w:name="Tc_JoLdRDPHb0qG78-QW4VHwQ_55_0"/>
      <w:bookmarkStart w:id="1071" w:name="Tc_T6cmd9yOw0-RkFz9wf7f4w_54_0"/>
      <w:bookmarkStart w:id="1072" w:name="Tc_dLZiCL3Gfkuk2ezMBkIiQA_53_8"/>
      <w:bookmarkStart w:id="1073" w:name="Tc_LYz3N1eZuE-92J2SeV2gdA_53_6"/>
      <w:bookmarkStart w:id="1074" w:name="Tc_a-Je-4mAFUKleo3yc3_cuA_53_4"/>
      <w:bookmarkStart w:id="1075" w:name="Tc_J0hGHMB7EUSZV-PCbyBsBg_53_0"/>
      <w:bookmarkStart w:id="1076" w:name="Tc_Jt-xIyf9rUGQvpxv9siijw_52_0"/>
      <w:bookmarkStart w:id="1077" w:name="Tc_NSWM8S4omEiE_YgQjBpHSQ_51_8"/>
      <w:bookmarkStart w:id="1078" w:name="Tc_jkVH-ApHAkCxxT1lJ8o5Aw_51_6"/>
      <w:bookmarkStart w:id="1079" w:name="Tc_r-dUWK4GvUu1tb9daiIJ1w_51_4"/>
      <w:bookmarkStart w:id="1080" w:name="Tc_G29N81RMNUau12Dzn-2_-A_51_0"/>
      <w:bookmarkStart w:id="1081" w:name="Tc_uYJnLaxPGkadNUpK7p1yOQ_50_0"/>
      <w:bookmarkStart w:id="1082" w:name="Tc_h2ZCVQ1-zE6WsNpeLohBfg_49_0"/>
      <w:bookmarkStart w:id="1083" w:name="Tc_aCfuj96tOk6398IHWcsXQQ_48_0"/>
      <w:bookmarkStart w:id="1084" w:name="Tc_dgHk0s0dTEekaNf2RcP_hg_47_0"/>
      <w:bookmarkStart w:id="1085" w:name="Tc_58ozpZT-rEGtd30EeDb5xw_46_0"/>
      <w:bookmarkStart w:id="1086" w:name="Tc_l1UhaY3EE0qbKsRh3nPPxw_44_0"/>
      <w:bookmarkStart w:id="1087" w:name="Tc_eNd60bQVckqC4641R-ee0Q_43_0"/>
      <w:bookmarkStart w:id="1088" w:name="Tc_Qg0e2B5Q90iNKaMnD61o5A_42_0"/>
      <w:bookmarkStart w:id="1089" w:name="Tc_Vvc1FZgtFEaPFqCS2A6cEw_41_0"/>
      <w:bookmarkStart w:id="1090" w:name="Tc_UHVjIzj_20y8IiUSkXkUTw_40_0"/>
      <w:bookmarkStart w:id="1091" w:name="Tc_9878iBSkd0uo5kqVkN1qqA_39_0"/>
      <w:bookmarkStart w:id="1092" w:name="Tc_e5kEWUu5nUm9AUJjacik4Q_38_0"/>
      <w:bookmarkStart w:id="1093" w:name="Tc_UgSnTbtjn0mRefqTzF-11g_37_0"/>
      <w:bookmarkStart w:id="1094" w:name="Tc_OOy1mID1WUqO_ZdzacuwwA_36_8"/>
      <w:bookmarkStart w:id="1095" w:name="Tc_reZhYSkITEyJoOm6uG7egg_36_6"/>
      <w:bookmarkStart w:id="1096" w:name="Tc_DqysvUb5mUSqsloA0X3rmA_36_0"/>
      <w:bookmarkStart w:id="1097" w:name="Tc_CXEoClNuH0W49zk0EjTCnA_35_0"/>
      <w:bookmarkStart w:id="1098" w:name="Tc_JG9X5HbhD0CDIIOLMTTz-Q_34_0"/>
      <w:bookmarkStart w:id="1099" w:name="Tc_SPKIqZRtwkSMUlINFmDD8Q_33_0"/>
      <w:bookmarkStart w:id="1100" w:name="Tc_5cm1HMR4FUCHLltt6s7EaA_32_0"/>
      <w:bookmarkStart w:id="1101" w:name="Tc_ua6RpEGp_0Oj7wjOBWm8SA_31_0"/>
      <w:bookmarkStart w:id="1102" w:name="Tc_HKvfh321aEuBIEk2E-o24A_29_0"/>
      <w:bookmarkStart w:id="1103" w:name="Tc_q4ZlrBfeDEe6WguWM8f6vQ_28_0"/>
      <w:bookmarkStart w:id="1104" w:name="Tc_pcmDhBHs3kSuQoZCC0pcvA_27_0"/>
      <w:bookmarkStart w:id="1105" w:name="Tc_vzIQk5M6F0mEMEmqi8F2Yw_26_0"/>
      <w:bookmarkStart w:id="1106" w:name="Tc_SMDzXeUrk0eEsfRWYz8E0g_25_0"/>
      <w:bookmarkStart w:id="1107" w:name="Tc_BuuPwaPsF066wmSsS6v4XQ_24_0"/>
      <w:bookmarkStart w:id="1108" w:name="Tc_eLKvaH1pf0azg_UIrm4zlQ_23_0"/>
      <w:bookmarkStart w:id="1109" w:name="Tc_UX4W3xO8s0a9yFigWlTJow_22_0"/>
      <w:bookmarkStart w:id="1110" w:name="Tc_859nvJGRrUO3JxSMCgdlOg_21_0"/>
      <w:bookmarkStart w:id="1111" w:name="Tc_YinT4AmLFE-_RFrQBIfZNg_20_0"/>
      <w:bookmarkStart w:id="1112" w:name="Tc_vxIRuFNak0eH7phAOWJEcA_19_0"/>
      <w:bookmarkStart w:id="1113" w:name="Tc_5hX9kxS8F0WLK9UPx9ZPOQ_18_0"/>
      <w:bookmarkStart w:id="1114" w:name="Tc_ZZ5bTGlT5Eyzz74oy3dyUA_17_0"/>
      <w:bookmarkStart w:id="1115" w:name="Tc_iXRdI5JpD0yCaWXMqPBcfA_16_0"/>
      <w:bookmarkStart w:id="1116" w:name="Tc__LXGl1X9D0y_Be4wpisrgA_15_0"/>
      <w:bookmarkStart w:id="1117" w:name="Tc_FinTJ6yLe0W5WdJReWIElw_14_0"/>
      <w:bookmarkStart w:id="1118" w:name="Tc_L9x2nfbUaUGYGkMPgWHXrQ_13_0"/>
      <w:bookmarkStart w:id="1119" w:name="Tc_Egvp7aGFqkWMSfYSsPForA_12_0"/>
      <w:bookmarkStart w:id="1120" w:name="Tc_pCDuAKDwn0Csup9xGSLvlA_11_0"/>
      <w:bookmarkStart w:id="1121" w:name="Tc_Mm5RigmO9Eq19t0pjrfb_w_10_0"/>
      <w:bookmarkStart w:id="1122" w:name="Tc_K-Mdr5d1z0yPTpKraGSC5Q_9_0"/>
      <w:bookmarkStart w:id="1123" w:name="Tc_Kz0kvTr8FUazz2IATM47_Q_8_0"/>
      <w:bookmarkStart w:id="1124" w:name="Tc_Au2ygoQrwkqfibDdpQA2PA_7_8"/>
      <w:bookmarkStart w:id="1125" w:name="Tc_bGy-OEO9eUa9ABV4XfW_9g_7_6"/>
      <w:bookmarkStart w:id="1126" w:name="Tc_c4mm-3rnu0OyQiimfenOFQ_7_2"/>
      <w:bookmarkStart w:id="1127" w:name="Tc_67_P2W9JSkiVLWKA8kojTw_7_0"/>
      <w:bookmarkStart w:id="1128" w:name="Tc_pAA5Yf-lGkaMdaQVJhW-bw_6_0"/>
      <w:bookmarkStart w:id="1129" w:name="Tc_9n7qnrkoaUe_efRe82kH1Q_5_0"/>
      <w:bookmarkStart w:id="1130" w:name="Tc_Xa12nZeibU25jcP6OyGj0g_4_8"/>
      <w:bookmarkStart w:id="1131" w:name="Tc_JR50cDVPbEunwDBR5uYjjg_3_8"/>
      <w:bookmarkStart w:id="1132" w:name="Tc_Mcjay-90zUalD_Q8MYwv-w_3_6"/>
      <w:bookmarkStart w:id="1133" w:name="Tc_eOaj3e3ZkUynA01tG0f_fg_3_4"/>
      <w:bookmarkStart w:id="1134" w:name="Tc_vtj7toHrT0KhEsy3j-NCgQ_3_2"/>
      <w:bookmarkStart w:id="1135" w:name="Tc_d2pw0IcRcEOEiGziDsrCwA_2_8"/>
      <w:bookmarkStart w:id="1136" w:name="Tc_FrtfC4RGfUaYQxRP5KId3w_2_6"/>
      <w:bookmarkStart w:id="1137" w:name="Tc_ZvwHxfJccU-teqFA_wTaDA_2_4"/>
      <w:bookmarkStart w:id="1138" w:name="Tc_cdU4hmnBak2nWRZQtTA8IA_2_2"/>
      <w:bookmarkStart w:id="1139" w:name="Tc_rQ83QVLaeE-FgX2XqkNKjg_1_2"/>
      <w:bookmarkStart w:id="1140" w:name="_53f820f6_ec31_4a9b_8a7c_b04b0532c814"/>
      <w:bookmarkStart w:id="1141" w:name="Tc_gIpv6NihB0Spz4TwFOxq0A_66_0"/>
      <w:bookmarkStart w:id="1142" w:name="Tc_Or8xdbxQm0KCZ-WyDMhEyQ_65_0"/>
      <w:bookmarkStart w:id="1143" w:name="Tc_iOwhG4OHQ0iiY5cxx9HAYQ_64_0"/>
      <w:bookmarkStart w:id="1144" w:name="Tc_RRa_DsNPIEqhVvMQA9n2lw_63_0"/>
      <w:bookmarkStart w:id="1145" w:name="Tc_c9qsXg_KzUGC9cAifh_LtQ_62_0"/>
      <w:bookmarkStart w:id="1146" w:name="Tc_Nr5k7ChBTUmLJDt-JUNBHA_61_0"/>
      <w:bookmarkStart w:id="1147" w:name="Tc_UUrg5P4P7Uu04e-MeoO53A_60_0"/>
      <w:bookmarkStart w:id="1148" w:name="Tc_Wxt5BVjV_UiAkxi5-L6D_A_59_0"/>
      <w:bookmarkStart w:id="1149" w:name="Tc_2AA-Vmyvw0qm_kf9_gCMYA_57_0"/>
      <w:bookmarkStart w:id="1150" w:name="Tc_JoLdRDPHb0qG78-QW4VHwQ_55_0"/>
      <w:bookmarkStart w:id="1151" w:name="Tc_T6cmd9yOw0-RkFz9wf7f4w_54_0"/>
      <w:bookmarkStart w:id="1152" w:name="Tc_dLZiCL3Gfkuk2ezMBkIiQA_53_8"/>
      <w:bookmarkStart w:id="1153" w:name="Tc_LYz3N1eZuE-92J2SeV2gdA_53_6"/>
      <w:bookmarkStart w:id="1154" w:name="Tc_a-Je-4mAFUKleo3yc3_cuA_53_4"/>
      <w:bookmarkStart w:id="1155" w:name="Tc_J0hGHMB7EUSZV-PCbyBsBg_53_0"/>
      <w:bookmarkStart w:id="1156" w:name="Tc_Jt-xIyf9rUGQvpxv9siijw_52_0"/>
      <w:bookmarkStart w:id="1157" w:name="Tc_NSWM8S4omEiE_YgQjBpHSQ_51_8"/>
      <w:bookmarkStart w:id="1158" w:name="Tc_jkVH-ApHAkCxxT1lJ8o5Aw_51_6"/>
      <w:bookmarkStart w:id="1159" w:name="Tc_r-dUWK4GvUu1tb9daiIJ1w_51_4"/>
      <w:bookmarkStart w:id="1160" w:name="Tc_G29N81RMNUau12Dzn-2_-A_51_0"/>
      <w:bookmarkStart w:id="1161" w:name="Tc_uYJnLaxPGkadNUpK7p1yOQ_50_0"/>
      <w:bookmarkStart w:id="1162" w:name="Tc_h2ZCVQ1-zE6WsNpeLohBfg_49_0"/>
      <w:bookmarkStart w:id="1163" w:name="Tc_aCfuj96tOk6398IHWcsXQQ_48_0"/>
      <w:bookmarkStart w:id="1164" w:name="Tc_dgHk0s0dTEekaNf2RcP_hg_47_0"/>
      <w:bookmarkStart w:id="1165" w:name="Tc_58ozpZT-rEGtd30EeDb5xw_46_0"/>
      <w:bookmarkStart w:id="1166" w:name="Tc_l1UhaY3EE0qbKsRh3nPPxw_44_0"/>
      <w:bookmarkStart w:id="1167" w:name="Tc_eNd60bQVckqC4641R-ee0Q_43_0"/>
      <w:bookmarkStart w:id="1168" w:name="Tc_Qg0e2B5Q90iNKaMnD61o5A_42_0"/>
      <w:bookmarkStart w:id="1169" w:name="Tc_Vvc1FZgtFEaPFqCS2A6cEw_41_0"/>
      <w:bookmarkStart w:id="1170" w:name="Tc_UHVjIzj_20y8IiUSkXkUTw_40_0"/>
      <w:bookmarkStart w:id="1171" w:name="Tc_9878iBSkd0uo5kqVkN1qqA_39_0"/>
      <w:bookmarkStart w:id="1172" w:name="Tc_e5kEWUu5nUm9AUJjacik4Q_38_0"/>
      <w:bookmarkStart w:id="1173" w:name="Tc_UgSnTbtjn0mRefqTzF-11g_37_0"/>
      <w:bookmarkStart w:id="1174" w:name="Tc_OOy1mID1WUqO_ZdzacuwwA_36_8"/>
      <w:bookmarkStart w:id="1175" w:name="Tc_reZhYSkITEyJoOm6uG7egg_36_6"/>
      <w:bookmarkStart w:id="1176" w:name="Tc_DqysvUb5mUSqsloA0X3rmA_36_0"/>
      <w:bookmarkStart w:id="1177" w:name="Tc_CXEoClNuH0W49zk0EjTCnA_35_0"/>
      <w:bookmarkStart w:id="1178" w:name="Tc_JG9X5HbhD0CDIIOLMTTz-Q_34_0"/>
      <w:bookmarkStart w:id="1179" w:name="Tc_SPKIqZRtwkSMUlINFmDD8Q_33_0"/>
      <w:bookmarkStart w:id="1180" w:name="Tc_5cm1HMR4FUCHLltt6s7EaA_32_0"/>
      <w:bookmarkStart w:id="1181" w:name="Tc_ua6RpEGp_0Oj7wjOBWm8SA_31_0"/>
      <w:bookmarkStart w:id="1182" w:name="Tc_HKvfh321aEuBIEk2E-o24A_29_0"/>
      <w:bookmarkStart w:id="1183" w:name="Tc_q4ZlrBfeDEe6WguWM8f6vQ_28_0"/>
      <w:bookmarkStart w:id="1184" w:name="Tc_pcmDhBHs3kSuQoZCC0pcvA_27_0"/>
      <w:bookmarkStart w:id="1185" w:name="Tc_vzIQk5M6F0mEMEmqi8F2Yw_26_0"/>
      <w:bookmarkStart w:id="1186" w:name="Tc_SMDzXeUrk0eEsfRWYz8E0g_25_0"/>
      <w:bookmarkStart w:id="1187" w:name="Tc_BuuPwaPsF066wmSsS6v4XQ_24_0"/>
      <w:bookmarkStart w:id="1188" w:name="Tc_eLKvaH1pf0azg_UIrm4zlQ_23_0"/>
      <w:bookmarkStart w:id="1189" w:name="Tc_UX4W3xO8s0a9yFigWlTJow_22_0"/>
      <w:bookmarkStart w:id="1190" w:name="Tc_859nvJGRrUO3JxSMCgdlOg_21_0"/>
      <w:bookmarkStart w:id="1191" w:name="Tc_YinT4AmLFE-_RFrQBIfZNg_20_0"/>
      <w:bookmarkStart w:id="1192" w:name="Tc_vxIRuFNak0eH7phAOWJEcA_19_0"/>
      <w:bookmarkStart w:id="1193" w:name="Tc_5hX9kxS8F0WLK9UPx9ZPOQ_18_0"/>
      <w:bookmarkStart w:id="1194" w:name="Tc_ZZ5bTGlT5Eyzz74oy3dyUA_17_0"/>
      <w:bookmarkStart w:id="1195" w:name="Tc_iXRdI5JpD0yCaWXMqPBcfA_16_0"/>
      <w:bookmarkStart w:id="1196" w:name="Tc__LXGl1X9D0y_Be4wpisrgA_15_0"/>
      <w:bookmarkStart w:id="1197" w:name="Tc_FinTJ6yLe0W5WdJReWIElw_14_0"/>
      <w:bookmarkStart w:id="1198" w:name="Tc_L9x2nfbUaUGYGkMPgWHXrQ_13_0"/>
      <w:bookmarkStart w:id="1199" w:name="Tc_Egvp7aGFqkWMSfYSsPForA_12_0"/>
      <w:bookmarkStart w:id="1200" w:name="Tc_pCDuAKDwn0Csup9xGSLvlA_11_0"/>
      <w:bookmarkStart w:id="1201" w:name="Tc_Mm5RigmO9Eq19t0pjrfb_w_10_0"/>
      <w:bookmarkStart w:id="1202" w:name="Tc_K-Mdr5d1z0yPTpKraGSC5Q_9_0"/>
      <w:bookmarkStart w:id="1203" w:name="Tc_Kz0kvTr8FUazz2IATM47_Q_8_0"/>
      <w:bookmarkStart w:id="1204" w:name="Tc_Au2ygoQrwkqfibDdpQA2PA_7_8"/>
      <w:bookmarkStart w:id="1205" w:name="Tc_bGy-OEO9eUa9ABV4XfW_9g_7_6"/>
      <w:bookmarkStart w:id="1206" w:name="Tc_c4mm-3rnu0OyQiimfenOFQ_7_2"/>
      <w:bookmarkStart w:id="1207" w:name="Tc_67_P2W9JSkiVLWKA8kojTw_7_0"/>
      <w:bookmarkStart w:id="1208" w:name="Tc_pAA5Yf-lGkaMdaQVJhW-bw_6_0"/>
      <w:bookmarkStart w:id="1209" w:name="Tc_9n7qnrkoaUe_efRe82kH1Q_5_0"/>
      <w:bookmarkStart w:id="1210" w:name="Tc_Xa12nZeibU25jcP6OyGj0g_4_8"/>
      <w:bookmarkStart w:id="1211" w:name="Tc_JR50cDVPbEunwDBR5uYjjg_3_8"/>
      <w:bookmarkStart w:id="1212" w:name="Tc_Mcjay-90zUalD_Q8MYwv-w_3_6"/>
      <w:bookmarkStart w:id="1213" w:name="Tc_eOaj3e3ZkUynA01tG0f_fg_3_4"/>
      <w:bookmarkStart w:id="1214" w:name="Tc_vtj7toHrT0KhEsy3j-NCgQ_3_2"/>
      <w:bookmarkStart w:id="1215" w:name="Tc_d2pw0IcRcEOEiGziDsrCwA_2_8"/>
      <w:bookmarkStart w:id="1216" w:name="Tc_FrtfC4RGfUaYQxRP5KId3w_2_6"/>
      <w:bookmarkStart w:id="1217" w:name="Tc_ZvwHxfJccU-teqFA_wTaDA_2_4"/>
      <w:bookmarkStart w:id="1218" w:name="Tc_cdU4hmnBak2nWRZQtTA8IA_2_2"/>
      <w:bookmarkStart w:id="1219" w:name="Tc_rQ83QVLaeE-FgX2XqkNKjg_1_2"/>
      <w:bookmarkStart w:id="1220" w:name="_53f820f6_ec31_4a9b_8a7c_b04b0532c814"/>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p>
    <w:tbl>
      <w:tblPr>
        <w:tblW w:w="10205" w:type="dxa"/>
        <w:jc w:val="left"/>
        <w:tblInd w:w="0" w:type="dxa"/>
        <w:tblLayout w:type="fixed"/>
        <w:tblCellMar>
          <w:top w:w="0" w:type="dxa"/>
          <w:left w:w="0" w:type="dxa"/>
          <w:bottom w:w="0" w:type="dxa"/>
          <w:right w:w="0" w:type="dxa"/>
        </w:tblCellMar>
      </w:tblPr>
      <w:tblGrid>
        <w:gridCol w:w="5441"/>
        <w:gridCol w:w="326"/>
        <w:gridCol w:w="834"/>
        <w:gridCol w:w="326"/>
        <w:gridCol w:w="834"/>
        <w:gridCol w:w="326"/>
        <w:gridCol w:w="909"/>
        <w:gridCol w:w="326"/>
        <w:gridCol w:w="883"/>
      </w:tblGrid>
      <w:tr>
        <w:trPr/>
        <w:tc>
          <w:tcPr>
            <w:tcW w:w="5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3455035" cy="175260"/>
                      <wp:effectExtent l="0" t="0" r="0" b="0"/>
                      <wp:wrapNone/>
                      <wp:docPr id="340" name="Frame339"/>
                      <a:graphic xmlns:a="http://schemas.openxmlformats.org/drawingml/2006/main">
                        <a:graphicData uri="http://schemas.microsoft.com/office/word/2010/wordprocessingShape">
                          <wps:wsp>
                            <wps:cNvSpPr txBox="1"/>
                            <wps:spPr>
                              <a:xfrm>
                                <a:off x="0" y="0"/>
                                <a:ext cx="3455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207010" cy="175260"/>
                      <wp:effectExtent l="0" t="0" r="0" b="0"/>
                      <wp:wrapNone/>
                      <wp:docPr id="341" name="Frame3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529590" cy="175260"/>
                      <wp:effectExtent l="0" t="0" r="0" b="0"/>
                      <wp:wrapNone/>
                      <wp:docPr id="342" name="Frame341"/>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207010" cy="175260"/>
                      <wp:effectExtent l="0" t="0" r="0" b="0"/>
                      <wp:wrapNone/>
                      <wp:docPr id="343" name="Frame3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529590" cy="175260"/>
                      <wp:effectExtent l="0" t="0" r="0" b="0"/>
                      <wp:wrapNone/>
                      <wp:docPr id="344" name="Frame343"/>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07010" cy="175260"/>
                      <wp:effectExtent l="0" t="0" r="0" b="0"/>
                      <wp:wrapNone/>
                      <wp:docPr id="345" name="Frame3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577215" cy="175260"/>
                      <wp:effectExtent l="0" t="0" r="0" b="0"/>
                      <wp:wrapNone/>
                      <wp:docPr id="346" name="Frame345"/>
                      <a:graphic xmlns:a="http://schemas.openxmlformats.org/drawingml/2006/main">
                        <a:graphicData uri="http://schemas.microsoft.com/office/word/2010/wordprocessingShape">
                          <wps:wsp>
                            <wps:cNvSpPr txBox="1"/>
                            <wps:spPr>
                              <a:xfrm>
                                <a:off x="0" y="0"/>
                                <a:ext cx="577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07010" cy="175260"/>
                      <wp:effectExtent l="0" t="0" r="0" b="0"/>
                      <wp:wrapNone/>
                      <wp:docPr id="347" name="Frame3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560705" cy="175260"/>
                      <wp:effectExtent l="0" t="0" r="0" b="0"/>
                      <wp:wrapNone/>
                      <wp:docPr id="348" name="Frame347"/>
                      <a:graphic xmlns:a="http://schemas.openxmlformats.org/drawingml/2006/main">
                        <a:graphicData uri="http://schemas.microsoft.com/office/word/2010/wordprocessingShape">
                          <wps:wsp>
                            <wps:cNvSpPr txBox="1"/>
                            <wps:spPr>
                              <a:xfrm>
                                <a:off x="0" y="0"/>
                                <a:ext cx="560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438"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For the year ended December 31, </w:t>
            </w:r>
          </w:p>
        </w:tc>
      </w:tr>
      <w:tr>
        <w:trPr/>
        <w:tc>
          <w:tcPr>
            <w:tcW w:w="54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3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2021</w:t>
            </w:r>
          </w:p>
        </w:tc>
        <w:tc>
          <w:tcPr>
            <w:tcW w:w="326" w:type="dxa"/>
            <w:tcBorders/>
            <w:vAlign w:val="center"/>
          </w:tcPr>
          <w:p>
            <w:pPr>
              <w:pStyle w:val="TableContents"/>
              <w:bidi w:val="0"/>
              <w:spacing w:before="0" w:after="0"/>
              <w:ind w:left="0" w:right="0" w:hanging="0"/>
              <w:jc w:val="left"/>
              <w:rPr/>
            </w:pPr>
            <w:r>
              <w:rPr/>
              <w:t>    </w:t>
            </w:r>
          </w:p>
        </w:tc>
        <w:tc>
          <w:tcPr>
            <w:tcW w:w="83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2022</w:t>
            </w:r>
          </w:p>
        </w:tc>
        <w:tc>
          <w:tcPr>
            <w:tcW w:w="326" w:type="dxa"/>
            <w:tcBorders/>
            <w:vAlign w:val="center"/>
          </w:tcPr>
          <w:p>
            <w:pPr>
              <w:pStyle w:val="TableContents"/>
              <w:bidi w:val="0"/>
              <w:spacing w:before="0" w:after="0"/>
              <w:ind w:left="0" w:right="0" w:hanging="0"/>
              <w:jc w:val="left"/>
              <w:rPr/>
            </w:pPr>
            <w:r>
              <w:rPr/>
              <w:t>    </w:t>
            </w:r>
          </w:p>
        </w:tc>
        <w:tc>
          <w:tcPr>
            <w:tcW w:w="90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2023</w:t>
            </w:r>
          </w:p>
        </w:tc>
        <w:tc>
          <w:tcPr>
            <w:tcW w:w="326" w:type="dxa"/>
            <w:tcBorders/>
            <w:vAlign w:val="center"/>
          </w:tcPr>
          <w:p>
            <w:pPr>
              <w:pStyle w:val="TableContents"/>
              <w:bidi w:val="0"/>
              <w:spacing w:before="0" w:after="0"/>
              <w:ind w:left="0" w:right="0" w:hanging="0"/>
              <w:jc w:val="left"/>
              <w:rPr/>
            </w:pPr>
            <w:r>
              <w:rPr/>
              <w:t>    </w:t>
            </w:r>
          </w:p>
        </w:tc>
        <w:tc>
          <w:tcPr>
            <w:tcW w:w="88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2023</w:t>
            </w:r>
          </w:p>
        </w:tc>
      </w:tr>
      <w:tr>
        <w:trPr/>
        <w:tc>
          <w:tcPr>
            <w:tcW w:w="54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RMB</w:t>
            </w:r>
          </w:p>
        </w:tc>
        <w:tc>
          <w:tcPr>
            <w:tcW w:w="326"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RMB</w:t>
            </w:r>
          </w:p>
        </w:tc>
        <w:tc>
          <w:tcPr>
            <w:tcW w:w="326"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RMB</w:t>
            </w:r>
          </w:p>
        </w:tc>
        <w:tc>
          <w:tcPr>
            <w:tcW w:w="326"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US$</w:t>
            </w:r>
          </w:p>
        </w:tc>
      </w:tr>
      <w:tr>
        <w:trPr/>
        <w:tc>
          <w:tcPr>
            <w:tcW w:w="54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Note 2(q)</w:t>
            </w:r>
          </w:p>
        </w:tc>
      </w:tr>
      <w:tr>
        <w:trPr/>
        <w:tc>
          <w:tcPr>
            <w:tcW w:w="544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83" w:type="dxa"/>
            <w:tcBorders/>
            <w:shd w:fill="CCEEFF" w:val="clear"/>
            <w:vAlign w:val="center"/>
          </w:tcPr>
          <w:p>
            <w:pPr>
              <w:pStyle w:val="TableContents"/>
              <w:bidi w:val="0"/>
              <w:spacing w:before="0" w:after="0"/>
              <w:ind w:left="0" w:right="0" w:hanging="0"/>
              <w:jc w:val="right"/>
              <w:rPr/>
            </w:pPr>
            <w:r>
              <w:rPr/>
              <w:t>​</w:t>
            </w:r>
          </w:p>
        </w:tc>
      </w:tr>
      <w:tr>
        <w:trPr/>
        <w:tc>
          <w:tcPr>
            <w:tcW w:w="5441"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income</w:t>
            </w:r>
          </w:p>
        </w:tc>
        <w:tc>
          <w:tcPr>
            <w:tcW w:w="326"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16,976,190</w:t>
            </w:r>
          </w:p>
        </w:tc>
        <w:tc>
          <w:tcPr>
            <w:tcW w:w="326"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19,843,290</w:t>
            </w:r>
          </w:p>
        </w:tc>
        <w:tc>
          <w:tcPr>
            <w:tcW w:w="326" w:type="dxa"/>
            <w:tcBorders/>
            <w:vAlign w:val="center"/>
          </w:tcPr>
          <w:p>
            <w:pPr>
              <w:pStyle w:val="TableContents"/>
              <w:bidi w:val="0"/>
              <w:spacing w:before="0" w:after="0"/>
              <w:ind w:left="0" w:right="0" w:hanging="0"/>
              <w:jc w:val="left"/>
              <w:rPr/>
            </w:pPr>
            <w:r>
              <w:rPr/>
              <w:t> </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29,357,223</w:t>
            </w:r>
          </w:p>
        </w:tc>
        <w:tc>
          <w:tcPr>
            <w:tcW w:w="326"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4,134,878</w:t>
            </w:r>
          </w:p>
        </w:tc>
      </w:tr>
      <w:tr>
        <w:trPr/>
        <w:tc>
          <w:tcPr>
            <w:tcW w:w="54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income from discontinued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(624,864)</w:t>
            </w:r>
          </w:p>
        </w:tc>
        <w:tc>
          <w:tcPr>
            <w:tcW w:w="326"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83" w:type="dxa"/>
            <w:tcBorders/>
            <w:shd w:fill="CCEEFF" w:val="clear"/>
            <w:vAlign w:val="center"/>
          </w:tcPr>
          <w:p>
            <w:pPr>
              <w:pStyle w:val="TableContents"/>
              <w:bidi w:val="0"/>
              <w:spacing w:before="0" w:after="0"/>
              <w:ind w:left="0" w:right="0" w:hanging="0"/>
              <w:jc w:val="right"/>
              <w:rPr/>
            </w:pPr>
            <w:r>
              <w:rPr/>
              <w:t>—</w:t>
            </w:r>
          </w:p>
        </w:tc>
      </w:tr>
      <w:tr>
        <w:trPr/>
        <w:tc>
          <w:tcPr>
            <w:tcW w:w="5441"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Adjustments to reconcile net income to net cash provided by operating activities:</w:t>
            </w:r>
          </w:p>
        </w:tc>
        <w:tc>
          <w:tcPr>
            <w:tcW w:w="326"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right"/>
              <w:rPr/>
            </w:pPr>
            <w:r>
              <w:rPr/>
              <w:t>​</w:t>
            </w:r>
          </w:p>
        </w:tc>
      </w:tr>
      <w:tr>
        <w:trPr/>
        <w:tc>
          <w:tcPr>
            <w:tcW w:w="54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Depreciation and amortization</w:t>
            </w:r>
          </w:p>
        </w:tc>
        <w:tc>
          <w:tcPr>
            <w:tcW w:w="326" w:type="dxa"/>
            <w:tcBorders/>
            <w:shd w:fill="CCEEFF" w:val="clear"/>
            <w:vAlign w:val="center"/>
          </w:tcPr>
          <w:p>
            <w:pPr>
              <w:pStyle w:val="TableContents"/>
              <w:bidi w:val="0"/>
              <w:spacing w:before="0" w:after="0"/>
              <w:ind w:left="0" w:right="0" w:hanging="0"/>
              <w:jc w:val="left"/>
              <w:rPr/>
            </w:pPr>
            <w:r>
              <w:rPr/>
              <w:t> </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3,275,727</w:t>
            </w:r>
          </w:p>
        </w:tc>
        <w:tc>
          <w:tcPr>
            <w:tcW w:w="326"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2,858,209</w:t>
            </w:r>
          </w:p>
        </w:tc>
        <w:tc>
          <w:tcPr>
            <w:tcW w:w="326"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3,055,260</w:t>
            </w:r>
          </w:p>
        </w:tc>
        <w:tc>
          <w:tcPr>
            <w:tcW w:w="326" w:type="dxa"/>
            <w:tcBorders/>
            <w:shd w:fill="CCEEFF" w:val="clear"/>
            <w:vAlign w:val="center"/>
          </w:tcPr>
          <w:p>
            <w:pPr>
              <w:pStyle w:val="TableContents"/>
              <w:bidi w:val="0"/>
              <w:spacing w:before="0" w:after="0"/>
              <w:ind w:left="0" w:right="0" w:hanging="0"/>
              <w:jc w:val="left"/>
              <w:rPr/>
            </w:pPr>
            <w:r>
              <w:rPr/>
              <w:t>​</w:t>
            </w:r>
          </w:p>
        </w:tc>
        <w:tc>
          <w:tcPr>
            <w:tcW w:w="88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430,324</w:t>
            </w:r>
          </w:p>
        </w:tc>
      </w:tr>
      <w:tr>
        <w:trPr/>
        <w:tc>
          <w:tcPr>
            <w:tcW w:w="5441"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Fair value change of equity security investments</w:t>
            </w:r>
          </w:p>
        </w:tc>
        <w:tc>
          <w:tcPr>
            <w:tcW w:w="326"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(471,880)</w:t>
            </w:r>
          </w:p>
        </w:tc>
        <w:tc>
          <w:tcPr>
            <w:tcW w:w="326"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3,104,336</w:t>
            </w:r>
          </w:p>
        </w:tc>
        <w:tc>
          <w:tcPr>
            <w:tcW w:w="326"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(535,316)</w:t>
            </w:r>
          </w:p>
        </w:tc>
        <w:tc>
          <w:tcPr>
            <w:tcW w:w="326"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(75,398)</w:t>
            </w:r>
          </w:p>
        </w:tc>
      </w:tr>
      <w:tr>
        <w:trPr/>
        <w:tc>
          <w:tcPr>
            <w:tcW w:w="54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Impairment losses on investments and other long-term assets</w:t>
            </w:r>
          </w:p>
        </w:tc>
        <w:tc>
          <w:tcPr>
            <w:tcW w:w="326" w:type="dxa"/>
            <w:tcBorders/>
            <w:shd w:fill="CCEEFF" w:val="clear"/>
            <w:vAlign w:val="center"/>
          </w:tcPr>
          <w:p>
            <w:pPr>
              <w:pStyle w:val="TableContents"/>
              <w:bidi w:val="0"/>
              <w:spacing w:before="0" w:after="0"/>
              <w:ind w:left="0" w:right="0" w:hanging="0"/>
              <w:jc w:val="left"/>
              <w:rPr/>
            </w:pPr>
            <w:r>
              <w:rPr/>
              <w:t> </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100,424</w:t>
            </w:r>
          </w:p>
        </w:tc>
        <w:tc>
          <w:tcPr>
            <w:tcW w:w="326"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300,249</w:t>
            </w:r>
          </w:p>
        </w:tc>
        <w:tc>
          <w:tcPr>
            <w:tcW w:w="326"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469,159</w:t>
            </w:r>
          </w:p>
        </w:tc>
        <w:tc>
          <w:tcPr>
            <w:tcW w:w="326" w:type="dxa"/>
            <w:tcBorders/>
            <w:shd w:fill="CCEEFF" w:val="clear"/>
            <w:vAlign w:val="center"/>
          </w:tcPr>
          <w:p>
            <w:pPr>
              <w:pStyle w:val="TableContents"/>
              <w:bidi w:val="0"/>
              <w:spacing w:before="0" w:after="0"/>
              <w:ind w:left="0" w:right="0" w:hanging="0"/>
              <w:jc w:val="left"/>
              <w:rPr/>
            </w:pPr>
            <w:r>
              <w:rPr/>
              <w:t>​</w:t>
            </w:r>
          </w:p>
        </w:tc>
        <w:tc>
          <w:tcPr>
            <w:tcW w:w="88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66,080</w:t>
            </w:r>
          </w:p>
        </w:tc>
      </w:tr>
      <w:tr>
        <w:trPr/>
        <w:tc>
          <w:tcPr>
            <w:tcW w:w="5441"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Share-based compensation cost</w:t>
            </w:r>
          </w:p>
        </w:tc>
        <w:tc>
          <w:tcPr>
            <w:tcW w:w="326"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3,041,492</w:t>
            </w:r>
          </w:p>
        </w:tc>
        <w:tc>
          <w:tcPr>
            <w:tcW w:w="326"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3,174,160</w:t>
            </w:r>
          </w:p>
        </w:tc>
        <w:tc>
          <w:tcPr>
            <w:tcW w:w="326"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3,242,810</w:t>
            </w:r>
          </w:p>
        </w:tc>
        <w:tc>
          <w:tcPr>
            <w:tcW w:w="326"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456,740</w:t>
            </w:r>
          </w:p>
        </w:tc>
      </w:tr>
      <w:tr>
        <w:trPr/>
        <w:tc>
          <w:tcPr>
            <w:tcW w:w="54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Allowance for expected credit losses</w:t>
            </w:r>
          </w:p>
        </w:tc>
        <w:tc>
          <w:tcPr>
            <w:tcW w:w="326" w:type="dxa"/>
            <w:tcBorders/>
            <w:shd w:fill="CCEEFF" w:val="clear"/>
            <w:vAlign w:val="center"/>
          </w:tcPr>
          <w:p>
            <w:pPr>
              <w:pStyle w:val="TableContents"/>
              <w:bidi w:val="0"/>
              <w:spacing w:before="0" w:after="0"/>
              <w:ind w:left="0" w:right="0" w:hanging="0"/>
              <w:jc w:val="left"/>
              <w:rPr/>
            </w:pPr>
            <w:r>
              <w:rPr/>
              <w:t> </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265,930</w:t>
            </w:r>
          </w:p>
        </w:tc>
        <w:tc>
          <w:tcPr>
            <w:tcW w:w="326"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61,393</w:t>
            </w:r>
          </w:p>
        </w:tc>
        <w:tc>
          <w:tcPr>
            <w:tcW w:w="326"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61,146</w:t>
            </w:r>
          </w:p>
        </w:tc>
        <w:tc>
          <w:tcPr>
            <w:tcW w:w="326" w:type="dxa"/>
            <w:tcBorders/>
            <w:shd w:fill="CCEEFF" w:val="clear"/>
            <w:vAlign w:val="center"/>
          </w:tcPr>
          <w:p>
            <w:pPr>
              <w:pStyle w:val="TableContents"/>
              <w:bidi w:val="0"/>
              <w:spacing w:before="0" w:after="0"/>
              <w:ind w:left="0" w:right="0" w:hanging="0"/>
              <w:jc w:val="left"/>
              <w:rPr/>
            </w:pPr>
            <w:r>
              <w:rPr/>
              <w:t>​</w:t>
            </w:r>
          </w:p>
        </w:tc>
        <w:tc>
          <w:tcPr>
            <w:tcW w:w="88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8,612</w:t>
            </w:r>
          </w:p>
        </w:tc>
      </w:tr>
      <w:tr>
        <w:trPr/>
        <w:tc>
          <w:tcPr>
            <w:tcW w:w="5441"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Losses on disposal of property, equipment and software</w:t>
            </w:r>
          </w:p>
        </w:tc>
        <w:tc>
          <w:tcPr>
            <w:tcW w:w="326"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54,052</w:t>
            </w:r>
          </w:p>
        </w:tc>
        <w:tc>
          <w:tcPr>
            <w:tcW w:w="326"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3,620</w:t>
            </w:r>
          </w:p>
        </w:tc>
        <w:tc>
          <w:tcPr>
            <w:tcW w:w="326"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5,676</w:t>
            </w:r>
          </w:p>
        </w:tc>
        <w:tc>
          <w:tcPr>
            <w:tcW w:w="326"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799</w:t>
            </w:r>
          </w:p>
        </w:tc>
      </w:tr>
      <w:tr>
        <w:trPr/>
        <w:tc>
          <w:tcPr>
            <w:tcW w:w="54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Unrealized exchange losses/ (gains)</w:t>
            </w:r>
          </w:p>
        </w:tc>
        <w:tc>
          <w:tcPr>
            <w:tcW w:w="326" w:type="dxa"/>
            <w:tcBorders/>
            <w:shd w:fill="CCEEFF" w:val="clear"/>
            <w:vAlign w:val="center"/>
          </w:tcPr>
          <w:p>
            <w:pPr>
              <w:pStyle w:val="TableContents"/>
              <w:bidi w:val="0"/>
              <w:spacing w:before="0" w:after="0"/>
              <w:ind w:left="0" w:right="0" w:hanging="0"/>
              <w:jc w:val="left"/>
              <w:rPr/>
            </w:pPr>
            <w:r>
              <w:rPr/>
              <w:t> </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488,604</w:t>
            </w:r>
          </w:p>
        </w:tc>
        <w:tc>
          <w:tcPr>
            <w:tcW w:w="326"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(1,604,260)</w:t>
            </w:r>
          </w:p>
        </w:tc>
        <w:tc>
          <w:tcPr>
            <w:tcW w:w="326"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119,935</w:t>
            </w:r>
          </w:p>
        </w:tc>
        <w:tc>
          <w:tcPr>
            <w:tcW w:w="326" w:type="dxa"/>
            <w:tcBorders/>
            <w:shd w:fill="CCEEFF" w:val="clear"/>
            <w:vAlign w:val="center"/>
          </w:tcPr>
          <w:p>
            <w:pPr>
              <w:pStyle w:val="TableContents"/>
              <w:bidi w:val="0"/>
              <w:spacing w:before="0" w:after="0"/>
              <w:ind w:left="0" w:right="0" w:hanging="0"/>
              <w:jc w:val="left"/>
              <w:rPr/>
            </w:pPr>
            <w:r>
              <w:rPr/>
              <w:t>​</w:t>
            </w:r>
          </w:p>
        </w:tc>
        <w:tc>
          <w:tcPr>
            <w:tcW w:w="88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16,893</w:t>
            </w:r>
          </w:p>
        </w:tc>
      </w:tr>
      <w:tr>
        <w:trPr/>
        <w:tc>
          <w:tcPr>
            <w:tcW w:w="5441"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Gains on disposal of long-term investments, business and subsidiaries</w:t>
            </w:r>
          </w:p>
        </w:tc>
        <w:tc>
          <w:tcPr>
            <w:tcW w:w="326"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(186,920)</w:t>
            </w:r>
          </w:p>
        </w:tc>
        <w:tc>
          <w:tcPr>
            <w:tcW w:w="326"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(1,791,355)</w:t>
            </w:r>
          </w:p>
        </w:tc>
        <w:tc>
          <w:tcPr>
            <w:tcW w:w="326"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(63,784)</w:t>
            </w:r>
          </w:p>
        </w:tc>
        <w:tc>
          <w:tcPr>
            <w:tcW w:w="326"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(8,984)</w:t>
            </w:r>
          </w:p>
        </w:tc>
      </w:tr>
      <w:tr>
        <w:trPr/>
        <w:tc>
          <w:tcPr>
            <w:tcW w:w="54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Deferred income taxes</w:t>
            </w:r>
          </w:p>
        </w:tc>
        <w:tc>
          <w:tcPr>
            <w:tcW w:w="326" w:type="dxa"/>
            <w:tcBorders/>
            <w:shd w:fill="CCEEFF" w:val="clear"/>
            <w:vAlign w:val="center"/>
          </w:tcPr>
          <w:p>
            <w:pPr>
              <w:pStyle w:val="TableContents"/>
              <w:bidi w:val="0"/>
              <w:spacing w:before="0" w:after="0"/>
              <w:ind w:left="0" w:right="0" w:hanging="0"/>
              <w:jc w:val="left"/>
              <w:rPr/>
            </w:pPr>
            <w:r>
              <w:rPr/>
              <w:t> </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407,948</w:t>
            </w:r>
          </w:p>
        </w:tc>
        <w:tc>
          <w:tcPr>
            <w:tcW w:w="326"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489,670</w:t>
            </w:r>
          </w:p>
        </w:tc>
        <w:tc>
          <w:tcPr>
            <w:tcW w:w="326"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131,437</w:t>
            </w:r>
          </w:p>
        </w:tc>
        <w:tc>
          <w:tcPr>
            <w:tcW w:w="326" w:type="dxa"/>
            <w:tcBorders/>
            <w:shd w:fill="CCEEFF" w:val="clear"/>
            <w:vAlign w:val="center"/>
          </w:tcPr>
          <w:p>
            <w:pPr>
              <w:pStyle w:val="TableContents"/>
              <w:bidi w:val="0"/>
              <w:spacing w:before="0" w:after="0"/>
              <w:ind w:left="0" w:right="0" w:hanging="0"/>
              <w:jc w:val="left"/>
              <w:rPr/>
            </w:pPr>
            <w:r>
              <w:rPr/>
              <w:t>​</w:t>
            </w:r>
          </w:p>
        </w:tc>
        <w:tc>
          <w:tcPr>
            <w:tcW w:w="88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18,513</w:t>
            </w:r>
          </w:p>
        </w:tc>
      </w:tr>
      <w:tr>
        <w:trPr/>
        <w:tc>
          <w:tcPr>
            <w:tcW w:w="5441"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 of results on equity method investees and revaluation results from previously held equity interest</w:t>
            </w:r>
          </w:p>
        </w:tc>
        <w:tc>
          <w:tcPr>
            <w:tcW w:w="326"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(1,573,068)</w:t>
            </w:r>
          </w:p>
        </w:tc>
        <w:tc>
          <w:tcPr>
            <w:tcW w:w="326"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(1,259,941)</w:t>
            </w:r>
          </w:p>
        </w:tc>
        <w:tc>
          <w:tcPr>
            <w:tcW w:w="326"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(473,947)</w:t>
            </w:r>
          </w:p>
        </w:tc>
        <w:tc>
          <w:tcPr>
            <w:tcW w:w="326"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(66,754)</w:t>
            </w:r>
          </w:p>
        </w:tc>
      </w:tr>
      <w:tr>
        <w:trPr/>
        <w:tc>
          <w:tcPr>
            <w:tcW w:w="54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Fair value changes of short-term investments</w:t>
            </w:r>
          </w:p>
        </w:tc>
        <w:tc>
          <w:tcPr>
            <w:tcW w:w="326" w:type="dxa"/>
            <w:tcBorders/>
            <w:shd w:fill="CCEEFF" w:val="clear"/>
            <w:vAlign w:val="center"/>
          </w:tcPr>
          <w:p>
            <w:pPr>
              <w:pStyle w:val="TableContents"/>
              <w:bidi w:val="0"/>
              <w:spacing w:before="0" w:after="0"/>
              <w:ind w:left="0" w:right="0" w:hanging="0"/>
              <w:jc w:val="left"/>
              <w:rPr/>
            </w:pPr>
            <w:r>
              <w:rPr/>
              <w:t> </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(639,757)</w:t>
            </w:r>
          </w:p>
        </w:tc>
        <w:tc>
          <w:tcPr>
            <w:tcW w:w="326"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(342,642)</w:t>
            </w:r>
          </w:p>
        </w:tc>
        <w:tc>
          <w:tcPr>
            <w:tcW w:w="326"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(414,207)</w:t>
            </w:r>
          </w:p>
        </w:tc>
        <w:tc>
          <w:tcPr>
            <w:tcW w:w="326" w:type="dxa"/>
            <w:tcBorders/>
            <w:shd w:fill="CCEEFF" w:val="clear"/>
            <w:vAlign w:val="center"/>
          </w:tcPr>
          <w:p>
            <w:pPr>
              <w:pStyle w:val="TableContents"/>
              <w:bidi w:val="0"/>
              <w:spacing w:before="0" w:after="0"/>
              <w:ind w:left="0" w:right="0" w:hanging="0"/>
              <w:jc w:val="left"/>
              <w:rPr/>
            </w:pPr>
            <w:r>
              <w:rPr/>
              <w:t>​</w:t>
            </w:r>
          </w:p>
        </w:tc>
        <w:tc>
          <w:tcPr>
            <w:tcW w:w="88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(58,340)</w:t>
            </w:r>
          </w:p>
        </w:tc>
      </w:tr>
      <w:tr>
        <w:trPr/>
        <w:tc>
          <w:tcPr>
            <w:tcW w:w="5441"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Changes in operating assets and liabilities:</w:t>
            </w:r>
          </w:p>
        </w:tc>
        <w:tc>
          <w:tcPr>
            <w:tcW w:w="326"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right"/>
              <w:rPr/>
            </w:pPr>
            <w:r>
              <w:rPr/>
              <w:t>​</w:t>
            </w:r>
          </w:p>
        </w:tc>
      </w:tr>
      <w:tr>
        <w:trPr/>
        <w:tc>
          <w:tcPr>
            <w:tcW w:w="54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Accounts receivable</w:t>
            </w:r>
          </w:p>
        </w:tc>
        <w:tc>
          <w:tcPr>
            <w:tcW w:w="326" w:type="dxa"/>
            <w:tcBorders/>
            <w:shd w:fill="CCEEFF" w:val="clear"/>
            <w:vAlign w:val="center"/>
          </w:tcPr>
          <w:p>
            <w:pPr>
              <w:pStyle w:val="TableContents"/>
              <w:bidi w:val="0"/>
              <w:spacing w:before="0" w:after="0"/>
              <w:ind w:left="0" w:right="0" w:hanging="0"/>
              <w:jc w:val="left"/>
              <w:rPr/>
            </w:pPr>
            <w:r>
              <w:rPr/>
              <w:t> </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(1,186,586)</w:t>
            </w:r>
          </w:p>
        </w:tc>
        <w:tc>
          <w:tcPr>
            <w:tcW w:w="326"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554,340</w:t>
            </w:r>
          </w:p>
        </w:tc>
        <w:tc>
          <w:tcPr>
            <w:tcW w:w="326"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(1,470,374)</w:t>
            </w:r>
          </w:p>
        </w:tc>
        <w:tc>
          <w:tcPr>
            <w:tcW w:w="326" w:type="dxa"/>
            <w:tcBorders/>
            <w:shd w:fill="CCEEFF" w:val="clear"/>
            <w:vAlign w:val="center"/>
          </w:tcPr>
          <w:p>
            <w:pPr>
              <w:pStyle w:val="TableContents"/>
              <w:bidi w:val="0"/>
              <w:spacing w:before="0" w:after="0"/>
              <w:ind w:left="0" w:right="0" w:hanging="0"/>
              <w:jc w:val="left"/>
              <w:rPr/>
            </w:pPr>
            <w:r>
              <w:rPr/>
              <w:t>​</w:t>
            </w:r>
          </w:p>
        </w:tc>
        <w:tc>
          <w:tcPr>
            <w:tcW w:w="88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(207,098)</w:t>
            </w:r>
          </w:p>
        </w:tc>
      </w:tr>
      <w:tr>
        <w:trPr/>
        <w:tc>
          <w:tcPr>
            <w:tcW w:w="5441"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Inventories</w:t>
            </w:r>
          </w:p>
        </w:tc>
        <w:tc>
          <w:tcPr>
            <w:tcW w:w="326"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(343,587)</w:t>
            </w:r>
          </w:p>
        </w:tc>
        <w:tc>
          <w:tcPr>
            <w:tcW w:w="326"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(27,613)</w:t>
            </w:r>
          </w:p>
        </w:tc>
        <w:tc>
          <w:tcPr>
            <w:tcW w:w="326"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296,764</w:t>
            </w:r>
          </w:p>
        </w:tc>
        <w:tc>
          <w:tcPr>
            <w:tcW w:w="326"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41,798</w:t>
            </w:r>
          </w:p>
        </w:tc>
      </w:tr>
      <w:tr>
        <w:trPr/>
        <w:tc>
          <w:tcPr>
            <w:tcW w:w="54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Prepayments and other assets</w:t>
            </w:r>
          </w:p>
        </w:tc>
        <w:tc>
          <w:tcPr>
            <w:tcW w:w="326" w:type="dxa"/>
            <w:tcBorders/>
            <w:shd w:fill="CCEEFF" w:val="clear"/>
            <w:vAlign w:val="center"/>
          </w:tcPr>
          <w:p>
            <w:pPr>
              <w:pStyle w:val="TableContents"/>
              <w:bidi w:val="0"/>
              <w:spacing w:before="0" w:after="0"/>
              <w:ind w:left="0" w:right="0" w:hanging="0"/>
              <w:jc w:val="left"/>
              <w:rPr/>
            </w:pPr>
            <w:r>
              <w:rPr/>
              <w:t> </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640,349</w:t>
            </w:r>
          </w:p>
        </w:tc>
        <w:tc>
          <w:tcPr>
            <w:tcW w:w="326"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731,100</w:t>
            </w:r>
          </w:p>
        </w:tc>
        <w:tc>
          <w:tcPr>
            <w:tcW w:w="326"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87,556</w:t>
            </w:r>
          </w:p>
        </w:tc>
        <w:tc>
          <w:tcPr>
            <w:tcW w:w="326" w:type="dxa"/>
            <w:tcBorders/>
            <w:shd w:fill="CCEEFF" w:val="clear"/>
            <w:vAlign w:val="center"/>
          </w:tcPr>
          <w:p>
            <w:pPr>
              <w:pStyle w:val="TableContents"/>
              <w:bidi w:val="0"/>
              <w:spacing w:before="0" w:after="0"/>
              <w:ind w:left="0" w:right="0" w:hanging="0"/>
              <w:jc w:val="left"/>
              <w:rPr/>
            </w:pPr>
            <w:r>
              <w:rPr/>
              <w:t>​</w:t>
            </w:r>
          </w:p>
        </w:tc>
        <w:tc>
          <w:tcPr>
            <w:tcW w:w="88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12,332</w:t>
            </w:r>
          </w:p>
        </w:tc>
      </w:tr>
      <w:tr>
        <w:trPr/>
        <w:tc>
          <w:tcPr>
            <w:tcW w:w="5441"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Accounts payable</w:t>
            </w:r>
          </w:p>
        </w:tc>
        <w:tc>
          <w:tcPr>
            <w:tcW w:w="326"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(155,262)</w:t>
            </w:r>
          </w:p>
        </w:tc>
        <w:tc>
          <w:tcPr>
            <w:tcW w:w="326"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447,666</w:t>
            </w:r>
          </w:p>
        </w:tc>
        <w:tc>
          <w:tcPr>
            <w:tcW w:w="326"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(559,419)</w:t>
            </w:r>
          </w:p>
        </w:tc>
        <w:tc>
          <w:tcPr>
            <w:tcW w:w="326"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(78,792)</w:t>
            </w:r>
          </w:p>
        </w:tc>
      </w:tr>
      <w:tr>
        <w:trPr/>
        <w:tc>
          <w:tcPr>
            <w:tcW w:w="54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Salary and welfare payables</w:t>
            </w:r>
          </w:p>
        </w:tc>
        <w:tc>
          <w:tcPr>
            <w:tcW w:w="326" w:type="dxa"/>
            <w:tcBorders/>
            <w:shd w:fill="CCEEFF" w:val="clear"/>
            <w:vAlign w:val="center"/>
          </w:tcPr>
          <w:p>
            <w:pPr>
              <w:pStyle w:val="TableContents"/>
              <w:bidi w:val="0"/>
              <w:spacing w:before="0" w:after="0"/>
              <w:ind w:left="0" w:right="0" w:hanging="0"/>
              <w:jc w:val="left"/>
              <w:rPr/>
            </w:pPr>
            <w:r>
              <w:rPr/>
              <w:t> </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505,334</w:t>
            </w:r>
          </w:p>
        </w:tc>
        <w:tc>
          <w:tcPr>
            <w:tcW w:w="326"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424,513</w:t>
            </w:r>
          </w:p>
        </w:tc>
        <w:tc>
          <w:tcPr>
            <w:tcW w:w="326"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(62,917)</w:t>
            </w:r>
          </w:p>
        </w:tc>
        <w:tc>
          <w:tcPr>
            <w:tcW w:w="326" w:type="dxa"/>
            <w:tcBorders/>
            <w:shd w:fill="CCEEFF" w:val="clear"/>
            <w:vAlign w:val="center"/>
          </w:tcPr>
          <w:p>
            <w:pPr>
              <w:pStyle w:val="TableContents"/>
              <w:bidi w:val="0"/>
              <w:spacing w:before="0" w:after="0"/>
              <w:ind w:left="0" w:right="0" w:hanging="0"/>
              <w:jc w:val="left"/>
              <w:rPr/>
            </w:pPr>
            <w:r>
              <w:rPr/>
              <w:t>​</w:t>
            </w:r>
          </w:p>
        </w:tc>
        <w:tc>
          <w:tcPr>
            <w:tcW w:w="88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(8,862)</w:t>
            </w:r>
          </w:p>
        </w:tc>
      </w:tr>
      <w:tr>
        <w:trPr/>
        <w:tc>
          <w:tcPr>
            <w:tcW w:w="5441"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Taxes payable</w:t>
            </w:r>
          </w:p>
        </w:tc>
        <w:tc>
          <w:tcPr>
            <w:tcW w:w="326"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255,060</w:t>
            </w:r>
          </w:p>
        </w:tc>
        <w:tc>
          <w:tcPr>
            <w:tcW w:w="326"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(917,614)</w:t>
            </w:r>
          </w:p>
        </w:tc>
        <w:tc>
          <w:tcPr>
            <w:tcW w:w="326"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(244,261)</w:t>
            </w:r>
          </w:p>
        </w:tc>
        <w:tc>
          <w:tcPr>
            <w:tcW w:w="326"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(34,403)</w:t>
            </w:r>
          </w:p>
        </w:tc>
      </w:tr>
      <w:tr>
        <w:trPr/>
        <w:tc>
          <w:tcPr>
            <w:tcW w:w="54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Contract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1,351,261</w:t>
            </w:r>
          </w:p>
        </w:tc>
        <w:tc>
          <w:tcPr>
            <w:tcW w:w="326"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385,396</w:t>
            </w:r>
          </w:p>
        </w:tc>
        <w:tc>
          <w:tcPr>
            <w:tcW w:w="326"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1,161,861</w:t>
            </w:r>
          </w:p>
        </w:tc>
        <w:tc>
          <w:tcPr>
            <w:tcW w:w="326" w:type="dxa"/>
            <w:tcBorders/>
            <w:shd w:fill="CCEEFF" w:val="clear"/>
            <w:vAlign w:val="center"/>
          </w:tcPr>
          <w:p>
            <w:pPr>
              <w:pStyle w:val="TableContents"/>
              <w:bidi w:val="0"/>
              <w:spacing w:before="0" w:after="0"/>
              <w:ind w:left="0" w:right="0" w:hanging="0"/>
              <w:jc w:val="left"/>
              <w:rPr/>
            </w:pPr>
            <w:r>
              <w:rPr/>
              <w:t>​</w:t>
            </w:r>
          </w:p>
        </w:tc>
        <w:tc>
          <w:tcPr>
            <w:tcW w:w="88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163,645</w:t>
            </w:r>
          </w:p>
        </w:tc>
      </w:tr>
      <w:tr>
        <w:trPr/>
        <w:tc>
          <w:tcPr>
            <w:tcW w:w="5441"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Accrued liabilities and other payables</w:t>
            </w:r>
          </w:p>
        </w:tc>
        <w:tc>
          <w:tcPr>
            <w:tcW w:w="326" w:type="dxa"/>
            <w:tcBorders/>
            <w:vAlign w:val="center"/>
          </w:tcPr>
          <w:p>
            <w:pPr>
              <w:pStyle w:val="TableContents"/>
              <w:bidi w:val="0"/>
              <w:spacing w:before="0" w:after="0"/>
              <w:ind w:left="0" w:right="0" w:hanging="0"/>
              <w:jc w:val="left"/>
              <w:rPr/>
            </w:pPr>
            <w:r>
              <w:rPr/>
              <w:t> </w:t>
            </w:r>
          </w:p>
        </w:tc>
        <w:tc>
          <w:tcPr>
            <w:tcW w:w="8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2,121,416</w:t>
            </w:r>
          </w:p>
        </w:tc>
        <w:tc>
          <w:tcPr>
            <w:tcW w:w="326" w:type="dxa"/>
            <w:tcBorders/>
            <w:vAlign w:val="center"/>
          </w:tcPr>
          <w:p>
            <w:pPr>
              <w:pStyle w:val="TableContents"/>
              <w:bidi w:val="0"/>
              <w:spacing w:before="0" w:after="0"/>
              <w:ind w:left="0" w:right="0" w:hanging="0"/>
              <w:jc w:val="left"/>
              <w:rPr/>
            </w:pPr>
            <w:r>
              <w:rPr/>
              <w:t>​</w:t>
            </w:r>
          </w:p>
        </w:tc>
        <w:tc>
          <w:tcPr>
            <w:tcW w:w="8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1,899,580</w:t>
            </w:r>
          </w:p>
        </w:tc>
        <w:tc>
          <w:tcPr>
            <w:tcW w:w="326" w:type="dxa"/>
            <w:tcBorders/>
            <w:vAlign w:val="center"/>
          </w:tcPr>
          <w:p>
            <w:pPr>
              <w:pStyle w:val="TableContents"/>
              <w:bidi w:val="0"/>
              <w:spacing w:before="0" w:after="0"/>
              <w:ind w:left="0" w:right="0" w:hanging="0"/>
              <w:jc w:val="left"/>
              <w:rPr/>
            </w:pPr>
            <w:r>
              <w:rPr/>
              <w:t>​</w:t>
            </w:r>
          </w:p>
        </w:tc>
        <w:tc>
          <w:tcPr>
            <w:tcW w:w="9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1,166,673</w:t>
            </w:r>
          </w:p>
        </w:tc>
        <w:tc>
          <w:tcPr>
            <w:tcW w:w="326" w:type="dxa"/>
            <w:tcBorders/>
            <w:vAlign w:val="center"/>
          </w:tcPr>
          <w:p>
            <w:pPr>
              <w:pStyle w:val="TableContents"/>
              <w:bidi w:val="0"/>
              <w:spacing w:before="0" w:after="0"/>
              <w:ind w:left="0" w:right="0" w:hanging="0"/>
              <w:jc w:val="left"/>
              <w:rPr/>
            </w:pPr>
            <w:r>
              <w:rPr/>
              <w:t>​</w:t>
            </w:r>
          </w:p>
        </w:tc>
        <w:tc>
          <w:tcPr>
            <w:tcW w:w="8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164,323</w:t>
            </w:r>
          </w:p>
        </w:tc>
      </w:tr>
      <w:tr>
        <w:trPr/>
        <w:tc>
          <w:tcPr>
            <w:tcW w:w="54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cash provided by operating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8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24,926,727</w:t>
            </w:r>
          </w:p>
        </w:tc>
        <w:tc>
          <w:tcPr>
            <w:tcW w:w="326" w:type="dxa"/>
            <w:tcBorders/>
            <w:shd w:fill="CCEEFF" w:val="clear"/>
            <w:vAlign w:val="center"/>
          </w:tcPr>
          <w:p>
            <w:pPr>
              <w:pStyle w:val="TableContents"/>
              <w:bidi w:val="0"/>
              <w:spacing w:before="0" w:after="0"/>
              <w:ind w:left="0" w:right="0" w:hanging="0"/>
              <w:jc w:val="left"/>
              <w:rPr/>
            </w:pPr>
            <w:r>
              <w:rPr/>
              <w:t>​</w:t>
            </w:r>
          </w:p>
        </w:tc>
        <w:tc>
          <w:tcPr>
            <w:tcW w:w="8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27,709,233</w:t>
            </w:r>
          </w:p>
        </w:tc>
        <w:tc>
          <w:tcPr>
            <w:tcW w:w="326" w:type="dxa"/>
            <w:tcBorders/>
            <w:shd w:fill="CCEEFF" w:val="clear"/>
            <w:vAlign w:val="center"/>
          </w:tcPr>
          <w:p>
            <w:pPr>
              <w:pStyle w:val="TableContents"/>
              <w:bidi w:val="0"/>
              <w:spacing w:before="0" w:after="0"/>
              <w:ind w:left="0" w:right="0" w:hanging="0"/>
              <w:jc w:val="left"/>
              <w:rPr/>
            </w:pPr>
            <w:r>
              <w:rPr/>
              <w:t>​</w:t>
            </w:r>
          </w:p>
        </w:tc>
        <w:tc>
          <w:tcPr>
            <w:tcW w:w="9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35,331,275</w:t>
            </w:r>
          </w:p>
        </w:tc>
        <w:tc>
          <w:tcPr>
            <w:tcW w:w="326" w:type="dxa"/>
            <w:tcBorders/>
            <w:shd w:fill="CCEEFF" w:val="clear"/>
            <w:vAlign w:val="center"/>
          </w:tcPr>
          <w:p>
            <w:pPr>
              <w:pStyle w:val="TableContents"/>
              <w:bidi w:val="0"/>
              <w:spacing w:before="0" w:after="0"/>
              <w:ind w:left="0" w:right="0" w:hanging="0"/>
              <w:jc w:val="left"/>
              <w:rPr/>
            </w:pPr>
            <w:r>
              <w:rPr/>
              <w:t>​</w:t>
            </w:r>
          </w:p>
        </w:tc>
        <w:tc>
          <w:tcPr>
            <w:tcW w:w="8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4,976,306</w:t>
            </w:r>
          </w:p>
        </w:tc>
      </w:tr>
      <w:tr>
        <w:trPr/>
        <w:tc>
          <w:tcPr>
            <w:tcW w:w="54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right"/>
              <w:rPr/>
            </w:pPr>
            <w:r>
              <w:rPr/>
              <w:t>​</w:t>
            </w:r>
          </w:p>
        </w:tc>
      </w:tr>
      <w:tr>
        <w:trPr/>
        <w:tc>
          <w:tcPr>
            <w:tcW w:w="544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Cash flows from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83" w:type="dxa"/>
            <w:tcBorders/>
            <w:shd w:fill="CCEEFF" w:val="clear"/>
            <w:vAlign w:val="center"/>
          </w:tcPr>
          <w:p>
            <w:pPr>
              <w:pStyle w:val="TableContents"/>
              <w:bidi w:val="0"/>
              <w:spacing w:before="0" w:after="0"/>
              <w:ind w:left="0" w:right="0" w:hanging="0"/>
              <w:jc w:val="right"/>
              <w:rPr/>
            </w:pPr>
            <w:r>
              <w:rPr/>
              <w:t>​</w:t>
            </w:r>
          </w:p>
        </w:tc>
      </w:tr>
      <w:tr>
        <w:trPr/>
        <w:tc>
          <w:tcPr>
            <w:tcW w:w="5441"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Purchase of property, equipment and software</w:t>
            </w:r>
          </w:p>
        </w:tc>
        <w:tc>
          <w:tcPr>
            <w:tcW w:w="326"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(1,601,830)</w:t>
            </w:r>
          </w:p>
        </w:tc>
        <w:tc>
          <w:tcPr>
            <w:tcW w:w="326"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(2,100,264)</w:t>
            </w:r>
          </w:p>
        </w:tc>
        <w:tc>
          <w:tcPr>
            <w:tcW w:w="326" w:type="dxa"/>
            <w:tcBorders/>
            <w:vAlign w:val="center"/>
          </w:tcPr>
          <w:p>
            <w:pPr>
              <w:pStyle w:val="TableContents"/>
              <w:bidi w:val="0"/>
              <w:spacing w:before="0" w:after="0"/>
              <w:ind w:left="0" w:right="0" w:hanging="0"/>
              <w:jc w:val="left"/>
              <w:rPr/>
            </w:pPr>
            <w:r>
              <w:rPr/>
              <w:t> </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(2,301,554)</w:t>
            </w:r>
          </w:p>
        </w:tc>
        <w:tc>
          <w:tcPr>
            <w:tcW w:w="326"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(324,167)</w:t>
            </w:r>
          </w:p>
        </w:tc>
      </w:tr>
      <w:tr>
        <w:trPr/>
        <w:tc>
          <w:tcPr>
            <w:tcW w:w="54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Proceeds from sale of property, equipment and software</w:t>
            </w:r>
          </w:p>
        </w:tc>
        <w:tc>
          <w:tcPr>
            <w:tcW w:w="326" w:type="dxa"/>
            <w:tcBorders/>
            <w:shd w:fill="CCEEFF" w:val="clear"/>
            <w:vAlign w:val="center"/>
          </w:tcPr>
          <w:p>
            <w:pPr>
              <w:pStyle w:val="TableContents"/>
              <w:bidi w:val="0"/>
              <w:spacing w:before="0" w:after="0"/>
              <w:ind w:left="0" w:right="0" w:hanging="0"/>
              <w:jc w:val="left"/>
              <w:rPr/>
            </w:pPr>
            <w:r>
              <w:rPr/>
              <w:t> </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71,524</w:t>
            </w:r>
          </w:p>
        </w:tc>
        <w:tc>
          <w:tcPr>
            <w:tcW w:w="326" w:type="dxa"/>
            <w:tcBorders/>
            <w:shd w:fill="CCEEFF" w:val="clear"/>
            <w:vAlign w:val="center"/>
          </w:tcPr>
          <w:p>
            <w:pPr>
              <w:pStyle w:val="TableContents"/>
              <w:bidi w:val="0"/>
              <w:spacing w:before="0" w:after="0"/>
              <w:ind w:left="0" w:right="0" w:hanging="0"/>
              <w:jc w:val="left"/>
              <w:rPr/>
            </w:pPr>
            <w:r>
              <w:rPr/>
              <w:t> </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41,467</w:t>
            </w:r>
          </w:p>
        </w:tc>
        <w:tc>
          <w:tcPr>
            <w:tcW w:w="326" w:type="dxa"/>
            <w:tcBorders/>
            <w:shd w:fill="CCEEFF" w:val="clear"/>
            <w:vAlign w:val="center"/>
          </w:tcPr>
          <w:p>
            <w:pPr>
              <w:pStyle w:val="TableContents"/>
              <w:bidi w:val="0"/>
              <w:spacing w:before="0" w:after="0"/>
              <w:ind w:left="0" w:right="0" w:hanging="0"/>
              <w:jc w:val="left"/>
              <w:rPr/>
            </w:pPr>
            <w:r>
              <w:rPr/>
              <w:t> </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10,302</w:t>
            </w:r>
          </w:p>
        </w:tc>
        <w:tc>
          <w:tcPr>
            <w:tcW w:w="326" w:type="dxa"/>
            <w:tcBorders/>
            <w:shd w:fill="CCEEFF" w:val="clear"/>
            <w:vAlign w:val="center"/>
          </w:tcPr>
          <w:p>
            <w:pPr>
              <w:pStyle w:val="TableContents"/>
              <w:bidi w:val="0"/>
              <w:spacing w:before="0" w:after="0"/>
              <w:ind w:left="0" w:right="0" w:hanging="0"/>
              <w:jc w:val="left"/>
              <w:rPr/>
            </w:pPr>
            <w:r>
              <w:rPr/>
              <w:t>​</w:t>
            </w:r>
          </w:p>
        </w:tc>
        <w:tc>
          <w:tcPr>
            <w:tcW w:w="88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1,451</w:t>
            </w:r>
          </w:p>
        </w:tc>
      </w:tr>
      <w:tr>
        <w:trPr/>
        <w:tc>
          <w:tcPr>
            <w:tcW w:w="5441"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Purchase of intangible assets, content and licensed copyrights</w:t>
            </w:r>
          </w:p>
        </w:tc>
        <w:tc>
          <w:tcPr>
            <w:tcW w:w="326"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(1,508,179)</w:t>
            </w:r>
          </w:p>
        </w:tc>
        <w:tc>
          <w:tcPr>
            <w:tcW w:w="326"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(543,220)</w:t>
            </w:r>
          </w:p>
        </w:tc>
        <w:tc>
          <w:tcPr>
            <w:tcW w:w="326" w:type="dxa"/>
            <w:tcBorders/>
            <w:vAlign w:val="center"/>
          </w:tcPr>
          <w:p>
            <w:pPr>
              <w:pStyle w:val="TableContents"/>
              <w:bidi w:val="0"/>
              <w:spacing w:before="0" w:after="0"/>
              <w:ind w:left="0" w:right="0" w:hanging="0"/>
              <w:jc w:val="left"/>
              <w:rPr/>
            </w:pPr>
            <w:r>
              <w:rPr/>
              <w:t> </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(1,974,323)</w:t>
            </w:r>
          </w:p>
        </w:tc>
        <w:tc>
          <w:tcPr>
            <w:tcW w:w="326"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(278,078)</w:t>
            </w:r>
          </w:p>
        </w:tc>
      </w:tr>
      <w:tr>
        <w:trPr/>
        <w:tc>
          <w:tcPr>
            <w:tcW w:w="54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change of short-term investments with terms of three months or less</w:t>
            </w:r>
          </w:p>
        </w:tc>
        <w:tc>
          <w:tcPr>
            <w:tcW w:w="326" w:type="dxa"/>
            <w:tcBorders/>
            <w:shd w:fill="CCEEFF" w:val="clear"/>
            <w:vAlign w:val="center"/>
          </w:tcPr>
          <w:p>
            <w:pPr>
              <w:pStyle w:val="TableContents"/>
              <w:bidi w:val="0"/>
              <w:spacing w:before="0" w:after="0"/>
              <w:ind w:left="0" w:right="0" w:hanging="0"/>
              <w:jc w:val="left"/>
              <w:rPr/>
            </w:pPr>
            <w:r>
              <w:rPr/>
              <w:t> </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3,694,890</w:t>
            </w:r>
          </w:p>
        </w:tc>
        <w:tc>
          <w:tcPr>
            <w:tcW w:w="326" w:type="dxa"/>
            <w:tcBorders/>
            <w:shd w:fill="CCEEFF" w:val="clear"/>
            <w:vAlign w:val="center"/>
          </w:tcPr>
          <w:p>
            <w:pPr>
              <w:pStyle w:val="TableContents"/>
              <w:bidi w:val="0"/>
              <w:spacing w:before="0" w:after="0"/>
              <w:ind w:left="0" w:right="0" w:hanging="0"/>
              <w:jc w:val="left"/>
              <w:rPr/>
            </w:pPr>
            <w:r>
              <w:rPr/>
              <w:t> </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776,357</w:t>
            </w:r>
          </w:p>
        </w:tc>
        <w:tc>
          <w:tcPr>
            <w:tcW w:w="326" w:type="dxa"/>
            <w:tcBorders/>
            <w:shd w:fill="CCEEFF" w:val="clear"/>
            <w:vAlign w:val="center"/>
          </w:tcPr>
          <w:p>
            <w:pPr>
              <w:pStyle w:val="TableContents"/>
              <w:bidi w:val="0"/>
              <w:spacing w:before="0" w:after="0"/>
              <w:ind w:left="0" w:right="0" w:hanging="0"/>
              <w:jc w:val="left"/>
              <w:rPr/>
            </w:pPr>
            <w:r>
              <w:rPr/>
              <w:t> </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(1,777,687)</w:t>
            </w:r>
          </w:p>
        </w:tc>
        <w:tc>
          <w:tcPr>
            <w:tcW w:w="326" w:type="dxa"/>
            <w:tcBorders/>
            <w:shd w:fill="CCEEFF" w:val="clear"/>
            <w:vAlign w:val="center"/>
          </w:tcPr>
          <w:p>
            <w:pPr>
              <w:pStyle w:val="TableContents"/>
              <w:bidi w:val="0"/>
              <w:spacing w:before="0" w:after="0"/>
              <w:ind w:left="0" w:right="0" w:hanging="0"/>
              <w:jc w:val="left"/>
              <w:rPr/>
            </w:pPr>
            <w:r>
              <w:rPr/>
              <w:t>​</w:t>
            </w:r>
          </w:p>
        </w:tc>
        <w:tc>
          <w:tcPr>
            <w:tcW w:w="88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(250,382)</w:t>
            </w:r>
          </w:p>
        </w:tc>
      </w:tr>
      <w:tr>
        <w:trPr/>
        <w:tc>
          <w:tcPr>
            <w:tcW w:w="5441"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Purchase of short-term investments with terms over three months</w:t>
            </w:r>
          </w:p>
        </w:tc>
        <w:tc>
          <w:tcPr>
            <w:tcW w:w="326"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(15,285,000)</w:t>
            </w:r>
          </w:p>
        </w:tc>
        <w:tc>
          <w:tcPr>
            <w:tcW w:w="326"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(5,950,000)</w:t>
            </w:r>
          </w:p>
        </w:tc>
        <w:tc>
          <w:tcPr>
            <w:tcW w:w="326" w:type="dxa"/>
            <w:tcBorders/>
            <w:vAlign w:val="center"/>
          </w:tcPr>
          <w:p>
            <w:pPr>
              <w:pStyle w:val="TableContents"/>
              <w:bidi w:val="0"/>
              <w:spacing w:before="0" w:after="0"/>
              <w:ind w:left="0" w:right="0" w:hanging="0"/>
              <w:jc w:val="left"/>
              <w:rPr/>
            </w:pPr>
            <w:r>
              <w:rPr/>
              <w:t> </w:t>
            </w:r>
          </w:p>
        </w:tc>
        <w:tc>
          <w:tcPr>
            <w:tcW w:w="9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right"/>
              <w:rPr/>
            </w:pPr>
            <w:r>
              <w:rPr/>
              <w:t>—</w:t>
            </w:r>
          </w:p>
        </w:tc>
      </w:tr>
      <w:tr>
        <w:trPr/>
        <w:tc>
          <w:tcPr>
            <w:tcW w:w="54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Proceeds from maturities of short-term investments with terms over three months</w:t>
            </w:r>
          </w:p>
        </w:tc>
        <w:tc>
          <w:tcPr>
            <w:tcW w:w="326" w:type="dxa"/>
            <w:tcBorders/>
            <w:shd w:fill="CCEEFF" w:val="clear"/>
            <w:vAlign w:val="center"/>
          </w:tcPr>
          <w:p>
            <w:pPr>
              <w:pStyle w:val="TableContents"/>
              <w:bidi w:val="0"/>
              <w:spacing w:before="0" w:after="0"/>
              <w:ind w:left="0" w:right="0" w:hanging="0"/>
              <w:jc w:val="left"/>
              <w:rPr/>
            </w:pPr>
            <w:r>
              <w:rPr/>
              <w:t> </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13,235,845</w:t>
            </w:r>
          </w:p>
        </w:tc>
        <w:tc>
          <w:tcPr>
            <w:tcW w:w="326" w:type="dxa"/>
            <w:tcBorders/>
            <w:shd w:fill="CCEEFF" w:val="clear"/>
            <w:vAlign w:val="center"/>
          </w:tcPr>
          <w:p>
            <w:pPr>
              <w:pStyle w:val="TableContents"/>
              <w:bidi w:val="0"/>
              <w:spacing w:before="0" w:after="0"/>
              <w:ind w:left="0" w:right="0" w:hanging="0"/>
              <w:jc w:val="left"/>
              <w:rPr/>
            </w:pPr>
            <w:r>
              <w:rPr/>
              <w:t> </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10,175,160</w:t>
            </w:r>
          </w:p>
        </w:tc>
        <w:tc>
          <w:tcPr>
            <w:tcW w:w="326" w:type="dxa"/>
            <w:tcBorders/>
            <w:shd w:fill="CCEEFF" w:val="clear"/>
            <w:vAlign w:val="center"/>
          </w:tcPr>
          <w:p>
            <w:pPr>
              <w:pStyle w:val="TableContents"/>
              <w:bidi w:val="0"/>
              <w:spacing w:before="0" w:after="0"/>
              <w:ind w:left="0" w:right="0" w:hanging="0"/>
              <w:jc w:val="left"/>
              <w:rPr/>
            </w:pPr>
            <w:r>
              <w:rPr/>
              <w:t> </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5,378,510</w:t>
            </w:r>
          </w:p>
        </w:tc>
        <w:tc>
          <w:tcPr>
            <w:tcW w:w="326" w:type="dxa"/>
            <w:tcBorders/>
            <w:shd w:fill="CCEEFF" w:val="clear"/>
            <w:vAlign w:val="center"/>
          </w:tcPr>
          <w:p>
            <w:pPr>
              <w:pStyle w:val="TableContents"/>
              <w:bidi w:val="0"/>
              <w:spacing w:before="0" w:after="0"/>
              <w:ind w:left="0" w:right="0" w:hanging="0"/>
              <w:jc w:val="left"/>
              <w:rPr/>
            </w:pPr>
            <w:r>
              <w:rPr/>
              <w:t>​</w:t>
            </w:r>
          </w:p>
        </w:tc>
        <w:tc>
          <w:tcPr>
            <w:tcW w:w="88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757,547</w:t>
            </w:r>
          </w:p>
        </w:tc>
      </w:tr>
      <w:tr>
        <w:trPr/>
        <w:tc>
          <w:tcPr>
            <w:tcW w:w="5441"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Investment in equity method investees</w:t>
            </w:r>
          </w:p>
        </w:tc>
        <w:tc>
          <w:tcPr>
            <w:tcW w:w="326"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(1,124,429)</w:t>
            </w:r>
          </w:p>
        </w:tc>
        <w:tc>
          <w:tcPr>
            <w:tcW w:w="326"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(705,907)</w:t>
            </w:r>
          </w:p>
        </w:tc>
        <w:tc>
          <w:tcPr>
            <w:tcW w:w="326" w:type="dxa"/>
            <w:tcBorders/>
            <w:vAlign w:val="center"/>
          </w:tcPr>
          <w:p>
            <w:pPr>
              <w:pStyle w:val="TableContents"/>
              <w:bidi w:val="0"/>
              <w:spacing w:before="0" w:after="0"/>
              <w:ind w:left="0" w:right="0" w:hanging="0"/>
              <w:jc w:val="left"/>
              <w:rPr/>
            </w:pPr>
            <w:r>
              <w:rPr/>
              <w:t> </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(444,557)</w:t>
            </w:r>
          </w:p>
        </w:tc>
        <w:tc>
          <w:tcPr>
            <w:tcW w:w="326"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(62,615)</w:t>
            </w:r>
          </w:p>
        </w:tc>
      </w:tr>
      <w:tr>
        <w:trPr/>
        <w:tc>
          <w:tcPr>
            <w:tcW w:w="54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Investment in other equity investments and acquisition of subsidiaries</w:t>
            </w:r>
          </w:p>
        </w:tc>
        <w:tc>
          <w:tcPr>
            <w:tcW w:w="326"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(5,417,138)</w:t>
            </w:r>
          </w:p>
        </w:tc>
        <w:tc>
          <w:tcPr>
            <w:tcW w:w="326"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(4,423,773)</w:t>
            </w:r>
          </w:p>
        </w:tc>
        <w:tc>
          <w:tcPr>
            <w:tcW w:w="326"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(2,387,129)</w:t>
            </w:r>
          </w:p>
        </w:tc>
        <w:tc>
          <w:tcPr>
            <w:tcW w:w="326" w:type="dxa"/>
            <w:tcBorders/>
            <w:shd w:fill="CCEEFF" w:val="clear"/>
            <w:vAlign w:val="center"/>
          </w:tcPr>
          <w:p>
            <w:pPr>
              <w:pStyle w:val="TableContents"/>
              <w:bidi w:val="0"/>
              <w:spacing w:before="0" w:after="0"/>
              <w:ind w:left="0" w:right="0" w:hanging="0"/>
              <w:jc w:val="left"/>
              <w:rPr/>
            </w:pPr>
            <w:r>
              <w:rPr/>
              <w:t>​</w:t>
            </w:r>
          </w:p>
        </w:tc>
        <w:tc>
          <w:tcPr>
            <w:tcW w:w="88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(336,219)</w:t>
            </w:r>
          </w:p>
        </w:tc>
      </w:tr>
      <w:tr>
        <w:trPr/>
        <w:tc>
          <w:tcPr>
            <w:tcW w:w="5441"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Proceeds from disposal of long-term investments, businesses and subsidiaries</w:t>
            </w:r>
          </w:p>
        </w:tc>
        <w:tc>
          <w:tcPr>
            <w:tcW w:w="326"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1,115,457</w:t>
            </w:r>
          </w:p>
        </w:tc>
        <w:tc>
          <w:tcPr>
            <w:tcW w:w="326"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2,411,070</w:t>
            </w:r>
          </w:p>
        </w:tc>
        <w:tc>
          <w:tcPr>
            <w:tcW w:w="326"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152,564</w:t>
            </w:r>
          </w:p>
        </w:tc>
        <w:tc>
          <w:tcPr>
            <w:tcW w:w="326"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21,488</w:t>
            </w:r>
          </w:p>
        </w:tc>
      </w:tr>
      <w:tr>
        <w:trPr/>
        <w:tc>
          <w:tcPr>
            <w:tcW w:w="54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Placement/rollover of matured time deposits</w:t>
            </w:r>
          </w:p>
        </w:tc>
        <w:tc>
          <w:tcPr>
            <w:tcW w:w="326" w:type="dxa"/>
            <w:tcBorders/>
            <w:shd w:fill="CCEEFF" w:val="clear"/>
            <w:vAlign w:val="center"/>
          </w:tcPr>
          <w:p>
            <w:pPr>
              <w:pStyle w:val="TableContents"/>
              <w:bidi w:val="0"/>
              <w:spacing w:before="0" w:after="0"/>
              <w:ind w:left="0" w:right="0" w:hanging="0"/>
              <w:jc w:val="left"/>
              <w:rPr/>
            </w:pPr>
            <w:r>
              <w:rPr/>
              <w:t> </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(81,298,080)</w:t>
            </w:r>
          </w:p>
        </w:tc>
        <w:tc>
          <w:tcPr>
            <w:tcW w:w="326" w:type="dxa"/>
            <w:tcBorders/>
            <w:shd w:fill="CCEEFF" w:val="clear"/>
            <w:vAlign w:val="center"/>
          </w:tcPr>
          <w:p>
            <w:pPr>
              <w:pStyle w:val="TableContents"/>
              <w:bidi w:val="0"/>
              <w:spacing w:before="0" w:after="0"/>
              <w:ind w:left="0" w:right="0" w:hanging="0"/>
              <w:jc w:val="left"/>
              <w:rPr/>
            </w:pPr>
            <w:r>
              <w:rPr/>
              <w:t> </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(98,973,884)</w:t>
            </w:r>
          </w:p>
        </w:tc>
        <w:tc>
          <w:tcPr>
            <w:tcW w:w="326" w:type="dxa"/>
            <w:tcBorders/>
            <w:shd w:fill="CCEEFF" w:val="clear"/>
            <w:vAlign w:val="center"/>
          </w:tcPr>
          <w:p>
            <w:pPr>
              <w:pStyle w:val="TableContents"/>
              <w:bidi w:val="0"/>
              <w:spacing w:before="0" w:after="0"/>
              <w:ind w:left="0" w:right="0" w:hanging="0"/>
              <w:jc w:val="left"/>
              <w:rPr/>
            </w:pPr>
            <w:r>
              <w:rPr/>
              <w:t> </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(124,693,598)</w:t>
            </w:r>
          </w:p>
        </w:tc>
        <w:tc>
          <w:tcPr>
            <w:tcW w:w="326" w:type="dxa"/>
            <w:tcBorders/>
            <w:shd w:fill="CCEEFF" w:val="clear"/>
            <w:vAlign w:val="center"/>
          </w:tcPr>
          <w:p>
            <w:pPr>
              <w:pStyle w:val="TableContents"/>
              <w:bidi w:val="0"/>
              <w:spacing w:before="0" w:after="0"/>
              <w:ind w:left="0" w:right="0" w:hanging="0"/>
              <w:jc w:val="left"/>
              <w:rPr/>
            </w:pPr>
            <w:r>
              <w:rPr/>
              <w:t>​</w:t>
            </w:r>
          </w:p>
        </w:tc>
        <w:tc>
          <w:tcPr>
            <w:tcW w:w="88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(17,562,726)</w:t>
            </w:r>
          </w:p>
        </w:tc>
      </w:tr>
      <w:tr>
        <w:trPr/>
        <w:tc>
          <w:tcPr>
            <w:tcW w:w="5441"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Proceeds from maturities of time deposits</w:t>
            </w:r>
          </w:p>
        </w:tc>
        <w:tc>
          <w:tcPr>
            <w:tcW w:w="326"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81,307,297</w:t>
            </w:r>
          </w:p>
        </w:tc>
        <w:tc>
          <w:tcPr>
            <w:tcW w:w="326"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92,247,046</w:t>
            </w:r>
          </w:p>
        </w:tc>
        <w:tc>
          <w:tcPr>
            <w:tcW w:w="326" w:type="dxa"/>
            <w:tcBorders/>
            <w:vAlign w:val="center"/>
          </w:tcPr>
          <w:p>
            <w:pPr>
              <w:pStyle w:val="TableContents"/>
              <w:bidi w:val="0"/>
              <w:spacing w:before="0" w:after="0"/>
              <w:ind w:left="0" w:right="0" w:hanging="0"/>
              <w:jc w:val="left"/>
              <w:rPr/>
            </w:pPr>
            <w:r>
              <w:rPr/>
              <w:t> </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111,417,969</w:t>
            </w:r>
          </w:p>
        </w:tc>
        <w:tc>
          <w:tcPr>
            <w:tcW w:w="326"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15,692,893</w:t>
            </w:r>
          </w:p>
        </w:tc>
      </w:tr>
      <w:tr>
        <w:trPr/>
        <w:tc>
          <w:tcPr>
            <w:tcW w:w="54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Change in other long-term assets</w:t>
            </w:r>
          </w:p>
        </w:tc>
        <w:tc>
          <w:tcPr>
            <w:tcW w:w="326" w:type="dxa"/>
            <w:tcBorders/>
            <w:shd w:fill="CCEEFF" w:val="clear"/>
            <w:vAlign w:val="center"/>
          </w:tcPr>
          <w:p>
            <w:pPr>
              <w:pStyle w:val="TableContents"/>
              <w:bidi w:val="0"/>
              <w:spacing w:before="0" w:after="0"/>
              <w:ind w:left="0" w:right="0" w:hanging="0"/>
              <w:jc w:val="left"/>
              <w:rPr/>
            </w:pPr>
            <w:r>
              <w:rPr/>
              <w:t> </w:t>
            </w:r>
          </w:p>
        </w:tc>
        <w:tc>
          <w:tcPr>
            <w:tcW w:w="8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(268,651)</w:t>
            </w:r>
          </w:p>
        </w:tc>
        <w:tc>
          <w:tcPr>
            <w:tcW w:w="326" w:type="dxa"/>
            <w:tcBorders/>
            <w:shd w:fill="CCEEFF" w:val="clear"/>
            <w:vAlign w:val="center"/>
          </w:tcPr>
          <w:p>
            <w:pPr>
              <w:pStyle w:val="TableContents"/>
              <w:bidi w:val="0"/>
              <w:spacing w:before="0" w:after="0"/>
              <w:ind w:left="0" w:right="0" w:hanging="0"/>
              <w:jc w:val="left"/>
              <w:rPr/>
            </w:pPr>
            <w:r>
              <w:rPr/>
              <w:t> </w:t>
            </w:r>
          </w:p>
        </w:tc>
        <w:tc>
          <w:tcPr>
            <w:tcW w:w="8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(323,779)</w:t>
            </w:r>
          </w:p>
        </w:tc>
        <w:tc>
          <w:tcPr>
            <w:tcW w:w="326" w:type="dxa"/>
            <w:tcBorders/>
            <w:shd w:fill="CCEEFF" w:val="clear"/>
            <w:vAlign w:val="center"/>
          </w:tcPr>
          <w:p>
            <w:pPr>
              <w:pStyle w:val="TableContents"/>
              <w:bidi w:val="0"/>
              <w:spacing w:before="0" w:after="0"/>
              <w:ind w:left="0" w:right="0" w:hanging="0"/>
              <w:jc w:val="left"/>
              <w:rPr/>
            </w:pPr>
            <w:r>
              <w:rPr/>
              <w:t> </w:t>
            </w:r>
          </w:p>
        </w:tc>
        <w:tc>
          <w:tcPr>
            <w:tcW w:w="9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(423,928)</w:t>
            </w:r>
          </w:p>
        </w:tc>
        <w:tc>
          <w:tcPr>
            <w:tcW w:w="326" w:type="dxa"/>
            <w:tcBorders/>
            <w:shd w:fill="CCEEFF" w:val="clear"/>
            <w:vAlign w:val="center"/>
          </w:tcPr>
          <w:p>
            <w:pPr>
              <w:pStyle w:val="TableContents"/>
              <w:bidi w:val="0"/>
              <w:spacing w:before="0" w:after="0"/>
              <w:ind w:left="0" w:right="0" w:hanging="0"/>
              <w:jc w:val="left"/>
              <w:rPr/>
            </w:pPr>
            <w:r>
              <w:rPr/>
              <w:t>​</w:t>
            </w:r>
          </w:p>
        </w:tc>
        <w:tc>
          <w:tcPr>
            <w:tcW w:w="8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(59,709)</w:t>
            </w:r>
          </w:p>
        </w:tc>
      </w:tr>
      <w:tr>
        <w:trPr/>
        <w:tc>
          <w:tcPr>
            <w:tcW w:w="5441"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cash used in investing activities</w:t>
            </w:r>
          </w:p>
        </w:tc>
        <w:tc>
          <w:tcPr>
            <w:tcW w:w="326" w:type="dxa"/>
            <w:tcBorders/>
            <w:vAlign w:val="center"/>
          </w:tcPr>
          <w:p>
            <w:pPr>
              <w:pStyle w:val="TableContents"/>
              <w:bidi w:val="0"/>
              <w:spacing w:before="0" w:after="0"/>
              <w:ind w:left="0" w:right="0" w:hanging="0"/>
              <w:jc w:val="left"/>
              <w:rPr/>
            </w:pPr>
            <w:r>
              <w:rPr/>
              <w:t> </w:t>
            </w:r>
          </w:p>
        </w:tc>
        <w:tc>
          <w:tcPr>
            <w:tcW w:w="8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(7,078,294)</w:t>
            </w:r>
          </w:p>
        </w:tc>
        <w:tc>
          <w:tcPr>
            <w:tcW w:w="326" w:type="dxa"/>
            <w:tcBorders/>
            <w:vAlign w:val="center"/>
          </w:tcPr>
          <w:p>
            <w:pPr>
              <w:pStyle w:val="TableContents"/>
              <w:bidi w:val="0"/>
              <w:spacing w:before="0" w:after="0"/>
              <w:ind w:left="0" w:right="0" w:hanging="0"/>
              <w:jc w:val="left"/>
              <w:rPr/>
            </w:pPr>
            <w:r>
              <w:rPr/>
              <w:t> </w:t>
            </w:r>
          </w:p>
        </w:tc>
        <w:tc>
          <w:tcPr>
            <w:tcW w:w="8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(7,369,727)</w:t>
            </w:r>
          </w:p>
        </w:tc>
        <w:tc>
          <w:tcPr>
            <w:tcW w:w="326" w:type="dxa"/>
            <w:tcBorders/>
            <w:vAlign w:val="center"/>
          </w:tcPr>
          <w:p>
            <w:pPr>
              <w:pStyle w:val="TableContents"/>
              <w:bidi w:val="0"/>
              <w:spacing w:before="0" w:after="0"/>
              <w:ind w:left="0" w:right="0" w:hanging="0"/>
              <w:jc w:val="left"/>
              <w:rPr/>
            </w:pPr>
            <w:r>
              <w:rPr/>
              <w:t> </w:t>
            </w:r>
          </w:p>
        </w:tc>
        <w:tc>
          <w:tcPr>
            <w:tcW w:w="9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(17,043,431)</w:t>
            </w:r>
          </w:p>
        </w:tc>
        <w:tc>
          <w:tcPr>
            <w:tcW w:w="326" w:type="dxa"/>
            <w:tcBorders/>
            <w:vAlign w:val="center"/>
          </w:tcPr>
          <w:p>
            <w:pPr>
              <w:pStyle w:val="TableContents"/>
              <w:bidi w:val="0"/>
              <w:spacing w:before="0" w:after="0"/>
              <w:ind w:left="0" w:right="0" w:hanging="0"/>
              <w:jc w:val="left"/>
              <w:rPr/>
            </w:pPr>
            <w:r>
              <w:rPr/>
              <w:t>​</w:t>
            </w:r>
          </w:p>
        </w:tc>
        <w:tc>
          <w:tcPr>
            <w:tcW w:w="8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(2,400,517)</w:t>
            </w:r>
          </w:p>
        </w:tc>
      </w:tr>
      <w:tr>
        <w:trPr/>
        <w:tc>
          <w:tcPr>
            <w:tcW w:w="54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83" w:type="dxa"/>
            <w:tcBorders/>
            <w:shd w:fill="CCEEFF" w:val="clear"/>
            <w:vAlign w:val="center"/>
          </w:tcPr>
          <w:p>
            <w:pPr>
              <w:pStyle w:val="TableContents"/>
              <w:bidi w:val="0"/>
              <w:spacing w:before="0" w:after="0"/>
              <w:ind w:left="0" w:right="0" w:hanging="0"/>
              <w:jc w:val="right"/>
              <w:rPr/>
            </w:pPr>
            <w:r>
              <w:rPr/>
              <w:t>​</w:t>
            </w:r>
          </w:p>
        </w:tc>
      </w:tr>
      <w:tr>
        <w:trPr/>
        <w:tc>
          <w:tcPr>
            <w:tcW w:w="5441" w:type="dxa"/>
            <w:tcBorders/>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Cash flows from financing activities:</w:t>
            </w:r>
          </w:p>
        </w:tc>
        <w:tc>
          <w:tcPr>
            <w:tcW w:w="326"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left"/>
              <w:rPr/>
            </w:pPr>
            <w:r>
              <w:rPr/>
              <w:t>​</w:t>
            </w:r>
          </w:p>
        </w:tc>
      </w:tr>
      <w:tr>
        <w:trPr/>
        <w:tc>
          <w:tcPr>
            <w:tcW w:w="54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changes from short-term loans with terms of three months or less</w:t>
            </w:r>
          </w:p>
        </w:tc>
        <w:tc>
          <w:tcPr>
            <w:tcW w:w="326"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(442,207)</w:t>
            </w:r>
          </w:p>
        </w:tc>
        <w:tc>
          <w:tcPr>
            <w:tcW w:w="326"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(1,274,043)</w:t>
            </w:r>
          </w:p>
        </w:tc>
        <w:tc>
          <w:tcPr>
            <w:tcW w:w="326"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(13,654,704)</w:t>
            </w:r>
          </w:p>
        </w:tc>
        <w:tc>
          <w:tcPr>
            <w:tcW w:w="326" w:type="dxa"/>
            <w:tcBorders/>
            <w:shd w:fill="CCEEFF" w:val="clear"/>
            <w:vAlign w:val="center"/>
          </w:tcPr>
          <w:p>
            <w:pPr>
              <w:pStyle w:val="TableContents"/>
              <w:bidi w:val="0"/>
              <w:spacing w:before="0" w:after="0"/>
              <w:ind w:left="0" w:right="0" w:hanging="0"/>
              <w:jc w:val="left"/>
              <w:rPr/>
            </w:pPr>
            <w:r>
              <w:rPr/>
              <w:t>​</w:t>
            </w:r>
          </w:p>
        </w:tc>
        <w:tc>
          <w:tcPr>
            <w:tcW w:w="88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(1,923,225)</w:t>
            </w:r>
          </w:p>
        </w:tc>
      </w:tr>
      <w:tr>
        <w:trPr/>
        <w:tc>
          <w:tcPr>
            <w:tcW w:w="5441"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Proceed of loans with terms over three months</w:t>
            </w:r>
          </w:p>
        </w:tc>
        <w:tc>
          <w:tcPr>
            <w:tcW w:w="326"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4,447,586</w:t>
            </w:r>
          </w:p>
        </w:tc>
        <w:tc>
          <w:tcPr>
            <w:tcW w:w="326"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6,392,695</w:t>
            </w:r>
          </w:p>
        </w:tc>
        <w:tc>
          <w:tcPr>
            <w:tcW w:w="326" w:type="dxa"/>
            <w:tcBorders/>
            <w:vAlign w:val="center"/>
          </w:tcPr>
          <w:p>
            <w:pPr>
              <w:pStyle w:val="TableContents"/>
              <w:bidi w:val="0"/>
              <w:spacing w:before="0" w:after="0"/>
              <w:ind w:left="0" w:right="0" w:hanging="0"/>
              <w:jc w:val="left"/>
              <w:rPr/>
            </w:pPr>
            <w:r>
              <w:rPr/>
              <w:t> </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13,569,160</w:t>
            </w:r>
          </w:p>
        </w:tc>
        <w:tc>
          <w:tcPr>
            <w:tcW w:w="326"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1,911,176</w:t>
            </w:r>
          </w:p>
        </w:tc>
      </w:tr>
      <w:tr>
        <w:trPr/>
        <w:tc>
          <w:tcPr>
            <w:tcW w:w="54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Payment of loans with terms over three months</w:t>
            </w:r>
          </w:p>
        </w:tc>
        <w:tc>
          <w:tcPr>
            <w:tcW w:w="326"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(2,297,135)</w:t>
            </w:r>
          </w:p>
        </w:tc>
        <w:tc>
          <w:tcPr>
            <w:tcW w:w="326"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(273,639)</w:t>
            </w:r>
          </w:p>
        </w:tc>
        <w:tc>
          <w:tcPr>
            <w:tcW w:w="326"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(8,219,472)</w:t>
            </w:r>
          </w:p>
        </w:tc>
        <w:tc>
          <w:tcPr>
            <w:tcW w:w="326" w:type="dxa"/>
            <w:tcBorders/>
            <w:shd w:fill="CCEEFF" w:val="clear"/>
            <w:vAlign w:val="center"/>
          </w:tcPr>
          <w:p>
            <w:pPr>
              <w:pStyle w:val="TableContents"/>
              <w:bidi w:val="0"/>
              <w:spacing w:before="0" w:after="0"/>
              <w:ind w:left="0" w:right="0" w:hanging="0"/>
              <w:jc w:val="left"/>
              <w:rPr/>
            </w:pPr>
            <w:r>
              <w:rPr/>
              <w:t>​</w:t>
            </w:r>
          </w:p>
        </w:tc>
        <w:tc>
          <w:tcPr>
            <w:tcW w:w="88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(1,157,688)</w:t>
            </w:r>
          </w:p>
        </w:tc>
      </w:tr>
      <w:tr>
        <w:trPr/>
        <w:tc>
          <w:tcPr>
            <w:tcW w:w="5441"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Dividends paid to shareholders</w:t>
            </w:r>
          </w:p>
        </w:tc>
        <w:tc>
          <w:tcPr>
            <w:tcW w:w="326"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(3,508,377)</w:t>
            </w:r>
          </w:p>
        </w:tc>
        <w:tc>
          <w:tcPr>
            <w:tcW w:w="326"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(6,723,667)</w:t>
            </w:r>
          </w:p>
        </w:tc>
        <w:tc>
          <w:tcPr>
            <w:tcW w:w="326" w:type="dxa"/>
            <w:tcBorders/>
            <w:vAlign w:val="center"/>
          </w:tcPr>
          <w:p>
            <w:pPr>
              <w:pStyle w:val="TableContents"/>
              <w:bidi w:val="0"/>
              <w:spacing w:before="0" w:after="0"/>
              <w:ind w:left="0" w:right="0" w:hanging="0"/>
              <w:jc w:val="left"/>
              <w:rPr/>
            </w:pPr>
            <w:r>
              <w:rPr/>
              <w:t> </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(8,013,903)</w:t>
            </w:r>
          </w:p>
        </w:tc>
        <w:tc>
          <w:tcPr>
            <w:tcW w:w="326"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(1,128,735)</w:t>
            </w:r>
          </w:p>
        </w:tc>
      </w:tr>
      <w:tr>
        <w:trPr/>
        <w:tc>
          <w:tcPr>
            <w:tcW w:w="54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amounts paid for NetEase’s issuance of shares in Hong Kong</w:t>
            </w:r>
          </w:p>
        </w:tc>
        <w:tc>
          <w:tcPr>
            <w:tcW w:w="326"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(13,800)</w:t>
            </w:r>
          </w:p>
        </w:tc>
        <w:tc>
          <w:tcPr>
            <w:tcW w:w="326"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883" w:type="dxa"/>
            <w:tcBorders/>
            <w:shd w:fill="CCEEFF" w:val="clear"/>
            <w:vAlign w:val="center"/>
          </w:tcPr>
          <w:p>
            <w:pPr>
              <w:pStyle w:val="TableContents"/>
              <w:bidi w:val="0"/>
              <w:spacing w:before="0" w:after="0"/>
              <w:ind w:left="0" w:right="0" w:hanging="0"/>
              <w:jc w:val="right"/>
              <w:rPr/>
            </w:pPr>
            <w:r>
              <w:rPr/>
              <w:t>—</w:t>
            </w:r>
          </w:p>
        </w:tc>
      </w:tr>
      <w:tr>
        <w:trPr/>
        <w:tc>
          <w:tcPr>
            <w:tcW w:w="5441"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amounts received/ (paid) related to capital contribution from or repurchase of noncontrolling interests and redeemable noncontrolling interests shareholders</w:t>
            </w:r>
          </w:p>
        </w:tc>
        <w:tc>
          <w:tcPr>
            <w:tcW w:w="326"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2,870,147</w:t>
            </w:r>
          </w:p>
        </w:tc>
        <w:tc>
          <w:tcPr>
            <w:tcW w:w="326"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(30,921)</w:t>
            </w:r>
          </w:p>
        </w:tc>
        <w:tc>
          <w:tcPr>
            <w:tcW w:w="326" w:type="dxa"/>
            <w:tcBorders/>
            <w:vAlign w:val="center"/>
          </w:tcPr>
          <w:p>
            <w:pPr>
              <w:pStyle w:val="TableContents"/>
              <w:bidi w:val="0"/>
              <w:spacing w:before="0" w:after="0"/>
              <w:ind w:left="0" w:right="0" w:hanging="0"/>
              <w:jc w:val="left"/>
              <w:rPr/>
            </w:pPr>
            <w:r>
              <w:rPr/>
              <w:t> </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86,159</w:t>
            </w:r>
          </w:p>
        </w:tc>
        <w:tc>
          <w:tcPr>
            <w:tcW w:w="326"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12,136</w:t>
            </w:r>
          </w:p>
        </w:tc>
      </w:tr>
      <w:tr>
        <w:trPr/>
        <w:tc>
          <w:tcPr>
            <w:tcW w:w="54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Dividends paid to noncontrolling interest shareholders</w:t>
            </w:r>
          </w:p>
        </w:tc>
        <w:tc>
          <w:tcPr>
            <w:tcW w:w="326"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(731,250)</w:t>
            </w:r>
          </w:p>
        </w:tc>
        <w:tc>
          <w:tcPr>
            <w:tcW w:w="326"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83" w:type="dxa"/>
            <w:tcBorders/>
            <w:shd w:fill="CCEEFF" w:val="clear"/>
            <w:vAlign w:val="center"/>
          </w:tcPr>
          <w:p>
            <w:pPr>
              <w:pStyle w:val="TableContents"/>
              <w:bidi w:val="0"/>
              <w:spacing w:before="0" w:after="0"/>
              <w:ind w:left="0" w:right="0" w:hanging="0"/>
              <w:jc w:val="right"/>
              <w:rPr/>
            </w:pPr>
            <w:r>
              <w:rPr/>
              <w:t>—</w:t>
            </w:r>
          </w:p>
        </w:tc>
      </w:tr>
      <w:tr>
        <w:trPr/>
        <w:tc>
          <w:tcPr>
            <w:tcW w:w="5441"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Cash paid for repurchase of NetEase’s ADSs/purchase of subsidiaries’ ADSs and shares</w:t>
            </w:r>
          </w:p>
        </w:tc>
        <w:tc>
          <w:tcPr>
            <w:tcW w:w="326" w:type="dxa"/>
            <w:tcBorders/>
            <w:vAlign w:val="center"/>
          </w:tcPr>
          <w:p>
            <w:pPr>
              <w:pStyle w:val="TableContents"/>
              <w:bidi w:val="0"/>
              <w:spacing w:before="0" w:after="0"/>
              <w:ind w:left="0" w:right="0" w:hanging="0"/>
              <w:jc w:val="left"/>
              <w:rPr/>
            </w:pPr>
            <w:r>
              <w:rPr/>
              <w:t> </w:t>
            </w:r>
          </w:p>
        </w:tc>
        <w:tc>
          <w:tcPr>
            <w:tcW w:w="8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(12,910,533)</w:t>
            </w:r>
          </w:p>
        </w:tc>
        <w:tc>
          <w:tcPr>
            <w:tcW w:w="326" w:type="dxa"/>
            <w:tcBorders/>
            <w:vAlign w:val="center"/>
          </w:tcPr>
          <w:p>
            <w:pPr>
              <w:pStyle w:val="TableContents"/>
              <w:bidi w:val="0"/>
              <w:spacing w:before="0" w:after="0"/>
              <w:ind w:left="0" w:right="0" w:hanging="0"/>
              <w:jc w:val="left"/>
              <w:rPr/>
            </w:pPr>
            <w:r>
              <w:rPr/>
              <w:t> </w:t>
            </w:r>
          </w:p>
        </w:tc>
        <w:tc>
          <w:tcPr>
            <w:tcW w:w="8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(8,328,124)</w:t>
            </w:r>
          </w:p>
        </w:tc>
        <w:tc>
          <w:tcPr>
            <w:tcW w:w="326" w:type="dxa"/>
            <w:tcBorders/>
            <w:vAlign w:val="center"/>
          </w:tcPr>
          <w:p>
            <w:pPr>
              <w:pStyle w:val="TableContents"/>
              <w:bidi w:val="0"/>
              <w:spacing w:before="0" w:after="0"/>
              <w:ind w:left="0" w:right="0" w:hanging="0"/>
              <w:jc w:val="left"/>
              <w:rPr/>
            </w:pPr>
            <w:r>
              <w:rPr/>
              <w:t> </w:t>
            </w:r>
          </w:p>
        </w:tc>
        <w:tc>
          <w:tcPr>
            <w:tcW w:w="9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(5,234,294)</w:t>
            </w:r>
          </w:p>
        </w:tc>
        <w:tc>
          <w:tcPr>
            <w:tcW w:w="326" w:type="dxa"/>
            <w:tcBorders/>
            <w:vAlign w:val="center"/>
          </w:tcPr>
          <w:p>
            <w:pPr>
              <w:pStyle w:val="TableContents"/>
              <w:bidi w:val="0"/>
              <w:spacing w:before="0" w:after="0"/>
              <w:ind w:left="0" w:right="0" w:hanging="0"/>
              <w:jc w:val="left"/>
              <w:rPr/>
            </w:pPr>
            <w:r>
              <w:rPr/>
              <w:t>​</w:t>
            </w:r>
          </w:p>
        </w:tc>
        <w:tc>
          <w:tcPr>
            <w:tcW w:w="8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(737,235)</w:t>
            </w:r>
          </w:p>
        </w:tc>
      </w:tr>
      <w:tr>
        <w:trPr/>
        <w:tc>
          <w:tcPr>
            <w:tcW w:w="54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cash used in financing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8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(12,585,569)</w:t>
            </w:r>
          </w:p>
        </w:tc>
        <w:tc>
          <w:tcPr>
            <w:tcW w:w="326" w:type="dxa"/>
            <w:tcBorders/>
            <w:shd w:fill="CCEEFF" w:val="clear"/>
            <w:vAlign w:val="center"/>
          </w:tcPr>
          <w:p>
            <w:pPr>
              <w:pStyle w:val="TableContents"/>
              <w:bidi w:val="0"/>
              <w:spacing w:before="0" w:after="0"/>
              <w:ind w:left="0" w:right="0" w:hanging="0"/>
              <w:jc w:val="left"/>
              <w:rPr/>
            </w:pPr>
            <w:r>
              <w:rPr/>
              <w:t> </w:t>
            </w:r>
          </w:p>
        </w:tc>
        <w:tc>
          <w:tcPr>
            <w:tcW w:w="8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(10,237,699)</w:t>
            </w:r>
          </w:p>
        </w:tc>
        <w:tc>
          <w:tcPr>
            <w:tcW w:w="326" w:type="dxa"/>
            <w:tcBorders/>
            <w:shd w:fill="CCEEFF" w:val="clear"/>
            <w:vAlign w:val="center"/>
          </w:tcPr>
          <w:p>
            <w:pPr>
              <w:pStyle w:val="TableContents"/>
              <w:bidi w:val="0"/>
              <w:spacing w:before="0" w:after="0"/>
              <w:ind w:left="0" w:right="0" w:hanging="0"/>
              <w:jc w:val="left"/>
              <w:rPr/>
            </w:pPr>
            <w:r>
              <w:rPr/>
              <w:t> </w:t>
            </w:r>
          </w:p>
        </w:tc>
        <w:tc>
          <w:tcPr>
            <w:tcW w:w="9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(21,467,054)</w:t>
            </w:r>
          </w:p>
        </w:tc>
        <w:tc>
          <w:tcPr>
            <w:tcW w:w="326" w:type="dxa"/>
            <w:tcBorders/>
            <w:shd w:fill="CCEEFF" w:val="clear"/>
            <w:vAlign w:val="center"/>
          </w:tcPr>
          <w:p>
            <w:pPr>
              <w:pStyle w:val="TableContents"/>
              <w:bidi w:val="0"/>
              <w:spacing w:before="0" w:after="0"/>
              <w:ind w:left="0" w:right="0" w:hanging="0"/>
              <w:jc w:val="left"/>
              <w:rPr/>
            </w:pPr>
            <w:r>
              <w:rPr/>
              <w:t>​</w:t>
            </w:r>
          </w:p>
        </w:tc>
        <w:tc>
          <w:tcPr>
            <w:tcW w:w="8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(3,023,571)</w:t>
            </w:r>
          </w:p>
        </w:tc>
      </w:tr>
      <w:tr>
        <w:trPr/>
        <w:tc>
          <w:tcPr>
            <w:tcW w:w="54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right"/>
              <w:rPr/>
            </w:pPr>
            <w:r>
              <w:rPr/>
              <w:t>​</w:t>
            </w:r>
          </w:p>
        </w:tc>
      </w:tr>
      <w:tr>
        <w:trPr/>
        <w:tc>
          <w:tcPr>
            <w:tcW w:w="544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Effect of exchange rate changes on cash, cash equivalents and restricted cash held in foreign currencies</w:t>
            </w:r>
          </w:p>
        </w:tc>
        <w:tc>
          <w:tcPr>
            <w:tcW w:w="326" w:type="dxa"/>
            <w:tcBorders/>
            <w:shd w:fill="CCEEFF" w:val="clear"/>
            <w:vAlign w:val="center"/>
          </w:tcPr>
          <w:p>
            <w:pPr>
              <w:pStyle w:val="TableContents"/>
              <w:bidi w:val="0"/>
              <w:spacing w:before="0" w:after="0"/>
              <w:ind w:left="0" w:right="0" w:hanging="0"/>
              <w:jc w:val="left"/>
              <w:rPr/>
            </w:pPr>
            <w:r>
              <w:rPr/>
              <w:t> </w:t>
            </w:r>
          </w:p>
        </w:tc>
        <w:tc>
          <w:tcPr>
            <w:tcW w:w="8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(55,354)</w:t>
            </w:r>
          </w:p>
        </w:tc>
        <w:tc>
          <w:tcPr>
            <w:tcW w:w="326" w:type="dxa"/>
            <w:tcBorders/>
            <w:shd w:fill="CCEEFF" w:val="clear"/>
            <w:vAlign w:val="center"/>
          </w:tcPr>
          <w:p>
            <w:pPr>
              <w:pStyle w:val="TableContents"/>
              <w:bidi w:val="0"/>
              <w:spacing w:before="0" w:after="0"/>
              <w:ind w:left="0" w:right="0" w:hanging="0"/>
              <w:jc w:val="left"/>
              <w:rPr/>
            </w:pPr>
            <w:r>
              <w:rPr/>
              <w:t> </w:t>
            </w:r>
          </w:p>
        </w:tc>
        <w:tc>
          <w:tcPr>
            <w:tcW w:w="8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110,403</w:t>
            </w:r>
          </w:p>
        </w:tc>
        <w:tc>
          <w:tcPr>
            <w:tcW w:w="326" w:type="dxa"/>
            <w:tcBorders/>
            <w:shd w:fill="CCEEFF" w:val="clear"/>
            <w:vAlign w:val="center"/>
          </w:tcPr>
          <w:p>
            <w:pPr>
              <w:pStyle w:val="TableContents"/>
              <w:bidi w:val="0"/>
              <w:spacing w:before="0" w:after="0"/>
              <w:ind w:left="0" w:right="0" w:hanging="0"/>
              <w:jc w:val="left"/>
              <w:rPr/>
            </w:pPr>
            <w:r>
              <w:rPr/>
              <w:t> </w:t>
            </w:r>
          </w:p>
        </w:tc>
        <w:tc>
          <w:tcPr>
            <w:tcW w:w="9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(202,457)</w:t>
            </w:r>
          </w:p>
        </w:tc>
        <w:tc>
          <w:tcPr>
            <w:tcW w:w="326" w:type="dxa"/>
            <w:tcBorders/>
            <w:shd w:fill="CCEEFF" w:val="clear"/>
            <w:vAlign w:val="center"/>
          </w:tcPr>
          <w:p>
            <w:pPr>
              <w:pStyle w:val="TableContents"/>
              <w:bidi w:val="0"/>
              <w:spacing w:before="0" w:after="0"/>
              <w:ind w:left="0" w:right="0" w:hanging="0"/>
              <w:jc w:val="left"/>
              <w:rPr/>
            </w:pPr>
            <w:r>
              <w:rPr/>
              <w:t>​</w:t>
            </w:r>
          </w:p>
        </w:tc>
        <w:tc>
          <w:tcPr>
            <w:tcW w:w="8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(28,516)</w:t>
            </w:r>
          </w:p>
        </w:tc>
      </w:tr>
      <w:tr>
        <w:trPr/>
        <w:tc>
          <w:tcPr>
            <w:tcW w:w="54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right"/>
              <w:rPr/>
            </w:pPr>
            <w:r>
              <w:rPr/>
              <w:t>​</w:t>
            </w:r>
          </w:p>
        </w:tc>
      </w:tr>
      <w:tr>
        <w:trPr/>
        <w:tc>
          <w:tcPr>
            <w:tcW w:w="544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Net increase/ (decrease) in cash, cash equivalents and restricted cash</w:t>
            </w:r>
          </w:p>
        </w:tc>
        <w:tc>
          <w:tcPr>
            <w:tcW w:w="326" w:type="dxa"/>
            <w:tcBorders/>
            <w:shd w:fill="CCEEFF" w:val="clear"/>
            <w:vAlign w:val="center"/>
          </w:tcPr>
          <w:p>
            <w:pPr>
              <w:pStyle w:val="TableContents"/>
              <w:bidi w:val="0"/>
              <w:spacing w:before="0" w:after="0"/>
              <w:ind w:left="0" w:right="0" w:hanging="0"/>
              <w:jc w:val="left"/>
              <w:rPr/>
            </w:pPr>
            <w:r>
              <w:rPr/>
              <w:t> </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5,207,510</w:t>
            </w:r>
          </w:p>
        </w:tc>
        <w:tc>
          <w:tcPr>
            <w:tcW w:w="326"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10,212,210</w:t>
            </w:r>
          </w:p>
        </w:tc>
        <w:tc>
          <w:tcPr>
            <w:tcW w:w="326"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(3,381,667)</w:t>
            </w:r>
          </w:p>
        </w:tc>
        <w:tc>
          <w:tcPr>
            <w:tcW w:w="326" w:type="dxa"/>
            <w:tcBorders/>
            <w:shd w:fill="CCEEFF" w:val="clear"/>
            <w:vAlign w:val="center"/>
          </w:tcPr>
          <w:p>
            <w:pPr>
              <w:pStyle w:val="TableContents"/>
              <w:bidi w:val="0"/>
              <w:spacing w:before="0" w:after="0"/>
              <w:ind w:left="0" w:right="0" w:hanging="0"/>
              <w:jc w:val="left"/>
              <w:rPr/>
            </w:pPr>
            <w:r>
              <w:rPr/>
              <w:t>​</w:t>
            </w:r>
          </w:p>
        </w:tc>
        <w:tc>
          <w:tcPr>
            <w:tcW w:w="88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(476,298)</w:t>
            </w:r>
          </w:p>
        </w:tc>
      </w:tr>
      <w:tr>
        <w:trPr/>
        <w:tc>
          <w:tcPr>
            <w:tcW w:w="5441" w:type="dxa"/>
            <w:tcBorders/>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Cash, cash equivalents and restricted cash, at the beginning of the year</w:t>
            </w:r>
          </w:p>
        </w:tc>
        <w:tc>
          <w:tcPr>
            <w:tcW w:w="326" w:type="dxa"/>
            <w:tcBorders/>
            <w:vAlign w:val="center"/>
          </w:tcPr>
          <w:p>
            <w:pPr>
              <w:pStyle w:val="TableContents"/>
              <w:bidi w:val="0"/>
              <w:spacing w:before="0" w:after="0"/>
              <w:ind w:left="0" w:right="0" w:hanging="0"/>
              <w:jc w:val="left"/>
              <w:rPr/>
            </w:pPr>
            <w:r>
              <w:rPr/>
              <w:t> </w:t>
            </w:r>
          </w:p>
        </w:tc>
        <w:tc>
          <w:tcPr>
            <w:tcW w:w="8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12,168,605</w:t>
            </w:r>
          </w:p>
        </w:tc>
        <w:tc>
          <w:tcPr>
            <w:tcW w:w="326" w:type="dxa"/>
            <w:tcBorders/>
            <w:vAlign w:val="center"/>
          </w:tcPr>
          <w:p>
            <w:pPr>
              <w:pStyle w:val="TableContents"/>
              <w:bidi w:val="0"/>
              <w:spacing w:before="0" w:after="0"/>
              <w:ind w:left="0" w:right="0" w:hanging="0"/>
              <w:jc w:val="left"/>
              <w:rPr/>
            </w:pPr>
            <w:r>
              <w:rPr/>
              <w:t>​</w:t>
            </w:r>
          </w:p>
        </w:tc>
        <w:tc>
          <w:tcPr>
            <w:tcW w:w="8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17,376,115</w:t>
            </w:r>
          </w:p>
        </w:tc>
        <w:tc>
          <w:tcPr>
            <w:tcW w:w="326" w:type="dxa"/>
            <w:tcBorders/>
            <w:vAlign w:val="center"/>
          </w:tcPr>
          <w:p>
            <w:pPr>
              <w:pStyle w:val="TableContents"/>
              <w:bidi w:val="0"/>
              <w:spacing w:before="0" w:after="0"/>
              <w:ind w:left="0" w:right="0" w:hanging="0"/>
              <w:jc w:val="left"/>
              <w:rPr/>
            </w:pPr>
            <w:r>
              <w:rPr/>
              <w:t>​</w:t>
            </w:r>
          </w:p>
        </w:tc>
        <w:tc>
          <w:tcPr>
            <w:tcW w:w="9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27,588,325</w:t>
            </w:r>
          </w:p>
        </w:tc>
        <w:tc>
          <w:tcPr>
            <w:tcW w:w="326" w:type="dxa"/>
            <w:tcBorders/>
            <w:vAlign w:val="center"/>
          </w:tcPr>
          <w:p>
            <w:pPr>
              <w:pStyle w:val="TableContents"/>
              <w:bidi w:val="0"/>
              <w:spacing w:before="0" w:after="0"/>
              <w:ind w:left="0" w:right="0" w:hanging="0"/>
              <w:jc w:val="left"/>
              <w:rPr/>
            </w:pPr>
            <w:r>
              <w:rPr/>
              <w:t>​</w:t>
            </w:r>
          </w:p>
        </w:tc>
        <w:tc>
          <w:tcPr>
            <w:tcW w:w="8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3,885,734</w:t>
            </w:r>
          </w:p>
        </w:tc>
      </w:tr>
      <w:tr>
        <w:trPr/>
        <w:tc>
          <w:tcPr>
            <w:tcW w:w="544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Cash, cash equivalents and restricted cash, at end of the year</w:t>
            </w:r>
          </w:p>
        </w:tc>
        <w:tc>
          <w:tcPr>
            <w:tcW w:w="326" w:type="dxa"/>
            <w:tcBorders/>
            <w:shd w:fill="CCEEFF" w:val="clear"/>
            <w:vAlign w:val="center"/>
          </w:tcPr>
          <w:p>
            <w:pPr>
              <w:pStyle w:val="TableContents"/>
              <w:bidi w:val="0"/>
              <w:spacing w:before="0" w:after="0"/>
              <w:ind w:left="0" w:right="0" w:hanging="0"/>
              <w:jc w:val="left"/>
              <w:rPr/>
            </w:pPr>
            <w:r>
              <w:rPr/>
              <w:t> </w:t>
            </w:r>
          </w:p>
        </w:tc>
        <w:tc>
          <w:tcPr>
            <w:tcW w:w="8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17,376,115</w:t>
            </w:r>
          </w:p>
        </w:tc>
        <w:tc>
          <w:tcPr>
            <w:tcW w:w="326" w:type="dxa"/>
            <w:tcBorders/>
            <w:shd w:fill="CCEEFF" w:val="clear"/>
            <w:vAlign w:val="center"/>
          </w:tcPr>
          <w:p>
            <w:pPr>
              <w:pStyle w:val="TableContents"/>
              <w:bidi w:val="0"/>
              <w:spacing w:before="0" w:after="0"/>
              <w:ind w:left="0" w:right="0" w:hanging="0"/>
              <w:jc w:val="left"/>
              <w:rPr/>
            </w:pPr>
            <w:r>
              <w:rPr/>
              <w:t>​</w:t>
            </w:r>
          </w:p>
        </w:tc>
        <w:tc>
          <w:tcPr>
            <w:tcW w:w="8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27,588,325</w:t>
            </w:r>
          </w:p>
        </w:tc>
        <w:tc>
          <w:tcPr>
            <w:tcW w:w="326" w:type="dxa"/>
            <w:tcBorders/>
            <w:shd w:fill="CCEEFF" w:val="clear"/>
            <w:vAlign w:val="center"/>
          </w:tcPr>
          <w:p>
            <w:pPr>
              <w:pStyle w:val="TableContents"/>
              <w:bidi w:val="0"/>
              <w:spacing w:before="0" w:after="0"/>
              <w:ind w:left="0" w:right="0" w:hanging="0"/>
              <w:jc w:val="left"/>
              <w:rPr/>
            </w:pPr>
            <w:r>
              <w:rPr/>
              <w:t>​</w:t>
            </w:r>
          </w:p>
        </w:tc>
        <w:tc>
          <w:tcPr>
            <w:tcW w:w="9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24,206,658</w:t>
            </w:r>
          </w:p>
        </w:tc>
        <w:tc>
          <w:tcPr>
            <w:tcW w:w="326" w:type="dxa"/>
            <w:tcBorders/>
            <w:shd w:fill="CCEEFF" w:val="clear"/>
            <w:vAlign w:val="center"/>
          </w:tcPr>
          <w:p>
            <w:pPr>
              <w:pStyle w:val="TableContents"/>
              <w:bidi w:val="0"/>
              <w:spacing w:before="0" w:after="0"/>
              <w:ind w:left="0" w:right="0" w:hanging="0"/>
              <w:jc w:val="left"/>
              <w:rPr/>
            </w:pPr>
            <w:r>
              <w:rPr/>
              <w:t>​</w:t>
            </w:r>
          </w:p>
        </w:tc>
        <w:tc>
          <w:tcPr>
            <w:tcW w:w="8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3,409,436</w:t>
            </w:r>
          </w:p>
        </w:tc>
      </w:tr>
      <w:tr>
        <w:trPr/>
        <w:tc>
          <w:tcPr>
            <w:tcW w:w="5441" w:type="dxa"/>
            <w:tcBorders/>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Supplemental disclosures of cash flow information:</w:t>
            </w:r>
          </w:p>
        </w:tc>
        <w:tc>
          <w:tcPr>
            <w:tcW w:w="326"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right"/>
              <w:rPr/>
            </w:pPr>
            <w:r>
              <w:rPr/>
              <w:t>​</w:t>
            </w:r>
          </w:p>
        </w:tc>
      </w:tr>
      <w:tr>
        <w:trPr/>
        <w:tc>
          <w:tcPr>
            <w:tcW w:w="54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Cash paid for income taxes, net</w:t>
            </w:r>
          </w:p>
        </w:tc>
        <w:tc>
          <w:tcPr>
            <w:tcW w:w="326" w:type="dxa"/>
            <w:tcBorders/>
            <w:shd w:fill="CCEEFF" w:val="clear"/>
            <w:vAlign w:val="center"/>
          </w:tcPr>
          <w:p>
            <w:pPr>
              <w:pStyle w:val="TableContents"/>
              <w:bidi w:val="0"/>
              <w:spacing w:before="0" w:after="0"/>
              <w:ind w:left="0" w:right="0" w:hanging="0"/>
              <w:jc w:val="left"/>
              <w:rPr/>
            </w:pPr>
            <w:r>
              <w:rPr/>
              <w:t> </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3,547,299</w:t>
            </w:r>
          </w:p>
        </w:tc>
        <w:tc>
          <w:tcPr>
            <w:tcW w:w="326"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5,092,391</w:t>
            </w:r>
          </w:p>
        </w:tc>
        <w:tc>
          <w:tcPr>
            <w:tcW w:w="326"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4,895,752</w:t>
            </w:r>
          </w:p>
        </w:tc>
        <w:tc>
          <w:tcPr>
            <w:tcW w:w="326" w:type="dxa"/>
            <w:tcBorders/>
            <w:shd w:fill="CCEEFF" w:val="clear"/>
            <w:vAlign w:val="center"/>
          </w:tcPr>
          <w:p>
            <w:pPr>
              <w:pStyle w:val="TableContents"/>
              <w:bidi w:val="0"/>
              <w:spacing w:before="0" w:after="0"/>
              <w:ind w:left="0" w:right="0" w:hanging="0"/>
              <w:jc w:val="left"/>
              <w:rPr/>
            </w:pPr>
            <w:r>
              <w:rPr/>
              <w:t>​</w:t>
            </w:r>
          </w:p>
        </w:tc>
        <w:tc>
          <w:tcPr>
            <w:tcW w:w="88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689,552</w:t>
            </w:r>
          </w:p>
        </w:tc>
      </w:tr>
      <w:tr>
        <w:trPr/>
        <w:tc>
          <w:tcPr>
            <w:tcW w:w="5441"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Cash paid for interest expenses</w:t>
            </w:r>
          </w:p>
        </w:tc>
        <w:tc>
          <w:tcPr>
            <w:tcW w:w="326"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187,628</w:t>
            </w:r>
          </w:p>
        </w:tc>
        <w:tc>
          <w:tcPr>
            <w:tcW w:w="326"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588,381</w:t>
            </w:r>
          </w:p>
        </w:tc>
        <w:tc>
          <w:tcPr>
            <w:tcW w:w="326"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779,872</w:t>
            </w:r>
          </w:p>
        </w:tc>
        <w:tc>
          <w:tcPr>
            <w:tcW w:w="326"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109,843</w:t>
            </w:r>
          </w:p>
        </w:tc>
      </w:tr>
      <w:tr>
        <w:trPr/>
        <w:tc>
          <w:tcPr>
            <w:tcW w:w="544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Supplemental schedule of non-cash investing and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83" w:type="dxa"/>
            <w:tcBorders/>
            <w:shd w:fill="CCEEFF" w:val="clear"/>
            <w:vAlign w:val="center"/>
          </w:tcPr>
          <w:p>
            <w:pPr>
              <w:pStyle w:val="TableContents"/>
              <w:bidi w:val="0"/>
              <w:spacing w:before="0" w:after="0"/>
              <w:ind w:left="0" w:right="0" w:hanging="0"/>
              <w:jc w:val="right"/>
              <w:rPr/>
            </w:pPr>
            <w:r>
              <w:rPr/>
              <w:t>​</w:t>
            </w:r>
          </w:p>
        </w:tc>
      </w:tr>
      <w:tr>
        <w:trPr/>
        <w:tc>
          <w:tcPr>
            <w:tcW w:w="5441"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Fixed asset purchases financed by accounts payable and accrued liabilities</w:t>
            </w:r>
          </w:p>
        </w:tc>
        <w:tc>
          <w:tcPr>
            <w:tcW w:w="326"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698,192</w:t>
            </w:r>
          </w:p>
        </w:tc>
        <w:tc>
          <w:tcPr>
            <w:tcW w:w="326"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689,093</w:t>
            </w:r>
          </w:p>
        </w:tc>
        <w:tc>
          <w:tcPr>
            <w:tcW w:w="326" w:type="dxa"/>
            <w:tcBorders/>
            <w:vAlign w:val="center"/>
          </w:tcPr>
          <w:p>
            <w:pPr>
              <w:pStyle w:val="TableContents"/>
              <w:bidi w:val="0"/>
              <w:spacing w:before="0" w:after="0"/>
              <w:ind w:left="0" w:right="0" w:hanging="0"/>
              <w:jc w:val="left"/>
              <w:rPr/>
            </w:pPr>
            <w:r>
              <w:rPr/>
              <w:t> </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1,026,852</w:t>
            </w:r>
          </w:p>
        </w:tc>
        <w:tc>
          <w:tcPr>
            <w:tcW w:w="326"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144,629</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bookmarkStart w:id="1221" w:name="NotestotheConsolidatedFinancialStatement"/>
      <w:bookmarkEnd w:id="1221"/>
      <w:r>
        <w:rPr>
          <w:rFonts w:ascii="Times New Roman;Times;serif" w:hAnsi="Times New Roman;Times;serif"/>
          <w:b/>
          <w:sz w:val="20"/>
        </w:rPr>
        <w:t>Notes to the Consolidated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(Amounts expressed in Renminbi (“RMB”), unless otherwise stated)</w:t>
      </w:r>
    </w:p>
    <w:p>
      <w:pPr>
        <w:pStyle w:val="Normal"/>
        <w:bidi w:val="0"/>
        <w:spacing w:before="0" w:after="0"/>
        <w:jc w:val="left"/>
        <w:rPr>
          <w:sz w:val="4"/>
          <w:szCs w:val="4"/>
        </w:rPr>
      </w:pPr>
      <w:r>
        <w:rPr>
          <w:sz w:val="4"/>
          <w:szCs w:val="4"/>
        </w:rPr>
      </w:r>
      <w:bookmarkStart w:id="1222" w:name="_Hlk127822491"/>
      <w:bookmarkStart w:id="1223" w:name="_Hlk127822491"/>
      <w:bookmarkEnd w:id="1223"/>
    </w:p>
    <w:tbl>
      <w:tblPr>
        <w:tblW w:w="3752" w:type="dxa"/>
        <w:jc w:val="left"/>
        <w:tblInd w:w="0" w:type="dxa"/>
        <w:tblLayout w:type="fixed"/>
        <w:tblCellMar>
          <w:top w:w="0" w:type="dxa"/>
          <w:left w:w="0" w:type="dxa"/>
          <w:bottom w:w="0" w:type="dxa"/>
          <w:right w:w="0" w:type="dxa"/>
        </w:tblCellMar>
      </w:tblPr>
      <w:tblGrid>
        <w:gridCol w:w="271"/>
        <w:gridCol w:w="3481"/>
      </w:tblGrid>
      <w:tr>
        <w:trPr/>
        <w:tc>
          <w:tcPr>
            <w:tcW w:w="27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w:t>
            </w:r>
          </w:p>
        </w:tc>
        <w:tc>
          <w:tcPr>
            <w:tcW w:w="348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Organization and Nature of Operations</w:t>
            </w:r>
          </w:p>
        </w:tc>
      </w:tr>
    </w:tbl>
    <w:tbl>
      <w:tblPr>
        <w:tblW w:w="1427" w:type="dxa"/>
        <w:jc w:val="left"/>
        <w:tblInd w:w="0" w:type="dxa"/>
        <w:tblLayout w:type="fixed"/>
        <w:tblCellMar>
          <w:top w:w="0" w:type="dxa"/>
          <w:left w:w="0" w:type="dxa"/>
          <w:bottom w:w="0" w:type="dxa"/>
          <w:right w:w="0" w:type="dxa"/>
        </w:tblCellMar>
      </w:tblPr>
      <w:tblGrid>
        <w:gridCol w:w="346"/>
        <w:gridCol w:w="1081"/>
      </w:tblGrid>
      <w:tr>
        <w:trPr/>
        <w:tc>
          <w:tcPr>
            <w:tcW w:w="34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(a)</w:t>
            </w:r>
          </w:p>
        </w:tc>
        <w:tc>
          <w:tcPr>
            <w:tcW w:w="108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The Group</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NetEase.com, Inc. was incorporated in the Cayman Islands on July 6, 1999 and changed its name to “NetEase, Inc.” (“the Company”) with effect from March 29, 2012. The Company completed its initial public offering (“IPO”) in July 2000 in connection with its listing on the Nasdaq National Market (now the Nasdaq Global Select Market) in the United States of America. In June 2020, the Company successfully listed its ordinary shares on the main board of the Hong Kong Stock Exchange.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2023, the Company has wholly-owned and majority-owned subsidiaries incorporated in countries and jurisdictions mainly in the People’s Republic of China (“PRC” or “China”, references to “China” and “PRC” are to the People’s Republic of China, excluding, for the purposes of the financial statements only, Hong Kong, Macau and Taiwan), Hong Kong, Cayman Islands and British Virgin Islands (“BVI”) and other countries. The Company is also the primary beneficiary of a number of variable interest entities (“VIEs”) and consolidates the VIEs for financial reporting. The Company, its subsidiaries and the VIEs are hereinafter collectively referred to as the “Group”.</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October 26, 2019, Youdao, Inc. (“Youdao”), one of the Company’s majority-controlled subsidiaries completed its IPO on the New York Stock Exchange. In February 2021, Youdao completed a follow-on public offering in the New York Stock Exchange. After Youdao’s offerings, the Company continues to control Youdao and consolidates Youdao as its controlling shareholder.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2, 2021, Cloud Village, Inc. (“Cloud Music”), one of the Company’s majority-controlled subsidiaries completed its IPO on the Hong Kong Stock Exchange. After Cloud Music’s offering, the Company continues to control Cloud Music and consolidates Cloud Music as its controlling shareholder.</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major subsidiaries and the VIEs through which the Company conducts its business operations as of December 31, 2023 are described below: </w:t>
      </w:r>
    </w:p>
    <w:p>
      <w:pPr>
        <w:pStyle w:val="TextBody"/>
        <w:bidi w:val="0"/>
        <w:spacing w:before="0" w:after="0"/>
        <w:ind w:left="0" w:right="0" w:hanging="0"/>
        <w:jc w:val="both"/>
        <w:rPr/>
      </w:pPr>
      <w:r>
        <w:rPr/>
        <w:t>​</w:t>
      </w:r>
    </w:p>
    <w:tbl>
      <w:tblPr>
        <w:tblW w:w="8683" w:type="dxa"/>
        <w:jc w:val="left"/>
        <w:tblInd w:w="0" w:type="dxa"/>
        <w:tblLayout w:type="fixed"/>
        <w:tblCellMar>
          <w:top w:w="0" w:type="dxa"/>
          <w:left w:w="0" w:type="dxa"/>
          <w:bottom w:w="0" w:type="dxa"/>
          <w:right w:w="0" w:type="dxa"/>
        </w:tblCellMar>
      </w:tblPr>
      <w:tblGrid>
        <w:gridCol w:w="6211"/>
        <w:gridCol w:w="326"/>
        <w:gridCol w:w="2146"/>
      </w:tblGrid>
      <w:tr>
        <w:trPr/>
        <w:tc>
          <w:tcPr>
            <w:tcW w:w="6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3943985" cy="175260"/>
                      <wp:effectExtent l="0" t="0" r="0" b="0"/>
                      <wp:wrapNone/>
                      <wp:docPr id="349" name="Frame348"/>
                      <a:graphic xmlns:a="http://schemas.openxmlformats.org/drawingml/2006/main">
                        <a:graphicData uri="http://schemas.microsoft.com/office/word/2010/wordprocessingShape">
                          <wps:wsp>
                            <wps:cNvSpPr txBox="1"/>
                            <wps:spPr>
                              <a:xfrm>
                                <a:off x="0" y="0"/>
                                <a:ext cx="394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07010" cy="175260"/>
                      <wp:effectExtent l="0" t="0" r="0" b="0"/>
                      <wp:wrapNone/>
                      <wp:docPr id="350" name="Frame3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1362710" cy="175260"/>
                      <wp:effectExtent l="0" t="0" r="0" b="0"/>
                      <wp:wrapNone/>
                      <wp:docPr id="351" name="Frame350"/>
                      <a:graphic xmlns:a="http://schemas.openxmlformats.org/drawingml/2006/main">
                        <a:graphicData uri="http://schemas.microsoft.com/office/word/2010/wordprocessingShape">
                          <wps:wsp>
                            <wps:cNvSpPr txBox="1"/>
                            <wps:spPr>
                              <a:xfrm>
                                <a:off x="0" y="0"/>
                                <a:ext cx="136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Place and year of</w:t>
            </w:r>
          </w:p>
        </w:tc>
      </w:tr>
      <w:tr>
        <w:trPr/>
        <w:tc>
          <w:tcPr>
            <w:tcW w:w="6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Major Subsidiaries</w:t>
            </w:r>
          </w:p>
        </w:tc>
        <w:tc>
          <w:tcPr>
            <w:tcW w:w="326" w:type="dxa"/>
            <w:tcBorders/>
            <w:vAlign w:val="center"/>
          </w:tcPr>
          <w:p>
            <w:pPr>
              <w:pStyle w:val="TableContents"/>
              <w:bidi w:val="0"/>
              <w:spacing w:before="0" w:after="0"/>
              <w:ind w:left="0" w:right="0" w:hanging="0"/>
              <w:jc w:val="left"/>
              <w:rPr/>
            </w:pPr>
            <w:r>
              <w:rPr/>
              <w:t>​</w:t>
            </w:r>
          </w:p>
        </w:tc>
        <w:tc>
          <w:tcPr>
            <w:tcW w:w="21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Incorporation</w:t>
            </w:r>
          </w:p>
        </w:tc>
      </w:tr>
      <w:tr>
        <w:trPr/>
        <w:tc>
          <w:tcPr>
            <w:tcW w:w="6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Guangzhou Boguan Telecommunication Technology Co., Ltd. (“Boguan”)</w:t>
            </w:r>
          </w:p>
        </w:tc>
        <w:tc>
          <w:tcPr>
            <w:tcW w:w="326" w:type="dxa"/>
            <w:tcBorders/>
            <w:shd w:fill="CCEEFF" w:val="clear"/>
            <w:vAlign w:val="center"/>
          </w:tcPr>
          <w:p>
            <w:pPr>
              <w:pStyle w:val="TableContents"/>
              <w:bidi w:val="0"/>
              <w:spacing w:before="0" w:after="0"/>
              <w:ind w:left="0" w:right="0" w:hanging="0"/>
              <w:jc w:val="left"/>
              <w:rPr/>
            </w:pPr>
            <w:r>
              <w:rPr/>
              <w:t> </w:t>
            </w:r>
          </w:p>
        </w:tc>
        <w:tc>
          <w:tcPr>
            <w:tcW w:w="214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Guangzhou, China 2003</w:t>
            </w:r>
          </w:p>
        </w:tc>
      </w:tr>
      <w:tr>
        <w:trPr/>
        <w:tc>
          <w:tcPr>
            <w:tcW w:w="6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NetEase (Hangzhou) Network Co., Ltd. (“NetEase Hangzhou”)</w:t>
            </w:r>
          </w:p>
        </w:tc>
        <w:tc>
          <w:tcPr>
            <w:tcW w:w="326" w:type="dxa"/>
            <w:tcBorders/>
            <w:vAlign w:val="center"/>
          </w:tcPr>
          <w:p>
            <w:pPr>
              <w:pStyle w:val="TableContents"/>
              <w:bidi w:val="0"/>
              <w:spacing w:before="0" w:after="0"/>
              <w:ind w:left="0" w:right="0" w:hanging="0"/>
              <w:jc w:val="left"/>
              <w:rPr/>
            </w:pPr>
            <w:r>
              <w:rPr/>
              <w:t> </w:t>
            </w:r>
          </w:p>
        </w:tc>
        <w:tc>
          <w:tcPr>
            <w:tcW w:w="21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Hangzhou, China 2006</w:t>
            </w:r>
          </w:p>
        </w:tc>
      </w:tr>
      <w:tr>
        <w:trPr/>
        <w:tc>
          <w:tcPr>
            <w:tcW w:w="6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Hong Kong NetEase Interactive Entertainment Limited</w:t>
            </w:r>
          </w:p>
        </w:tc>
        <w:tc>
          <w:tcPr>
            <w:tcW w:w="326" w:type="dxa"/>
            <w:tcBorders/>
            <w:shd w:fill="CCEEFF" w:val="clear"/>
            <w:vAlign w:val="center"/>
          </w:tcPr>
          <w:p>
            <w:pPr>
              <w:pStyle w:val="TableContents"/>
              <w:bidi w:val="0"/>
              <w:spacing w:before="0" w:after="0"/>
              <w:ind w:left="0" w:right="0" w:hanging="0"/>
              <w:jc w:val="left"/>
              <w:rPr/>
            </w:pPr>
            <w:r>
              <w:rPr/>
              <w:t>​</w:t>
            </w:r>
          </w:p>
        </w:tc>
        <w:tc>
          <w:tcPr>
            <w:tcW w:w="214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Hong Kong, China 2007</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8000"/>
        <w:gridCol w:w="326"/>
        <w:gridCol w:w="1879"/>
      </w:tblGrid>
      <w:tr>
        <w:trPr/>
        <w:tc>
          <w:tcPr>
            <w:tcW w:w="80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5080000" cy="175260"/>
                      <wp:effectExtent l="0" t="0" r="0" b="0"/>
                      <wp:wrapNone/>
                      <wp:docPr id="352" name="Frame351"/>
                      <a:graphic xmlns:a="http://schemas.openxmlformats.org/drawingml/2006/main">
                        <a:graphicData uri="http://schemas.microsoft.com/office/word/2010/wordprocessingShape">
                          <wps:wsp>
                            <wps:cNvSpPr txBox="1"/>
                            <wps:spPr>
                              <a:xfrm>
                                <a:off x="0" y="0"/>
                                <a:ext cx="5080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207010" cy="175260"/>
                      <wp:effectExtent l="0" t="0" r="0" b="0"/>
                      <wp:wrapNone/>
                      <wp:docPr id="353" name="Frame3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1193165" cy="175260"/>
                      <wp:effectExtent l="0" t="0" r="0" b="0"/>
                      <wp:wrapNone/>
                      <wp:docPr id="354" name="Frame353"/>
                      <a:graphic xmlns:a="http://schemas.openxmlformats.org/drawingml/2006/main">
                        <a:graphicData uri="http://schemas.microsoft.com/office/word/2010/wordprocessingShape">
                          <wps:wsp>
                            <wps:cNvSpPr txBox="1"/>
                            <wps:spPr>
                              <a:xfrm>
                                <a:off x="0" y="0"/>
                                <a:ext cx="1193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00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87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Place and year of</w:t>
            </w:r>
          </w:p>
        </w:tc>
      </w:tr>
      <w:tr>
        <w:trPr/>
        <w:tc>
          <w:tcPr>
            <w:tcW w:w="8000"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Major VIEs and VIEs’ subsidiaries</w:t>
            </w:r>
          </w:p>
        </w:tc>
        <w:tc>
          <w:tcPr>
            <w:tcW w:w="326" w:type="dxa"/>
            <w:tcBorders/>
            <w:vAlign w:val="center"/>
          </w:tcPr>
          <w:p>
            <w:pPr>
              <w:pStyle w:val="TableContents"/>
              <w:bidi w:val="0"/>
              <w:spacing w:before="0" w:after="0"/>
              <w:ind w:left="0" w:right="0" w:hanging="0"/>
              <w:jc w:val="left"/>
              <w:rPr/>
            </w:pPr>
            <w:r>
              <w:rPr/>
              <w:t>​</w:t>
            </w:r>
          </w:p>
        </w:tc>
        <w:tc>
          <w:tcPr>
            <w:tcW w:w="187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Incorporation</w:t>
            </w:r>
          </w:p>
        </w:tc>
      </w:tr>
      <w:tr>
        <w:trPr/>
        <w:tc>
          <w:tcPr>
            <w:tcW w:w="800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Guangzhou NetEase Computer System Co., Ltd. (“Guangzhou NetEase”)</w:t>
            </w:r>
          </w:p>
        </w:tc>
        <w:tc>
          <w:tcPr>
            <w:tcW w:w="326" w:type="dxa"/>
            <w:tcBorders/>
            <w:shd w:fill="CCEEFF" w:val="clear"/>
            <w:vAlign w:val="center"/>
          </w:tcPr>
          <w:p>
            <w:pPr>
              <w:pStyle w:val="TableContents"/>
              <w:bidi w:val="0"/>
              <w:spacing w:before="0" w:after="0"/>
              <w:ind w:left="0" w:right="0" w:hanging="0"/>
              <w:jc w:val="left"/>
              <w:rPr/>
            </w:pPr>
            <w:r>
              <w:rPr/>
              <w:t> </w:t>
            </w:r>
          </w:p>
        </w:tc>
        <w:tc>
          <w:tcPr>
            <w:tcW w:w="1879"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Guangzhou, China 1997</w:t>
            </w:r>
          </w:p>
        </w:tc>
      </w:tr>
      <w:tr>
        <w:trPr/>
        <w:tc>
          <w:tcPr>
            <w:tcW w:w="800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Hangzhou NetEase Leihuo Technology Co., Ltd. (“Hangzhou Leihuo”, formerly known as Hangzhou NetEase Leihuo Network Co., Ltd.)</w:t>
            </w:r>
          </w:p>
        </w:tc>
        <w:tc>
          <w:tcPr>
            <w:tcW w:w="326" w:type="dxa"/>
            <w:tcBorders/>
            <w:vAlign w:val="center"/>
          </w:tcPr>
          <w:p>
            <w:pPr>
              <w:pStyle w:val="TableContents"/>
              <w:bidi w:val="0"/>
              <w:spacing w:before="0" w:after="0"/>
              <w:ind w:left="0" w:right="0" w:hanging="0"/>
              <w:jc w:val="left"/>
              <w:rPr/>
            </w:pPr>
            <w:r>
              <w:rPr/>
              <w:t> </w:t>
            </w:r>
          </w:p>
        </w:tc>
        <w:tc>
          <w:tcPr>
            <w:tcW w:w="187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Hangzhou, China 2009</w:t>
            </w:r>
          </w:p>
        </w:tc>
      </w:tr>
    </w:tbl>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Guangzhou NetEase was incorporated in June 1997 in China and owned by William Lei Ding, or Mr. Ding, the Company’s Chief Executive Officer, director and major shareholder, and another Chinese employee of the Group. It is responsible for providing online game and other value-added telecommunication services.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Hangzhou Leihuo was incorporated in April 2009 in China by two Chinese employees of the Group and currently operates the Company’s mobile game business.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1224" w:name="Tc_xh1yyXUM1k65aO7FzAopIw_38_0"/>
      <w:bookmarkStart w:id="1225" w:name="Tc_mHB4s6qIDU6ETKTLONGKhw_36_0"/>
      <w:bookmarkStart w:id="1226" w:name="Tc_EvxkerhHuUi_3KDXVWUa0w_35_0"/>
      <w:bookmarkStart w:id="1227" w:name="Tc_nZYe7WBO70661KZpKpJufQ_34_0"/>
      <w:bookmarkStart w:id="1228" w:name="Tc_M4QJW3K_zUynocZYj_njgg_32_0"/>
      <w:bookmarkStart w:id="1229" w:name="Tc_n-MGe3J9bUW352CJaPuoQg_30_0"/>
      <w:bookmarkStart w:id="1230" w:name="Tc_-88_Pl3aC0qXPvUSiTV01Q_29_0"/>
      <w:bookmarkStart w:id="1231" w:name="Tc_BoEzHcq8DE-RDSBVlSK4vA_28_0"/>
      <w:bookmarkStart w:id="1232" w:name="Tc_TeHLuFt3ZUSWK5j-YLDzDg_27_0"/>
      <w:bookmarkStart w:id="1233" w:name="Tc_H9LEwwiB5EKVKYrXr_xneg_26_0"/>
      <w:bookmarkStart w:id="1234" w:name="Tc_rO74pSuwKk6Fp2shxUBUkA_25_0"/>
      <w:bookmarkStart w:id="1235" w:name="Tc_1N95-pDhikmA31M50W2sPQ_24_0"/>
      <w:bookmarkStart w:id="1236" w:name="Tc_8T-oW0vYokmHBgCDBM-QWQ_22_0"/>
      <w:bookmarkStart w:id="1237" w:name="Tc_Bufv3dcPu0G2tkCcQ3OnYA_20_0"/>
      <w:bookmarkStart w:id="1238" w:name="Tc_byFUNfyIJEe0lPOFGPhn5Q_19_0"/>
      <w:bookmarkStart w:id="1239" w:name="Tc_uYsF4odXbESe4vXuYfIKVA_18_0"/>
      <w:bookmarkStart w:id="1240" w:name="Tc_C5pT1lpReECmUtsapJXxYw_17_0"/>
      <w:bookmarkStart w:id="1241" w:name="Tc_Uf3-VmEyv0-f0EmhwzItxw_16_0"/>
      <w:bookmarkStart w:id="1242" w:name="Tc_t_4gu5p8cUix4VzTGHzqfQ_15_0"/>
      <w:bookmarkStart w:id="1243" w:name="Tc_6wuICkPRK0KL8lWwENytsQ_14_0"/>
      <w:bookmarkStart w:id="1244" w:name="Tc_jUsnALOSHEqXCGEBgbpiWg_12_0"/>
      <w:bookmarkStart w:id="1245" w:name="Tc_eJyjwKqAyEKQcvMd8OWshg_10_0"/>
      <w:bookmarkStart w:id="1246" w:name="Tc_FxJgUxd6hkSe-rG-hMowGw_9_0"/>
      <w:bookmarkStart w:id="1247" w:name="Tc_a4MJTg6BS0KGCZ0bTVwONw_8_0"/>
      <w:bookmarkStart w:id="1248" w:name="Tc_1g0ZFW2u2kS0BIJad6sB_w_7_0"/>
      <w:bookmarkStart w:id="1249" w:name="Tc_S2-kQWMw_0qcBld9_gVPtw_6_0"/>
      <w:bookmarkStart w:id="1250" w:name="Tc_mYhAsvKLAkeYtK4tUAvPdA_5_0"/>
      <w:bookmarkStart w:id="1251" w:name="Tc_AhrxcCInt0Wm7Irhv4P3RQ_4_0"/>
      <w:bookmarkStart w:id="1252" w:name="Tc_yWZEUJoKvUK0a89-qcNICw_3_4"/>
      <w:bookmarkStart w:id="1253" w:name="Tc_XRVLLT2b1068P51Ik1AM_w_3_2"/>
      <w:bookmarkStart w:id="1254" w:name="Tc_rQ9KBvK7fkKwaPo22w_MBQ_2_4"/>
      <w:bookmarkStart w:id="1255" w:name="Tc_TnD8S4Ag0UCJ_US5rCTT3g_2_2"/>
      <w:bookmarkStart w:id="1256" w:name="Tc_I9GNTqOxpkCfMcwIB4By1g_1_4"/>
      <w:bookmarkStart w:id="1257" w:name="Tc_vw2yT4XCE06nBgDAPukiaQ_1_2"/>
      <w:bookmarkStart w:id="1258" w:name="_3deab9fe_8821_49a9_bc00_bd859b8be436"/>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r>
        <w:rPr>
          <w:rFonts w:ascii="Times New Roman;Times;serif" w:hAnsi="Times New Roman;Times;serif"/>
          <w:sz w:val="20"/>
        </w:rPr>
        <w:t>The following combined financial information of the VIEs was included in the accompanying consolidated financial statements of the Group as follows (in thousands):</w:t>
      </w:r>
    </w:p>
    <w:p>
      <w:pPr>
        <w:pStyle w:val="TextBody"/>
        <w:bidi w:val="0"/>
        <w:spacing w:before="0" w:after="0"/>
        <w:ind w:left="0" w:right="0" w:hanging="0"/>
        <w:jc w:val="both"/>
        <w:rPr/>
      </w:pPr>
      <w:r>
        <w:rPr/>
        <w:t>​</w:t>
      </w:r>
    </w:p>
    <w:tbl>
      <w:tblPr>
        <w:tblW w:w="6415" w:type="dxa"/>
        <w:jc w:val="left"/>
        <w:tblInd w:w="0" w:type="dxa"/>
        <w:tblLayout w:type="fixed"/>
        <w:tblCellMar>
          <w:top w:w="0" w:type="dxa"/>
          <w:left w:w="0" w:type="dxa"/>
          <w:bottom w:w="0" w:type="dxa"/>
          <w:right w:w="0" w:type="dxa"/>
        </w:tblCellMar>
      </w:tblPr>
      <w:tblGrid>
        <w:gridCol w:w="3436"/>
        <w:gridCol w:w="326"/>
        <w:gridCol w:w="1141"/>
        <w:gridCol w:w="326"/>
        <w:gridCol w:w="1186"/>
      </w:tblGrid>
      <w:tr>
        <w:trPr/>
        <w:tc>
          <w:tcPr>
            <w:tcW w:w="3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181860" cy="175260"/>
                      <wp:effectExtent l="0" t="0" r="0" b="0"/>
                      <wp:wrapNone/>
                      <wp:docPr id="355" name="Frame354"/>
                      <a:graphic xmlns:a="http://schemas.openxmlformats.org/drawingml/2006/main">
                        <a:graphicData uri="http://schemas.microsoft.com/office/word/2010/wordprocessingShape">
                          <wps:wsp>
                            <wps:cNvSpPr txBox="1"/>
                            <wps:spPr>
                              <a:xfrm>
                                <a:off x="0" y="0"/>
                                <a:ext cx="2181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207010" cy="175260"/>
                      <wp:effectExtent l="0" t="0" r="0" b="0"/>
                      <wp:wrapNone/>
                      <wp:docPr id="356" name="Frame3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724535" cy="175260"/>
                      <wp:effectExtent l="0" t="0" r="0" b="0"/>
                      <wp:wrapNone/>
                      <wp:docPr id="357" name="Frame356"/>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07010" cy="175260"/>
                      <wp:effectExtent l="0" t="0" r="0" b="0"/>
                      <wp:wrapNone/>
                      <wp:docPr id="358" name="Frame3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753110" cy="175260"/>
                      <wp:effectExtent l="0" t="0" r="0" b="0"/>
                      <wp:wrapNone/>
                      <wp:docPr id="359" name="Frame358"/>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4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4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4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2,303,280</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1,802,256</w:t>
            </w:r>
          </w:p>
        </w:tc>
      </w:tr>
      <w:tr>
        <w:trPr/>
        <w:tc>
          <w:tcPr>
            <w:tcW w:w="34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Time deposits</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400,000</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420,000</w:t>
            </w:r>
          </w:p>
        </w:tc>
      </w:tr>
      <w:tr>
        <w:trPr/>
        <w:tc>
          <w:tcPr>
            <w:tcW w:w="34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2,654,971</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2,701,083</w:t>
            </w:r>
          </w:p>
        </w:tc>
      </w:tr>
      <w:tr>
        <w:trPr/>
        <w:tc>
          <w:tcPr>
            <w:tcW w:w="34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3,542,272</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4,663,331</w:t>
            </w:r>
          </w:p>
        </w:tc>
      </w:tr>
      <w:tr>
        <w:trPr/>
        <w:tc>
          <w:tcPr>
            <w:tcW w:w="34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67,572</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36,908</w:t>
            </w:r>
          </w:p>
        </w:tc>
      </w:tr>
      <w:tr>
        <w:trPr/>
        <w:tc>
          <w:tcPr>
            <w:tcW w:w="34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Prepayments and other current assets, net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1,867,110</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1,765,209</w:t>
            </w:r>
          </w:p>
        </w:tc>
      </w:tr>
      <w:tr>
        <w:trPr/>
        <w:tc>
          <w:tcPr>
            <w:tcW w:w="34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73,984</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73,904</w:t>
            </w:r>
          </w:p>
        </w:tc>
      </w:tr>
      <w:tr>
        <w:trPr/>
        <w:tc>
          <w:tcPr>
            <w:tcW w:w="3436" w:type="dxa"/>
            <w:tcBorders/>
            <w:vAlign w:val="center"/>
          </w:tcPr>
          <w:p>
            <w:pPr>
              <w:pStyle w:val="TableContents"/>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from Group companies</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9,917,091</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9,192,463</w:t>
            </w:r>
          </w:p>
        </w:tc>
      </w:tr>
      <w:tr>
        <w:trPr/>
        <w:tc>
          <w:tcPr>
            <w:tcW w:w="34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20,826,280</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20,655,154</w:t>
            </w:r>
          </w:p>
        </w:tc>
      </w:tr>
      <w:tr>
        <w:trPr/>
        <w:tc>
          <w:tcPr>
            <w:tcW w:w="34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pPr>
            <w:r>
              <w:rPr/>
              <w:t>​</w:t>
            </w:r>
          </w:p>
        </w:tc>
      </w:tr>
      <w:tr>
        <w:trPr/>
        <w:tc>
          <w:tcPr>
            <w:tcW w:w="34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equipment and software, net</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78,666</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52,212</w:t>
            </w:r>
          </w:p>
        </w:tc>
      </w:tr>
      <w:tr>
        <w:trPr/>
        <w:tc>
          <w:tcPr>
            <w:tcW w:w="34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assets, net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54,653</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53,686</w:t>
            </w:r>
          </w:p>
        </w:tc>
      </w:tr>
      <w:tr>
        <w:trPr/>
        <w:tc>
          <w:tcPr>
            <w:tcW w:w="34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155,595</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148,847</w:t>
            </w:r>
          </w:p>
        </w:tc>
      </w:tr>
      <w:tr>
        <w:trPr/>
        <w:tc>
          <w:tcPr>
            <w:tcW w:w="34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r>
      <w:tr>
        <w:trPr/>
        <w:tc>
          <w:tcPr>
            <w:tcW w:w="34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885,372</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1,212,804</w:t>
            </w:r>
          </w:p>
        </w:tc>
      </w:tr>
      <w:tr>
        <w:trPr/>
        <w:tc>
          <w:tcPr>
            <w:tcW w:w="34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assets</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164,968</w:t>
            </w:r>
          </w:p>
        </w:tc>
        <w:tc>
          <w:tcPr>
            <w:tcW w:w="326" w:type="dxa"/>
            <w:tcBorders/>
            <w:vAlign w:val="center"/>
          </w:tcPr>
          <w:p>
            <w:pPr>
              <w:pStyle w:val="TableContents"/>
              <w:bidi w:val="0"/>
              <w:spacing w:before="0" w:after="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203,744</w:t>
            </w:r>
          </w:p>
        </w:tc>
      </w:tr>
      <w:tr>
        <w:trPr/>
        <w:tc>
          <w:tcPr>
            <w:tcW w:w="34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non-current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1,339,454</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1,671,793</w:t>
            </w:r>
          </w:p>
        </w:tc>
      </w:tr>
      <w:tr>
        <w:trPr/>
        <w:tc>
          <w:tcPr>
            <w:tcW w:w="34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pPr>
            <w:r>
              <w:rPr/>
              <w:t>​</w:t>
            </w:r>
          </w:p>
        </w:tc>
      </w:tr>
      <w:tr>
        <w:trPr/>
        <w:tc>
          <w:tcPr>
            <w:tcW w:w="34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22,165,734</w:t>
            </w:r>
          </w:p>
        </w:tc>
        <w:tc>
          <w:tcPr>
            <w:tcW w:w="326" w:type="dxa"/>
            <w:tcBorders/>
            <w:shd w:fill="CCEEFF" w:val="clear"/>
            <w:vAlign w:val="center"/>
          </w:tcPr>
          <w:p>
            <w:pPr>
              <w:pStyle w:val="TableContents"/>
              <w:bidi w:val="0"/>
              <w:spacing w:before="0" w:after="0"/>
              <w:ind w:left="0" w:right="0" w:hanging="0"/>
              <w:jc w:val="left"/>
              <w:rPr/>
            </w:pPr>
            <w:r>
              <w:rPr/>
              <w:t> </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22,326,947</w:t>
            </w:r>
          </w:p>
        </w:tc>
      </w:tr>
      <w:tr>
        <w:trPr/>
        <w:tc>
          <w:tcPr>
            <w:tcW w:w="34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pPr>
            <w:r>
              <w:rPr/>
              <w:t>​</w:t>
            </w:r>
          </w:p>
        </w:tc>
      </w:tr>
      <w:tr>
        <w:trPr/>
        <w:tc>
          <w:tcPr>
            <w:tcW w:w="34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Accounts payable </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802,717</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265,137</w:t>
            </w:r>
          </w:p>
        </w:tc>
      </w:tr>
      <w:tr>
        <w:trPr/>
        <w:tc>
          <w:tcPr>
            <w:tcW w:w="34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Salary and welfare payables</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155,478</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114,794</w:t>
            </w:r>
          </w:p>
        </w:tc>
      </w:tr>
      <w:tr>
        <w:trPr/>
        <w:tc>
          <w:tcPr>
            <w:tcW w:w="34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Taxes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41,352</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142,769</w:t>
            </w:r>
          </w:p>
        </w:tc>
      </w:tr>
      <w:tr>
        <w:trPr/>
        <w:tc>
          <w:tcPr>
            <w:tcW w:w="34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loans</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16,095</w:t>
            </w:r>
          </w:p>
        </w:tc>
      </w:tr>
      <w:tr>
        <w:trPr/>
        <w:tc>
          <w:tcPr>
            <w:tcW w:w="34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11,465,101</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12,401,426</w:t>
            </w:r>
          </w:p>
        </w:tc>
      </w:tr>
      <w:tr>
        <w:trPr/>
        <w:tc>
          <w:tcPr>
            <w:tcW w:w="34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 and other payables</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3,809,049</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3,689,885</w:t>
            </w:r>
          </w:p>
        </w:tc>
      </w:tr>
      <w:tr>
        <w:trPr/>
        <w:tc>
          <w:tcPr>
            <w:tcW w:w="34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20,690</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22,413</w:t>
            </w:r>
          </w:p>
        </w:tc>
      </w:tr>
      <w:tr>
        <w:trPr/>
        <w:tc>
          <w:tcPr>
            <w:tcW w:w="3436" w:type="dxa"/>
            <w:tcBorders/>
            <w:vAlign w:val="center"/>
          </w:tcPr>
          <w:p>
            <w:pPr>
              <w:pStyle w:val="TableContents"/>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to Group companies</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3,937,784</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2,822,751</w:t>
            </w:r>
          </w:p>
        </w:tc>
      </w:tr>
      <w:tr>
        <w:trPr/>
        <w:tc>
          <w:tcPr>
            <w:tcW w:w="34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20,232,593</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19,475,270</w:t>
            </w:r>
          </w:p>
        </w:tc>
      </w:tr>
      <w:tr>
        <w:trPr/>
        <w:tc>
          <w:tcPr>
            <w:tcW w:w="34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pPr>
            <w:r>
              <w:rPr/>
              <w:t>​</w:t>
            </w:r>
          </w:p>
        </w:tc>
      </w:tr>
      <w:tr>
        <w:trPr/>
        <w:tc>
          <w:tcPr>
            <w:tcW w:w="34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34,291</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30,278</w:t>
            </w:r>
          </w:p>
        </w:tc>
      </w:tr>
      <w:tr>
        <w:trPr/>
        <w:tc>
          <w:tcPr>
            <w:tcW w:w="34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payable</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263,373</w:t>
            </w:r>
          </w:p>
        </w:tc>
        <w:tc>
          <w:tcPr>
            <w:tcW w:w="326" w:type="dxa"/>
            <w:tcBorders/>
            <w:vAlign w:val="center"/>
          </w:tcPr>
          <w:p>
            <w:pPr>
              <w:pStyle w:val="TableContents"/>
              <w:bidi w:val="0"/>
              <w:spacing w:before="0" w:after="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554,648</w:t>
            </w:r>
          </w:p>
        </w:tc>
      </w:tr>
      <w:tr>
        <w:trPr/>
        <w:tc>
          <w:tcPr>
            <w:tcW w:w="34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non-current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297,664</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584,926</w:t>
            </w:r>
          </w:p>
        </w:tc>
      </w:tr>
      <w:tr>
        <w:trPr/>
        <w:tc>
          <w:tcPr>
            <w:tcW w:w="34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pPr>
            <w:r>
              <w:rPr/>
              <w:t>​</w:t>
            </w:r>
          </w:p>
        </w:tc>
      </w:tr>
      <w:tr>
        <w:trPr/>
        <w:tc>
          <w:tcPr>
            <w:tcW w:w="34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20,530,257</w:t>
            </w:r>
          </w:p>
        </w:tc>
        <w:tc>
          <w:tcPr>
            <w:tcW w:w="326" w:type="dxa"/>
            <w:tcBorders/>
            <w:shd w:fill="CCEEFF" w:val="clear"/>
            <w:vAlign w:val="center"/>
          </w:tcPr>
          <w:p>
            <w:pPr>
              <w:pStyle w:val="TableContents"/>
              <w:bidi w:val="0"/>
              <w:spacing w:before="0" w:after="0"/>
              <w:ind w:left="0" w:right="0" w:hanging="0"/>
              <w:jc w:val="left"/>
              <w:rPr/>
            </w:pPr>
            <w:r>
              <w:rPr/>
              <w:t> </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20,060,196</w:t>
            </w:r>
          </w:p>
        </w:tc>
      </w:tr>
    </w:tbl>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259" w:name="_Hlk127822522"/>
      <w:bookmarkStart w:id="1260" w:name="Tc_UfdYtktPdUCObikLY73nFQ_17_0"/>
      <w:bookmarkStart w:id="1261" w:name="Tc_y1V30gd0IEO55uPjsTEfgQ_16_0"/>
      <w:bookmarkStart w:id="1262" w:name="Tc_QbvG2C5Ab0aTeBpyF7bxOw_15_0"/>
      <w:bookmarkStart w:id="1263" w:name="Tc_2HA5JCwUJ0igegbgLzVmCg_14_0"/>
      <w:bookmarkStart w:id="1264" w:name="Tc_5j1NgMB0y0GteSqdCTZqDw_12_0"/>
      <w:bookmarkStart w:id="1265" w:name="Tc_XuuXPNiSIkiid4RVTa2zdQ_11_0"/>
      <w:bookmarkStart w:id="1266" w:name="Tc_tJhgvw9LVU25-MskPbwStQ_10_0"/>
      <w:bookmarkStart w:id="1267" w:name="Tc_aGmIf_-V7kqSMeS0PFyfxQ_8_0"/>
      <w:bookmarkStart w:id="1268" w:name="Tc_u-NhnSQMyEWLO3w2sPNF9A_7_0"/>
      <w:bookmarkStart w:id="1269" w:name="Tc_G2y4R9_TsUG0jzn4ow9xyw_6_0"/>
      <w:bookmarkStart w:id="1270" w:name="Tc_6lwFwZ7OeEmecVbhp7MLug_5_0"/>
      <w:bookmarkStart w:id="1271" w:name="Tc_T1gmBAgRZ0OvuEbIRLQF6Q_4_0"/>
      <w:bookmarkStart w:id="1272" w:name="Tc_4ZLDL1IXxUmXgYZ-x0t6tw_3_6"/>
      <w:bookmarkStart w:id="1273" w:name="Tc_0TnZc1FKGkuFemUirNUfCA_3_4"/>
      <w:bookmarkStart w:id="1274" w:name="Tc__XpukFSKtkybDTqMP0FC2A_3_2"/>
      <w:bookmarkStart w:id="1275" w:name="Tc_n8ZD7u9KvUmD4gQb_udhew_2_6"/>
      <w:bookmarkStart w:id="1276" w:name="Tc_dQqF4GzsH0Ke7yVHW1bzOg_2_4"/>
      <w:bookmarkStart w:id="1277" w:name="Tc_8tBFXUV8FEmizCGPlfv_tw_2_2"/>
      <w:bookmarkStart w:id="1278" w:name="Tc_fl7-JwU-Q0O5zO0bI58DFg_1_2"/>
      <w:bookmarkStart w:id="1279" w:name="_447eeff4_b9ad_46ac_a5aa_9a0f0f38673e"/>
      <w:bookmarkStart w:id="1280" w:name="Tc_2cgmYNXjZUyG9X3zyJKIgA_15_0"/>
      <w:bookmarkStart w:id="1281" w:name="Tc_tbfyqWzV3EuC3ihcEzgS5Q_13_0"/>
      <w:bookmarkStart w:id="1282" w:name="Tc_DM5q34PhF0W9rVO5TluqIQ_12_0"/>
      <w:bookmarkStart w:id="1283" w:name="Tc_Efjcpuk5Z06PQdwyX5fLhA_11_0"/>
      <w:bookmarkStart w:id="1284" w:name="Tc_0BZ9d6QZQE2-pEUqgVq0kA_10_0"/>
      <w:bookmarkStart w:id="1285" w:name="Tc_w37leT7qRE-J4ixgAGpO5Q_9_0"/>
      <w:bookmarkStart w:id="1286" w:name="Tc_-IyxOASiEUCX9waD9tsckQ_7_0"/>
      <w:bookmarkStart w:id="1287" w:name="Tc_mN_yhPCXnkGE-0ax_KWEvw_6_0"/>
      <w:bookmarkStart w:id="1288" w:name="Tc_a4PCHo44Mk-FihOPphHRjQ_5_0"/>
      <w:bookmarkStart w:id="1289" w:name="Tc_mTEbSNn3kU-quoydRGiZcQ_4_0"/>
      <w:bookmarkStart w:id="1290" w:name="Tc_AiHRflpqtUWhVrB1MpNkzA_3_6"/>
      <w:bookmarkStart w:id="1291" w:name="Tc_9u2oGMyYBkWY5vP2KB9gig_3_4"/>
      <w:bookmarkStart w:id="1292" w:name="Tc_7-G1K47hPkiy3bvuznH_uA_3_2"/>
      <w:bookmarkStart w:id="1293" w:name="Tc_xPDSaCOXFkW9RYzNFLH6_Q_2_6"/>
      <w:bookmarkStart w:id="1294" w:name="Tc_6fSm3REOgUqcm6VLgN75yg_2_4"/>
      <w:bookmarkStart w:id="1295" w:name="Tc_CE_cYUYRMECJiDjzhQYM3Q_2_2"/>
      <w:bookmarkStart w:id="1296" w:name="Tc_aAXWDGssLUGvCVwRWhdO7w_1_2"/>
      <w:bookmarkStart w:id="1297" w:name="_0b81c1b2_7ff5_41fc_8653_ad3e5450fd50"/>
      <w:bookmarkStart w:id="1298" w:name="_Hlk127822522"/>
      <w:bookmarkStart w:id="1299" w:name="Tc_UfdYtktPdUCObikLY73nFQ_17_0"/>
      <w:bookmarkStart w:id="1300" w:name="Tc_y1V30gd0IEO55uPjsTEfgQ_16_0"/>
      <w:bookmarkStart w:id="1301" w:name="Tc_QbvG2C5Ab0aTeBpyF7bxOw_15_0"/>
      <w:bookmarkStart w:id="1302" w:name="Tc_2HA5JCwUJ0igegbgLzVmCg_14_0"/>
      <w:bookmarkStart w:id="1303" w:name="Tc_5j1NgMB0y0GteSqdCTZqDw_12_0"/>
      <w:bookmarkStart w:id="1304" w:name="Tc_XuuXPNiSIkiid4RVTa2zdQ_11_0"/>
      <w:bookmarkStart w:id="1305" w:name="Tc_tJhgvw9LVU25-MskPbwStQ_10_0"/>
      <w:bookmarkStart w:id="1306" w:name="Tc_aGmIf_-V7kqSMeS0PFyfxQ_8_0"/>
      <w:bookmarkStart w:id="1307" w:name="Tc_u-NhnSQMyEWLO3w2sPNF9A_7_0"/>
      <w:bookmarkStart w:id="1308" w:name="Tc_G2y4R9_TsUG0jzn4ow9xyw_6_0"/>
      <w:bookmarkStart w:id="1309" w:name="Tc_6lwFwZ7OeEmecVbhp7MLug_5_0"/>
      <w:bookmarkStart w:id="1310" w:name="Tc_T1gmBAgRZ0OvuEbIRLQF6Q_4_0"/>
      <w:bookmarkStart w:id="1311" w:name="Tc_4ZLDL1IXxUmXgYZ-x0t6tw_3_6"/>
      <w:bookmarkStart w:id="1312" w:name="Tc_0TnZc1FKGkuFemUirNUfCA_3_4"/>
      <w:bookmarkStart w:id="1313" w:name="Tc__XpukFSKtkybDTqMP0FC2A_3_2"/>
      <w:bookmarkStart w:id="1314" w:name="Tc_n8ZD7u9KvUmD4gQb_udhew_2_6"/>
      <w:bookmarkStart w:id="1315" w:name="Tc_dQqF4GzsH0Ke7yVHW1bzOg_2_4"/>
      <w:bookmarkStart w:id="1316" w:name="Tc_8tBFXUV8FEmizCGPlfv_tw_2_2"/>
      <w:bookmarkStart w:id="1317" w:name="Tc_fl7-JwU-Q0O5zO0bI58DFg_1_2"/>
      <w:bookmarkStart w:id="1318" w:name="_447eeff4_b9ad_46ac_a5aa_9a0f0f38673e"/>
      <w:bookmarkStart w:id="1319" w:name="Tc_2cgmYNXjZUyG9X3zyJKIgA_15_0"/>
      <w:bookmarkStart w:id="1320" w:name="Tc_tbfyqWzV3EuC3ihcEzgS5Q_13_0"/>
      <w:bookmarkStart w:id="1321" w:name="Tc_DM5q34PhF0W9rVO5TluqIQ_12_0"/>
      <w:bookmarkStart w:id="1322" w:name="Tc_Efjcpuk5Z06PQdwyX5fLhA_11_0"/>
      <w:bookmarkStart w:id="1323" w:name="Tc_0BZ9d6QZQE2-pEUqgVq0kA_10_0"/>
      <w:bookmarkStart w:id="1324" w:name="Tc_w37leT7qRE-J4ixgAGpO5Q_9_0"/>
      <w:bookmarkStart w:id="1325" w:name="Tc_-IyxOASiEUCX9waD9tsckQ_7_0"/>
      <w:bookmarkStart w:id="1326" w:name="Tc_mN_yhPCXnkGE-0ax_KWEvw_6_0"/>
      <w:bookmarkStart w:id="1327" w:name="Tc_a4PCHo44Mk-FihOPphHRjQ_5_0"/>
      <w:bookmarkStart w:id="1328" w:name="Tc_mTEbSNn3kU-quoydRGiZcQ_4_0"/>
      <w:bookmarkStart w:id="1329" w:name="Tc_AiHRflpqtUWhVrB1MpNkzA_3_6"/>
      <w:bookmarkStart w:id="1330" w:name="Tc_9u2oGMyYBkWY5vP2KB9gig_3_4"/>
      <w:bookmarkStart w:id="1331" w:name="Tc_7-G1K47hPkiy3bvuznH_uA_3_2"/>
      <w:bookmarkStart w:id="1332" w:name="Tc_xPDSaCOXFkW9RYzNFLH6_Q_2_6"/>
      <w:bookmarkStart w:id="1333" w:name="Tc_6fSm3REOgUqcm6VLgN75yg_2_4"/>
      <w:bookmarkStart w:id="1334" w:name="Tc_CE_cYUYRMECJiDjzhQYM3Q_2_2"/>
      <w:bookmarkStart w:id="1335" w:name="Tc_aAXWDGssLUGvCVwRWhdO7w_1_2"/>
      <w:bookmarkStart w:id="1336" w:name="_0b81c1b2_7ff5_41fc_8653_ad3e5450fd50"/>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p>
    <w:tbl>
      <w:tblPr>
        <w:tblW w:w="10205" w:type="dxa"/>
        <w:jc w:val="left"/>
        <w:tblInd w:w="0" w:type="dxa"/>
        <w:tblLayout w:type="fixed"/>
        <w:tblCellMar>
          <w:top w:w="0" w:type="dxa"/>
          <w:left w:w="0" w:type="dxa"/>
          <w:bottom w:w="0" w:type="dxa"/>
          <w:right w:w="0" w:type="dxa"/>
        </w:tblCellMar>
      </w:tblPr>
      <w:tblGrid>
        <w:gridCol w:w="5779"/>
        <w:gridCol w:w="326"/>
        <w:gridCol w:w="1134"/>
        <w:gridCol w:w="326"/>
        <w:gridCol w:w="1134"/>
        <w:gridCol w:w="326"/>
        <w:gridCol w:w="1180"/>
      </w:tblGrid>
      <w:tr>
        <w:trPr/>
        <w:tc>
          <w:tcPr>
            <w:tcW w:w="57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3669665" cy="175260"/>
                      <wp:effectExtent l="0" t="0" r="0" b="0"/>
                      <wp:wrapNone/>
                      <wp:docPr id="360" name="Frame359"/>
                      <a:graphic xmlns:a="http://schemas.openxmlformats.org/drawingml/2006/main">
                        <a:graphicData uri="http://schemas.microsoft.com/office/word/2010/wordprocessingShape">
                          <wps:wsp>
                            <wps:cNvSpPr txBox="1"/>
                            <wps:spPr>
                              <a:xfrm>
                                <a:off x="0" y="0"/>
                                <a:ext cx="3669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07010" cy="175260"/>
                      <wp:effectExtent l="0" t="0" r="0" b="0"/>
                      <wp:wrapNone/>
                      <wp:docPr id="361" name="Frame3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720090" cy="175260"/>
                      <wp:effectExtent l="0" t="0" r="0" b="0"/>
                      <wp:wrapNone/>
                      <wp:docPr id="362" name="Frame361"/>
                      <a:graphic xmlns:a="http://schemas.openxmlformats.org/drawingml/2006/main">
                        <a:graphicData uri="http://schemas.microsoft.com/office/word/2010/wordprocessingShape">
                          <wps:wsp>
                            <wps:cNvSpPr txBox="1"/>
                            <wps:spPr>
                              <a:xfrm>
                                <a:off x="0" y="0"/>
                                <a:ext cx="720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07010" cy="175260"/>
                      <wp:effectExtent l="0" t="0" r="0" b="0"/>
                      <wp:wrapNone/>
                      <wp:docPr id="363" name="Frame3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720090" cy="175260"/>
                      <wp:effectExtent l="0" t="0" r="0" b="0"/>
                      <wp:wrapNone/>
                      <wp:docPr id="364" name="Frame363"/>
                      <a:graphic xmlns:a="http://schemas.openxmlformats.org/drawingml/2006/main">
                        <a:graphicData uri="http://schemas.microsoft.com/office/word/2010/wordprocessingShape">
                          <wps:wsp>
                            <wps:cNvSpPr txBox="1"/>
                            <wps:spPr>
                              <a:xfrm>
                                <a:off x="0" y="0"/>
                                <a:ext cx="720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207010" cy="175260"/>
                      <wp:effectExtent l="0" t="0" r="0" b="0"/>
                      <wp:wrapNone/>
                      <wp:docPr id="365" name="Frame3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749300" cy="175260"/>
                      <wp:effectExtent l="0" t="0" r="0" b="0"/>
                      <wp:wrapNone/>
                      <wp:docPr id="366" name="Frame365"/>
                      <a:graphic xmlns:a="http://schemas.openxmlformats.org/drawingml/2006/main">
                        <a:graphicData uri="http://schemas.microsoft.com/office/word/2010/wordprocessingShape">
                          <wps:wsp>
                            <wps:cNvSpPr txBox="1"/>
                            <wps:spPr>
                              <a:xfrm>
                                <a:off x="0" y="0"/>
                                <a:ext cx="749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7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1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577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3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left"/>
              <w:rPr/>
            </w:pPr>
            <w:r>
              <w:rPr/>
              <w:t>    </w:t>
            </w:r>
          </w:p>
        </w:tc>
        <w:tc>
          <w:tcPr>
            <w:tcW w:w="113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18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77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3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113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118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577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113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3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80" w:type="dxa"/>
            <w:tcBorders/>
            <w:shd w:fill="CCEEFF" w:val="clear"/>
            <w:vAlign w:val="center"/>
          </w:tcPr>
          <w:p>
            <w:pPr>
              <w:pStyle w:val="TableContents"/>
              <w:bidi w:val="0"/>
              <w:spacing w:before="0" w:after="0"/>
              <w:ind w:left="0" w:right="0" w:hanging="0"/>
              <w:jc w:val="left"/>
              <w:rPr/>
            </w:pPr>
            <w:r>
              <w:rPr/>
              <w:t>​</w:t>
            </w:r>
          </w:p>
        </w:tc>
      </w:tr>
      <w:tr>
        <w:trPr/>
        <w:tc>
          <w:tcPr>
            <w:tcW w:w="577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Third-party revenues</w:t>
            </w:r>
          </w:p>
        </w:tc>
        <w:tc>
          <w:tcPr>
            <w:tcW w:w="326" w:type="dxa"/>
            <w:tcBorders/>
            <w:vAlign w:val="center"/>
          </w:tcPr>
          <w:p>
            <w:pPr>
              <w:pStyle w:val="TableContents"/>
              <w:bidi w:val="0"/>
              <w:spacing w:before="0" w:after="0"/>
              <w:ind w:left="0" w:right="0" w:hanging="0"/>
              <w:jc w:val="left"/>
              <w:rPr/>
            </w:pPr>
            <w:r>
              <w:rPr/>
              <w:t>​</w:t>
            </w:r>
          </w:p>
        </w:tc>
        <w:tc>
          <w:tcPr>
            <w:tcW w:w="11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74,406,521</w:t>
            </w:r>
          </w:p>
        </w:tc>
        <w:tc>
          <w:tcPr>
            <w:tcW w:w="326" w:type="dxa"/>
            <w:tcBorders/>
            <w:vAlign w:val="center"/>
          </w:tcPr>
          <w:p>
            <w:pPr>
              <w:pStyle w:val="TableContents"/>
              <w:bidi w:val="0"/>
              <w:spacing w:before="0" w:after="0"/>
              <w:ind w:left="0" w:right="0" w:hanging="0"/>
              <w:jc w:val="left"/>
              <w:rPr/>
            </w:pPr>
            <w:r>
              <w:rPr/>
              <w:t>​</w:t>
            </w:r>
          </w:p>
        </w:tc>
        <w:tc>
          <w:tcPr>
            <w:tcW w:w="11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82,549,444</w:t>
            </w:r>
          </w:p>
        </w:tc>
        <w:tc>
          <w:tcPr>
            <w:tcW w:w="326" w:type="dxa"/>
            <w:tcBorders/>
            <w:vAlign w:val="center"/>
          </w:tcPr>
          <w:p>
            <w:pPr>
              <w:pStyle w:val="TableContents"/>
              <w:bidi w:val="0"/>
              <w:spacing w:before="0" w:after="0"/>
              <w:ind w:left="0" w:right="0" w:hanging="0"/>
              <w:jc w:val="left"/>
              <w:rPr/>
            </w:pPr>
            <w:r>
              <w:rPr/>
              <w:t>​</w:t>
            </w:r>
          </w:p>
        </w:tc>
        <w:tc>
          <w:tcPr>
            <w:tcW w:w="11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90,054,544</w:t>
            </w:r>
          </w:p>
        </w:tc>
      </w:tr>
      <w:tr>
        <w:trPr/>
        <w:tc>
          <w:tcPr>
            <w:tcW w:w="577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Intra-Group revenues</w:t>
            </w:r>
          </w:p>
        </w:tc>
        <w:tc>
          <w:tcPr>
            <w:tcW w:w="326" w:type="dxa"/>
            <w:tcBorders/>
            <w:shd w:fill="CCEEFF" w:val="clear"/>
            <w:vAlign w:val="center"/>
          </w:tcPr>
          <w:p>
            <w:pPr>
              <w:pStyle w:val="TableContents"/>
              <w:bidi w:val="0"/>
              <w:spacing w:before="0" w:after="0"/>
              <w:ind w:left="0" w:right="0" w:hanging="0"/>
              <w:jc w:val="left"/>
              <w:rPr/>
            </w:pPr>
            <w:r>
              <w:rPr/>
              <w:t>​</w:t>
            </w:r>
          </w:p>
        </w:tc>
        <w:tc>
          <w:tcPr>
            <w:tcW w:w="11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808,648</w:t>
            </w:r>
          </w:p>
        </w:tc>
        <w:tc>
          <w:tcPr>
            <w:tcW w:w="326" w:type="dxa"/>
            <w:tcBorders/>
            <w:shd w:fill="CCEEFF" w:val="clear"/>
            <w:vAlign w:val="center"/>
          </w:tcPr>
          <w:p>
            <w:pPr>
              <w:pStyle w:val="TableContents"/>
              <w:bidi w:val="0"/>
              <w:spacing w:before="0" w:after="0"/>
              <w:ind w:left="0" w:right="0" w:hanging="0"/>
              <w:jc w:val="left"/>
              <w:rPr/>
            </w:pPr>
            <w:r>
              <w:rPr/>
              <w:t>​</w:t>
            </w:r>
          </w:p>
        </w:tc>
        <w:tc>
          <w:tcPr>
            <w:tcW w:w="11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817,962</w:t>
            </w:r>
          </w:p>
        </w:tc>
        <w:tc>
          <w:tcPr>
            <w:tcW w:w="326" w:type="dxa"/>
            <w:tcBorders/>
            <w:shd w:fill="CCEEFF" w:val="clear"/>
            <w:vAlign w:val="center"/>
          </w:tcPr>
          <w:p>
            <w:pPr>
              <w:pStyle w:val="TableContents"/>
              <w:bidi w:val="0"/>
              <w:spacing w:before="0" w:after="0"/>
              <w:ind w:left="0" w:right="0" w:hanging="0"/>
              <w:jc w:val="left"/>
              <w:rPr/>
            </w:pPr>
            <w:r>
              <w:rPr/>
              <w:t>​</w:t>
            </w:r>
          </w:p>
        </w:tc>
        <w:tc>
          <w:tcPr>
            <w:tcW w:w="11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734,857</w:t>
            </w:r>
          </w:p>
        </w:tc>
      </w:tr>
      <w:tr>
        <w:trPr/>
        <w:tc>
          <w:tcPr>
            <w:tcW w:w="577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revenues</w:t>
            </w:r>
          </w:p>
        </w:tc>
        <w:tc>
          <w:tcPr>
            <w:tcW w:w="326" w:type="dxa"/>
            <w:tcBorders/>
            <w:vAlign w:val="center"/>
          </w:tcPr>
          <w:p>
            <w:pPr>
              <w:pStyle w:val="TableContents"/>
              <w:bidi w:val="0"/>
              <w:spacing w:before="0" w:after="0"/>
              <w:ind w:left="0" w:right="0" w:hanging="0"/>
              <w:jc w:val="left"/>
              <w:rPr/>
            </w:pPr>
            <w:r>
              <w:rPr/>
              <w:t>​</w:t>
            </w:r>
          </w:p>
        </w:tc>
        <w:tc>
          <w:tcPr>
            <w:tcW w:w="11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75,215,169</w:t>
            </w:r>
          </w:p>
        </w:tc>
        <w:tc>
          <w:tcPr>
            <w:tcW w:w="326" w:type="dxa"/>
            <w:tcBorders/>
            <w:vAlign w:val="center"/>
          </w:tcPr>
          <w:p>
            <w:pPr>
              <w:pStyle w:val="TableContents"/>
              <w:bidi w:val="0"/>
              <w:spacing w:before="0" w:after="0"/>
              <w:ind w:left="0" w:right="0" w:hanging="0"/>
              <w:jc w:val="left"/>
              <w:rPr/>
            </w:pPr>
            <w:r>
              <w:rPr/>
              <w:t>​</w:t>
            </w:r>
          </w:p>
        </w:tc>
        <w:tc>
          <w:tcPr>
            <w:tcW w:w="11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83,367,406</w:t>
            </w:r>
          </w:p>
        </w:tc>
        <w:tc>
          <w:tcPr>
            <w:tcW w:w="326" w:type="dxa"/>
            <w:tcBorders/>
            <w:vAlign w:val="center"/>
          </w:tcPr>
          <w:p>
            <w:pPr>
              <w:pStyle w:val="TableContents"/>
              <w:bidi w:val="0"/>
              <w:spacing w:before="0" w:after="0"/>
              <w:ind w:left="0" w:right="0" w:hanging="0"/>
              <w:jc w:val="left"/>
              <w:rPr/>
            </w:pPr>
            <w:r>
              <w:rPr/>
              <w:t>​</w:t>
            </w:r>
          </w:p>
        </w:tc>
        <w:tc>
          <w:tcPr>
            <w:tcW w:w="11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90,789,401</w:t>
            </w:r>
          </w:p>
        </w:tc>
      </w:tr>
      <w:tr>
        <w:trPr/>
        <w:tc>
          <w:tcPr>
            <w:tcW w:w="577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3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3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80" w:type="dxa"/>
            <w:tcBorders/>
            <w:shd w:fill="CCEEFF" w:val="clear"/>
            <w:vAlign w:val="center"/>
          </w:tcPr>
          <w:p>
            <w:pPr>
              <w:pStyle w:val="TableContents"/>
              <w:bidi w:val="0"/>
              <w:spacing w:before="0" w:after="0"/>
              <w:ind w:left="0" w:right="0" w:hanging="0"/>
              <w:jc w:val="right"/>
              <w:rPr/>
            </w:pPr>
            <w:r>
              <w:rPr/>
              <w:t>​</w:t>
            </w:r>
          </w:p>
        </w:tc>
      </w:tr>
      <w:tr>
        <w:trPr/>
        <w:tc>
          <w:tcPr>
            <w:tcW w:w="577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 and operating expenses</w:t>
            </w:r>
          </w:p>
        </w:tc>
        <w:tc>
          <w:tcPr>
            <w:tcW w:w="326" w:type="dxa"/>
            <w:tcBorders/>
            <w:vAlign w:val="center"/>
          </w:tcPr>
          <w:p>
            <w:pPr>
              <w:pStyle w:val="TableContents"/>
              <w:bidi w:val="0"/>
              <w:spacing w:before="0" w:after="0"/>
              <w:ind w:left="0" w:right="0" w:hanging="0"/>
              <w:jc w:val="left"/>
              <w:rPr/>
            </w:pPr>
            <w:r>
              <w:rPr/>
              <w:t>​</w:t>
            </w:r>
          </w:p>
        </w:tc>
        <w:tc>
          <w:tcPr>
            <w:tcW w:w="113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3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80" w:type="dxa"/>
            <w:tcBorders/>
            <w:vAlign w:val="center"/>
          </w:tcPr>
          <w:p>
            <w:pPr>
              <w:pStyle w:val="TableContents"/>
              <w:bidi w:val="0"/>
              <w:spacing w:before="0" w:after="0"/>
              <w:ind w:left="0" w:right="0" w:hanging="0"/>
              <w:jc w:val="right"/>
              <w:rPr/>
            </w:pPr>
            <w:r>
              <w:rPr/>
              <w:t>​</w:t>
            </w:r>
          </w:p>
        </w:tc>
      </w:tr>
      <w:tr>
        <w:trPr/>
        <w:tc>
          <w:tcPr>
            <w:tcW w:w="577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Third-party cost of revenues and 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11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(17,651,675)</w:t>
            </w:r>
          </w:p>
        </w:tc>
        <w:tc>
          <w:tcPr>
            <w:tcW w:w="326" w:type="dxa"/>
            <w:tcBorders/>
            <w:shd w:fill="CCEEFF" w:val="clear"/>
            <w:vAlign w:val="center"/>
          </w:tcPr>
          <w:p>
            <w:pPr>
              <w:pStyle w:val="TableContents"/>
              <w:bidi w:val="0"/>
              <w:spacing w:before="0" w:after="0"/>
              <w:ind w:left="0" w:right="0" w:hanging="0"/>
              <w:jc w:val="left"/>
              <w:rPr/>
            </w:pPr>
            <w:r>
              <w:rPr/>
              <w:t>​</w:t>
            </w:r>
          </w:p>
        </w:tc>
        <w:tc>
          <w:tcPr>
            <w:tcW w:w="11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(18,358,287)</w:t>
            </w:r>
          </w:p>
        </w:tc>
        <w:tc>
          <w:tcPr>
            <w:tcW w:w="326" w:type="dxa"/>
            <w:tcBorders/>
            <w:shd w:fill="CCEEFF" w:val="clear"/>
            <w:vAlign w:val="center"/>
          </w:tcPr>
          <w:p>
            <w:pPr>
              <w:pStyle w:val="TableContents"/>
              <w:bidi w:val="0"/>
              <w:spacing w:before="0" w:after="0"/>
              <w:ind w:left="0" w:right="0" w:hanging="0"/>
              <w:jc w:val="left"/>
              <w:rPr/>
            </w:pPr>
            <w:r>
              <w:rPr/>
              <w:t>​</w:t>
            </w:r>
          </w:p>
        </w:tc>
        <w:tc>
          <w:tcPr>
            <w:tcW w:w="11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(17,468,565)</w:t>
            </w:r>
          </w:p>
        </w:tc>
      </w:tr>
      <w:tr>
        <w:trPr/>
        <w:tc>
          <w:tcPr>
            <w:tcW w:w="577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Intra-Group cost of revenues and operating expenses related to technical consulting and related service</w:t>
            </w:r>
          </w:p>
        </w:tc>
        <w:tc>
          <w:tcPr>
            <w:tcW w:w="326" w:type="dxa"/>
            <w:tcBorders/>
            <w:vAlign w:val="center"/>
          </w:tcPr>
          <w:p>
            <w:pPr>
              <w:pStyle w:val="TableContents"/>
              <w:bidi w:val="0"/>
              <w:spacing w:before="0" w:after="0"/>
              <w:ind w:left="0" w:right="0" w:hanging="0"/>
              <w:jc w:val="left"/>
              <w:rPr/>
            </w:pPr>
            <w:r>
              <w:rPr/>
              <w:t>​</w:t>
            </w:r>
          </w:p>
        </w:tc>
        <w:tc>
          <w:tcPr>
            <w:tcW w:w="11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(56,822,482)</w:t>
            </w:r>
          </w:p>
        </w:tc>
        <w:tc>
          <w:tcPr>
            <w:tcW w:w="326" w:type="dxa"/>
            <w:tcBorders/>
            <w:vAlign w:val="center"/>
          </w:tcPr>
          <w:p>
            <w:pPr>
              <w:pStyle w:val="TableContents"/>
              <w:bidi w:val="0"/>
              <w:spacing w:before="0" w:after="0"/>
              <w:ind w:left="0" w:right="0" w:hanging="0"/>
              <w:jc w:val="left"/>
              <w:rPr/>
            </w:pPr>
            <w:r>
              <w:rPr/>
              <w:t>​</w:t>
            </w:r>
          </w:p>
        </w:tc>
        <w:tc>
          <w:tcPr>
            <w:tcW w:w="11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(64,777,586)</w:t>
            </w:r>
          </w:p>
        </w:tc>
        <w:tc>
          <w:tcPr>
            <w:tcW w:w="326" w:type="dxa"/>
            <w:tcBorders/>
            <w:vAlign w:val="center"/>
          </w:tcPr>
          <w:p>
            <w:pPr>
              <w:pStyle w:val="TableContents"/>
              <w:bidi w:val="0"/>
              <w:spacing w:before="0" w:after="0"/>
              <w:ind w:left="0" w:right="0" w:hanging="0"/>
              <w:jc w:val="left"/>
              <w:rPr/>
            </w:pPr>
            <w:r>
              <w:rPr/>
              <w:t>​</w:t>
            </w:r>
          </w:p>
        </w:tc>
        <w:tc>
          <w:tcPr>
            <w:tcW w:w="11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(72,992,568)</w:t>
            </w:r>
          </w:p>
        </w:tc>
      </w:tr>
      <w:tr>
        <w:trPr/>
        <w:tc>
          <w:tcPr>
            <w:tcW w:w="577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intra-Group cost of revenues and 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11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(168,850)</w:t>
            </w:r>
          </w:p>
        </w:tc>
        <w:tc>
          <w:tcPr>
            <w:tcW w:w="326" w:type="dxa"/>
            <w:tcBorders/>
            <w:shd w:fill="CCEEFF" w:val="clear"/>
            <w:vAlign w:val="center"/>
          </w:tcPr>
          <w:p>
            <w:pPr>
              <w:pStyle w:val="TableContents"/>
              <w:bidi w:val="0"/>
              <w:spacing w:before="0" w:after="0"/>
              <w:ind w:left="0" w:right="0" w:hanging="0"/>
              <w:jc w:val="left"/>
              <w:rPr/>
            </w:pPr>
            <w:r>
              <w:rPr/>
              <w:t>​</w:t>
            </w:r>
          </w:p>
        </w:tc>
        <w:tc>
          <w:tcPr>
            <w:tcW w:w="11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(185,608)</w:t>
            </w:r>
          </w:p>
        </w:tc>
        <w:tc>
          <w:tcPr>
            <w:tcW w:w="326" w:type="dxa"/>
            <w:tcBorders/>
            <w:shd w:fill="CCEEFF" w:val="clear"/>
            <w:vAlign w:val="center"/>
          </w:tcPr>
          <w:p>
            <w:pPr>
              <w:pStyle w:val="TableContents"/>
              <w:bidi w:val="0"/>
              <w:spacing w:before="0" w:after="0"/>
              <w:ind w:left="0" w:right="0" w:hanging="0"/>
              <w:jc w:val="left"/>
              <w:rPr/>
            </w:pPr>
            <w:r>
              <w:rPr/>
              <w:t>​</w:t>
            </w:r>
          </w:p>
        </w:tc>
        <w:tc>
          <w:tcPr>
            <w:tcW w:w="11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(23,546)</w:t>
            </w:r>
          </w:p>
        </w:tc>
      </w:tr>
      <w:tr>
        <w:trPr/>
        <w:tc>
          <w:tcPr>
            <w:tcW w:w="577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 of revenues and operating expenses</w:t>
            </w:r>
          </w:p>
        </w:tc>
        <w:tc>
          <w:tcPr>
            <w:tcW w:w="326" w:type="dxa"/>
            <w:tcBorders/>
            <w:vAlign w:val="center"/>
          </w:tcPr>
          <w:p>
            <w:pPr>
              <w:pStyle w:val="TableContents"/>
              <w:bidi w:val="0"/>
              <w:spacing w:before="0" w:after="0"/>
              <w:ind w:left="0" w:right="0" w:hanging="0"/>
              <w:jc w:val="left"/>
              <w:rPr/>
            </w:pPr>
            <w:r>
              <w:rPr/>
              <w:t>​</w:t>
            </w:r>
          </w:p>
        </w:tc>
        <w:tc>
          <w:tcPr>
            <w:tcW w:w="1134"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(74,643,007)</w:t>
            </w:r>
          </w:p>
        </w:tc>
        <w:tc>
          <w:tcPr>
            <w:tcW w:w="326" w:type="dxa"/>
            <w:tcBorders/>
            <w:vAlign w:val="center"/>
          </w:tcPr>
          <w:p>
            <w:pPr>
              <w:pStyle w:val="TableContents"/>
              <w:bidi w:val="0"/>
              <w:spacing w:before="0" w:after="0"/>
              <w:ind w:left="0" w:right="0" w:hanging="0"/>
              <w:jc w:val="left"/>
              <w:rPr/>
            </w:pPr>
            <w:r>
              <w:rPr/>
              <w:t>​</w:t>
            </w:r>
          </w:p>
        </w:tc>
        <w:tc>
          <w:tcPr>
            <w:tcW w:w="1134"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(83,321,481)</w:t>
            </w:r>
          </w:p>
        </w:tc>
        <w:tc>
          <w:tcPr>
            <w:tcW w:w="326" w:type="dxa"/>
            <w:tcBorders/>
            <w:vAlign w:val="center"/>
          </w:tcPr>
          <w:p>
            <w:pPr>
              <w:pStyle w:val="TableContents"/>
              <w:bidi w:val="0"/>
              <w:spacing w:before="0" w:after="0"/>
              <w:ind w:left="0" w:right="0" w:hanging="0"/>
              <w:jc w:val="left"/>
              <w:rPr/>
            </w:pPr>
            <w:r>
              <w:rPr/>
              <w:t>​</w:t>
            </w:r>
          </w:p>
        </w:tc>
        <w:tc>
          <w:tcPr>
            <w:tcW w:w="1180"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(90,484,679)</w:t>
            </w:r>
          </w:p>
        </w:tc>
      </w:tr>
      <w:tr>
        <w:trPr/>
        <w:tc>
          <w:tcPr>
            <w:tcW w:w="577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3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3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80" w:type="dxa"/>
            <w:tcBorders/>
            <w:shd w:fill="CCEEFF" w:val="clear"/>
            <w:vAlign w:val="center"/>
          </w:tcPr>
          <w:p>
            <w:pPr>
              <w:pStyle w:val="TableContents"/>
              <w:bidi w:val="0"/>
              <w:spacing w:before="0" w:after="0"/>
              <w:ind w:left="0" w:right="0" w:hanging="0"/>
              <w:jc w:val="right"/>
              <w:rPr/>
            </w:pPr>
            <w:r>
              <w:rPr/>
              <w:t>​</w:t>
            </w:r>
          </w:p>
        </w:tc>
      </w:tr>
      <w:tr>
        <w:trPr/>
        <w:tc>
          <w:tcPr>
            <w:tcW w:w="577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0"/>
              <w:ind w:left="0" w:right="0" w:hanging="0"/>
              <w:jc w:val="left"/>
              <w:rPr/>
            </w:pPr>
            <w:r>
              <w:rPr/>
              <w:t> </w:t>
            </w:r>
          </w:p>
        </w:tc>
        <w:tc>
          <w:tcPr>
            <w:tcW w:w="1134"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624,299</w:t>
            </w:r>
          </w:p>
        </w:tc>
        <w:tc>
          <w:tcPr>
            <w:tcW w:w="326" w:type="dxa"/>
            <w:tcBorders/>
            <w:vAlign w:val="center"/>
          </w:tcPr>
          <w:p>
            <w:pPr>
              <w:pStyle w:val="TableContents"/>
              <w:bidi w:val="0"/>
              <w:spacing w:before="0" w:after="0"/>
              <w:ind w:left="0" w:right="0" w:hanging="0"/>
              <w:jc w:val="left"/>
              <w:rPr/>
            </w:pPr>
            <w:r>
              <w:rPr/>
              <w:t> </w:t>
            </w:r>
          </w:p>
        </w:tc>
        <w:tc>
          <w:tcPr>
            <w:tcW w:w="1134"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(81,329)</w:t>
            </w:r>
          </w:p>
        </w:tc>
        <w:tc>
          <w:tcPr>
            <w:tcW w:w="326" w:type="dxa"/>
            <w:tcBorders/>
            <w:vAlign w:val="center"/>
          </w:tcPr>
          <w:p>
            <w:pPr>
              <w:pStyle w:val="TableContents"/>
              <w:bidi w:val="0"/>
              <w:spacing w:before="0" w:after="0"/>
              <w:ind w:left="0" w:right="0" w:hanging="0"/>
              <w:jc w:val="left"/>
              <w:rPr/>
            </w:pPr>
            <w:r>
              <w:rPr/>
              <w:t> </w:t>
            </w:r>
          </w:p>
        </w:tc>
        <w:tc>
          <w:tcPr>
            <w:tcW w:w="1180" w:type="dxa"/>
            <w:tcBorders/>
            <w:vAlign w:val="center"/>
          </w:tcPr>
          <w:p>
            <w:pPr>
              <w:pStyle w:val="TableContents"/>
              <w:bidi w:val="0"/>
              <w:spacing w:before="0" w:after="0"/>
              <w:ind w:left="0" w:right="58" w:hanging="0"/>
              <w:jc w:val="right"/>
              <w:rPr>
                <w:rFonts w:ascii="Times New Roman;Times;serif" w:hAnsi="Times New Roman;Times;serif"/>
                <w:b/>
                <w:sz w:val="20"/>
              </w:rPr>
            </w:pPr>
            <w:r>
              <w:rPr>
                <w:rFonts w:ascii="Times New Roman;Times;serif" w:hAnsi="Times New Roman;Times;serif"/>
                <w:b/>
                <w:sz w:val="20"/>
              </w:rPr>
              <w:t>328,357</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5785"/>
        <w:gridCol w:w="326"/>
        <w:gridCol w:w="1132"/>
        <w:gridCol w:w="326"/>
        <w:gridCol w:w="1132"/>
        <w:gridCol w:w="326"/>
        <w:gridCol w:w="1178"/>
      </w:tblGrid>
      <w:tr>
        <w:trPr/>
        <w:tc>
          <w:tcPr>
            <w:tcW w:w="57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3673475" cy="175260"/>
                      <wp:effectExtent l="0" t="0" r="0" b="0"/>
                      <wp:wrapNone/>
                      <wp:docPr id="367" name="Frame366"/>
                      <a:graphic xmlns:a="http://schemas.openxmlformats.org/drawingml/2006/main">
                        <a:graphicData uri="http://schemas.microsoft.com/office/word/2010/wordprocessingShape">
                          <wps:wsp>
                            <wps:cNvSpPr txBox="1"/>
                            <wps:spPr>
                              <a:xfrm>
                                <a:off x="0" y="0"/>
                                <a:ext cx="3673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07010" cy="175260"/>
                      <wp:effectExtent l="0" t="0" r="0" b="0"/>
                      <wp:wrapNone/>
                      <wp:docPr id="368" name="Frame3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718820" cy="175260"/>
                      <wp:effectExtent l="0" t="0" r="0" b="0"/>
                      <wp:wrapNone/>
                      <wp:docPr id="369" name="Frame368"/>
                      <a:graphic xmlns:a="http://schemas.openxmlformats.org/drawingml/2006/main">
                        <a:graphicData uri="http://schemas.microsoft.com/office/word/2010/wordprocessingShape">
                          <wps:wsp>
                            <wps:cNvSpPr txBox="1"/>
                            <wps:spPr>
                              <a:xfrm>
                                <a:off x="0" y="0"/>
                                <a:ext cx="718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07010" cy="175260"/>
                      <wp:effectExtent l="0" t="0" r="0" b="0"/>
                      <wp:wrapNone/>
                      <wp:docPr id="370" name="Frame3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718820" cy="175260"/>
                      <wp:effectExtent l="0" t="0" r="0" b="0"/>
                      <wp:wrapNone/>
                      <wp:docPr id="371" name="Frame370"/>
                      <a:graphic xmlns:a="http://schemas.openxmlformats.org/drawingml/2006/main">
                        <a:graphicData uri="http://schemas.microsoft.com/office/word/2010/wordprocessingShape">
                          <wps:wsp>
                            <wps:cNvSpPr txBox="1"/>
                            <wps:spPr>
                              <a:xfrm>
                                <a:off x="0" y="0"/>
                                <a:ext cx="718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207010" cy="175260"/>
                      <wp:effectExtent l="0" t="0" r="0" b="0"/>
                      <wp:wrapNone/>
                      <wp:docPr id="372" name="Frame3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748030" cy="175260"/>
                      <wp:effectExtent l="0" t="0" r="0" b="0"/>
                      <wp:wrapNone/>
                      <wp:docPr id="373" name="Frame372"/>
                      <a:graphic xmlns:a="http://schemas.openxmlformats.org/drawingml/2006/main">
                        <a:graphicData uri="http://schemas.microsoft.com/office/word/2010/wordprocessingShape">
                          <wps:wsp>
                            <wps:cNvSpPr txBox="1"/>
                            <wps:spPr>
                              <a:xfrm>
                                <a:off x="0" y="0"/>
                                <a:ext cx="748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8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9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578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3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left"/>
              <w:rPr/>
            </w:pPr>
            <w:r>
              <w:rPr/>
              <w:t>    </w:t>
            </w:r>
          </w:p>
        </w:tc>
        <w:tc>
          <w:tcPr>
            <w:tcW w:w="113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17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78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3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113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117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578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132"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32"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78" w:type="dxa"/>
            <w:tcBorders/>
            <w:shd w:fill="CCEEFF" w:val="clear"/>
            <w:vAlign w:val="center"/>
          </w:tcPr>
          <w:p>
            <w:pPr>
              <w:pStyle w:val="TableContents"/>
              <w:bidi w:val="0"/>
              <w:spacing w:before="0" w:after="0"/>
              <w:ind w:left="0" w:right="0" w:hanging="0"/>
              <w:jc w:val="center"/>
              <w:rPr/>
            </w:pPr>
            <w:r>
              <w:rPr/>
              <w:t>​</w:t>
            </w:r>
          </w:p>
        </w:tc>
      </w:tr>
      <w:tr>
        <w:trPr/>
        <w:tc>
          <w:tcPr>
            <w:tcW w:w="578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transactions with third-parties</w:t>
            </w:r>
          </w:p>
        </w:tc>
        <w:tc>
          <w:tcPr>
            <w:tcW w:w="326" w:type="dxa"/>
            <w:tcBorders/>
            <w:vAlign w:val="center"/>
          </w:tcPr>
          <w:p>
            <w:pPr>
              <w:pStyle w:val="TableContents"/>
              <w:bidi w:val="0"/>
              <w:spacing w:before="0" w:after="0"/>
              <w:ind w:left="0" w:right="0" w:hanging="0"/>
              <w:jc w:val="left"/>
              <w:rPr/>
            </w:pPr>
            <w:r>
              <w:rPr/>
              <w:t>​</w:t>
            </w:r>
          </w:p>
        </w:tc>
        <w:tc>
          <w:tcPr>
            <w:tcW w:w="11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61,272,031</w:t>
            </w:r>
          </w:p>
        </w:tc>
        <w:tc>
          <w:tcPr>
            <w:tcW w:w="326" w:type="dxa"/>
            <w:tcBorders/>
            <w:vAlign w:val="center"/>
          </w:tcPr>
          <w:p>
            <w:pPr>
              <w:pStyle w:val="TableContents"/>
              <w:bidi w:val="0"/>
              <w:spacing w:before="0" w:after="0"/>
              <w:ind w:left="0" w:right="0" w:hanging="0"/>
              <w:jc w:val="left"/>
              <w:rPr/>
            </w:pPr>
            <w:r>
              <w:rPr/>
              <w:t>​</w:t>
            </w:r>
          </w:p>
        </w:tc>
        <w:tc>
          <w:tcPr>
            <w:tcW w:w="11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67,459,864</w:t>
            </w:r>
          </w:p>
        </w:tc>
        <w:tc>
          <w:tcPr>
            <w:tcW w:w="326" w:type="dxa"/>
            <w:tcBorders/>
            <w:vAlign w:val="center"/>
          </w:tcPr>
          <w:p>
            <w:pPr>
              <w:pStyle w:val="TableContents"/>
              <w:bidi w:val="0"/>
              <w:spacing w:before="0" w:after="0"/>
              <w:ind w:left="0" w:right="0" w:hanging="0"/>
              <w:jc w:val="left"/>
              <w:rPr/>
            </w:pPr>
            <w:r>
              <w:rPr/>
              <w:t>​</w:t>
            </w:r>
          </w:p>
        </w:tc>
        <w:tc>
          <w:tcPr>
            <w:tcW w:w="11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72,325,460</w:t>
            </w:r>
          </w:p>
        </w:tc>
      </w:tr>
      <w:tr>
        <w:trPr/>
        <w:tc>
          <w:tcPr>
            <w:tcW w:w="578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transactions with intra-Group companies related to technical consulting and related service</w:t>
            </w:r>
          </w:p>
        </w:tc>
        <w:tc>
          <w:tcPr>
            <w:tcW w:w="326" w:type="dxa"/>
            <w:tcBorders/>
            <w:shd w:fill="CCEEFF" w:val="clear"/>
            <w:vAlign w:val="center"/>
          </w:tcPr>
          <w:p>
            <w:pPr>
              <w:pStyle w:val="TableContents"/>
              <w:bidi w:val="0"/>
              <w:spacing w:before="0" w:after="0"/>
              <w:ind w:left="0" w:right="0" w:hanging="0"/>
              <w:jc w:val="left"/>
              <w:rPr/>
            </w:pPr>
            <w:r>
              <w:rPr/>
              <w:t>​</w:t>
            </w:r>
          </w:p>
        </w:tc>
        <w:tc>
          <w:tcPr>
            <w:tcW w:w="11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(59,439,552)</w:t>
            </w:r>
          </w:p>
        </w:tc>
        <w:tc>
          <w:tcPr>
            <w:tcW w:w="326" w:type="dxa"/>
            <w:tcBorders/>
            <w:shd w:fill="CCEEFF" w:val="clear"/>
            <w:vAlign w:val="center"/>
          </w:tcPr>
          <w:p>
            <w:pPr>
              <w:pStyle w:val="TableContents"/>
              <w:bidi w:val="0"/>
              <w:spacing w:before="0" w:after="0"/>
              <w:ind w:left="0" w:right="0" w:hanging="0"/>
              <w:jc w:val="left"/>
              <w:rPr/>
            </w:pPr>
            <w:r>
              <w:rPr/>
              <w:t>​</w:t>
            </w:r>
          </w:p>
        </w:tc>
        <w:tc>
          <w:tcPr>
            <w:tcW w:w="11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(66,970,818)</w:t>
            </w:r>
          </w:p>
        </w:tc>
        <w:tc>
          <w:tcPr>
            <w:tcW w:w="326" w:type="dxa"/>
            <w:tcBorders/>
            <w:shd w:fill="CCEEFF" w:val="clear"/>
            <w:vAlign w:val="center"/>
          </w:tcPr>
          <w:p>
            <w:pPr>
              <w:pStyle w:val="TableContents"/>
              <w:bidi w:val="0"/>
              <w:spacing w:before="0" w:after="0"/>
              <w:ind w:left="0" w:right="0" w:hanging="0"/>
              <w:jc w:val="left"/>
              <w:rPr/>
            </w:pPr>
            <w:r>
              <w:rPr/>
              <w:t>​</w:t>
            </w:r>
          </w:p>
        </w:tc>
        <w:tc>
          <w:tcPr>
            <w:tcW w:w="11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(73,298,667)</w:t>
            </w:r>
          </w:p>
        </w:tc>
      </w:tr>
      <w:tr>
        <w:trPr/>
        <w:tc>
          <w:tcPr>
            <w:tcW w:w="578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provided by other transactions with intra-Group companies</w:t>
            </w:r>
          </w:p>
        </w:tc>
        <w:tc>
          <w:tcPr>
            <w:tcW w:w="326" w:type="dxa"/>
            <w:tcBorders/>
            <w:vAlign w:val="center"/>
          </w:tcPr>
          <w:p>
            <w:pPr>
              <w:pStyle w:val="TableContents"/>
              <w:bidi w:val="0"/>
              <w:spacing w:before="0" w:after="0"/>
              <w:ind w:left="0" w:right="0" w:hanging="0"/>
              <w:jc w:val="left"/>
              <w:rPr/>
            </w:pPr>
            <w:r>
              <w:rPr/>
              <w:t>​</w:t>
            </w:r>
          </w:p>
        </w:tc>
        <w:tc>
          <w:tcPr>
            <w:tcW w:w="11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(283,621)</w:t>
            </w:r>
          </w:p>
        </w:tc>
        <w:tc>
          <w:tcPr>
            <w:tcW w:w="326" w:type="dxa"/>
            <w:tcBorders/>
            <w:vAlign w:val="center"/>
          </w:tcPr>
          <w:p>
            <w:pPr>
              <w:pStyle w:val="TableContents"/>
              <w:bidi w:val="0"/>
              <w:spacing w:before="0" w:after="0"/>
              <w:ind w:left="0" w:right="0" w:hanging="0"/>
              <w:jc w:val="left"/>
              <w:rPr/>
            </w:pPr>
            <w:r>
              <w:rPr/>
              <w:t>​</w:t>
            </w:r>
          </w:p>
        </w:tc>
        <w:tc>
          <w:tcPr>
            <w:tcW w:w="11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299,452</w:t>
            </w:r>
          </w:p>
        </w:tc>
        <w:tc>
          <w:tcPr>
            <w:tcW w:w="326" w:type="dxa"/>
            <w:tcBorders/>
            <w:vAlign w:val="center"/>
          </w:tcPr>
          <w:p>
            <w:pPr>
              <w:pStyle w:val="TableContents"/>
              <w:bidi w:val="0"/>
              <w:spacing w:before="0" w:after="0"/>
              <w:ind w:left="0" w:right="0" w:hanging="0"/>
              <w:jc w:val="left"/>
              <w:rPr/>
            </w:pPr>
            <w:r>
              <w:rPr/>
              <w:t>​</w:t>
            </w:r>
          </w:p>
        </w:tc>
        <w:tc>
          <w:tcPr>
            <w:tcW w:w="11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639,545</w:t>
            </w:r>
          </w:p>
        </w:tc>
      </w:tr>
      <w:tr>
        <w:trPr/>
        <w:tc>
          <w:tcPr>
            <w:tcW w:w="578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operating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113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1,548,858</w:t>
            </w:r>
          </w:p>
        </w:tc>
        <w:tc>
          <w:tcPr>
            <w:tcW w:w="326" w:type="dxa"/>
            <w:tcBorders/>
            <w:shd w:fill="CCEEFF" w:val="clear"/>
            <w:vAlign w:val="center"/>
          </w:tcPr>
          <w:p>
            <w:pPr>
              <w:pStyle w:val="TableContents"/>
              <w:bidi w:val="0"/>
              <w:spacing w:before="0" w:after="0"/>
              <w:ind w:left="0" w:right="0" w:hanging="0"/>
              <w:jc w:val="left"/>
              <w:rPr/>
            </w:pPr>
            <w:r>
              <w:rPr/>
              <w:t> </w:t>
            </w:r>
          </w:p>
        </w:tc>
        <w:tc>
          <w:tcPr>
            <w:tcW w:w="113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788,498</w:t>
            </w:r>
          </w:p>
        </w:tc>
        <w:tc>
          <w:tcPr>
            <w:tcW w:w="326" w:type="dxa"/>
            <w:tcBorders/>
            <w:shd w:fill="CCEEFF" w:val="clear"/>
            <w:vAlign w:val="center"/>
          </w:tcPr>
          <w:p>
            <w:pPr>
              <w:pStyle w:val="TableContents"/>
              <w:bidi w:val="0"/>
              <w:spacing w:before="0" w:after="0"/>
              <w:ind w:left="0" w:right="0" w:hanging="0"/>
              <w:jc w:val="left"/>
              <w:rPr/>
            </w:pPr>
            <w:r>
              <w:rPr/>
              <w:t> </w:t>
            </w:r>
          </w:p>
        </w:tc>
        <w:tc>
          <w:tcPr>
            <w:tcW w:w="117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(333,662)</w:t>
            </w:r>
          </w:p>
        </w:tc>
      </w:tr>
      <w:tr>
        <w:trPr/>
        <w:tc>
          <w:tcPr>
            <w:tcW w:w="578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3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3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78" w:type="dxa"/>
            <w:tcBorders/>
            <w:vAlign w:val="center"/>
          </w:tcPr>
          <w:p>
            <w:pPr>
              <w:pStyle w:val="TableContents"/>
              <w:bidi w:val="0"/>
              <w:spacing w:before="0" w:after="0"/>
              <w:ind w:left="0" w:right="0" w:hanging="0"/>
              <w:jc w:val="right"/>
              <w:rPr/>
            </w:pPr>
            <w:r>
              <w:rPr/>
              <w:t>​</w:t>
            </w:r>
          </w:p>
        </w:tc>
      </w:tr>
      <w:tr>
        <w:trPr/>
        <w:tc>
          <w:tcPr>
            <w:tcW w:w="578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13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3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78" w:type="dxa"/>
            <w:tcBorders/>
            <w:shd w:fill="CCEEFF" w:val="clear"/>
            <w:vAlign w:val="center"/>
          </w:tcPr>
          <w:p>
            <w:pPr>
              <w:pStyle w:val="TableContents"/>
              <w:bidi w:val="0"/>
              <w:spacing w:before="0" w:after="0"/>
              <w:ind w:left="0" w:right="0" w:hanging="0"/>
              <w:jc w:val="right"/>
              <w:rPr/>
            </w:pPr>
            <w:r>
              <w:rPr/>
              <w:t>​</w:t>
            </w:r>
          </w:p>
        </w:tc>
      </w:tr>
      <w:tr>
        <w:trPr/>
        <w:tc>
          <w:tcPr>
            <w:tcW w:w="578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transactions with third-parties</w:t>
            </w:r>
          </w:p>
        </w:tc>
        <w:tc>
          <w:tcPr>
            <w:tcW w:w="326" w:type="dxa"/>
            <w:tcBorders/>
            <w:vAlign w:val="center"/>
          </w:tcPr>
          <w:p>
            <w:pPr>
              <w:pStyle w:val="TableContents"/>
              <w:bidi w:val="0"/>
              <w:spacing w:before="0" w:after="0"/>
              <w:ind w:left="0" w:right="0" w:hanging="0"/>
              <w:jc w:val="left"/>
              <w:rPr/>
            </w:pPr>
            <w:r>
              <w:rPr/>
              <w:t>​</w:t>
            </w:r>
          </w:p>
        </w:tc>
        <w:tc>
          <w:tcPr>
            <w:tcW w:w="11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(39,430)</w:t>
            </w:r>
          </w:p>
        </w:tc>
        <w:tc>
          <w:tcPr>
            <w:tcW w:w="326" w:type="dxa"/>
            <w:tcBorders/>
            <w:vAlign w:val="center"/>
          </w:tcPr>
          <w:p>
            <w:pPr>
              <w:pStyle w:val="TableContents"/>
              <w:bidi w:val="0"/>
              <w:spacing w:before="0" w:after="0"/>
              <w:ind w:left="0" w:right="0" w:hanging="0"/>
              <w:jc w:val="left"/>
              <w:rPr/>
            </w:pPr>
            <w:r>
              <w:rPr/>
              <w:t>​</w:t>
            </w:r>
          </w:p>
        </w:tc>
        <w:tc>
          <w:tcPr>
            <w:tcW w:w="11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(71,832)</w:t>
            </w:r>
          </w:p>
        </w:tc>
        <w:tc>
          <w:tcPr>
            <w:tcW w:w="326" w:type="dxa"/>
            <w:tcBorders/>
            <w:vAlign w:val="center"/>
          </w:tcPr>
          <w:p>
            <w:pPr>
              <w:pStyle w:val="TableContents"/>
              <w:bidi w:val="0"/>
              <w:spacing w:before="0" w:after="0"/>
              <w:ind w:left="0" w:right="0" w:hanging="0"/>
              <w:jc w:val="left"/>
              <w:rPr/>
            </w:pPr>
            <w:r>
              <w:rPr/>
              <w:t>​</w:t>
            </w:r>
          </w:p>
        </w:tc>
        <w:tc>
          <w:tcPr>
            <w:tcW w:w="11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(82,645)</w:t>
            </w:r>
          </w:p>
        </w:tc>
      </w:tr>
      <w:tr>
        <w:trPr/>
        <w:tc>
          <w:tcPr>
            <w:tcW w:w="578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113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(39,430)</w:t>
            </w:r>
          </w:p>
        </w:tc>
        <w:tc>
          <w:tcPr>
            <w:tcW w:w="326" w:type="dxa"/>
            <w:tcBorders/>
            <w:shd w:fill="CCEEFF" w:val="clear"/>
            <w:vAlign w:val="center"/>
          </w:tcPr>
          <w:p>
            <w:pPr>
              <w:pStyle w:val="TableContents"/>
              <w:bidi w:val="0"/>
              <w:spacing w:before="0" w:after="0"/>
              <w:ind w:left="0" w:right="0" w:hanging="0"/>
              <w:jc w:val="left"/>
              <w:rPr/>
            </w:pPr>
            <w:r>
              <w:rPr/>
              <w:t> </w:t>
            </w:r>
          </w:p>
        </w:tc>
        <w:tc>
          <w:tcPr>
            <w:tcW w:w="113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(71,832)</w:t>
            </w:r>
          </w:p>
        </w:tc>
        <w:tc>
          <w:tcPr>
            <w:tcW w:w="326" w:type="dxa"/>
            <w:tcBorders/>
            <w:shd w:fill="CCEEFF" w:val="clear"/>
            <w:vAlign w:val="center"/>
          </w:tcPr>
          <w:p>
            <w:pPr>
              <w:pStyle w:val="TableContents"/>
              <w:bidi w:val="0"/>
              <w:spacing w:before="0" w:after="0"/>
              <w:ind w:left="0" w:right="0" w:hanging="0"/>
              <w:jc w:val="left"/>
              <w:rPr/>
            </w:pPr>
            <w:r>
              <w:rPr/>
              <w:t> </w:t>
            </w:r>
          </w:p>
        </w:tc>
        <w:tc>
          <w:tcPr>
            <w:tcW w:w="117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(82,645)</w:t>
            </w:r>
          </w:p>
        </w:tc>
      </w:tr>
      <w:tr>
        <w:trPr/>
        <w:tc>
          <w:tcPr>
            <w:tcW w:w="578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3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3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78" w:type="dxa"/>
            <w:tcBorders/>
            <w:vAlign w:val="center"/>
          </w:tcPr>
          <w:p>
            <w:pPr>
              <w:pStyle w:val="TableContents"/>
              <w:bidi w:val="0"/>
              <w:spacing w:before="0" w:after="0"/>
              <w:ind w:left="0" w:right="0" w:hanging="0"/>
              <w:jc w:val="right"/>
              <w:rPr/>
            </w:pPr>
            <w:r>
              <w:rPr/>
              <w:t>​</w:t>
            </w:r>
          </w:p>
        </w:tc>
      </w:tr>
      <w:tr>
        <w:trPr/>
        <w:tc>
          <w:tcPr>
            <w:tcW w:w="578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13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3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78" w:type="dxa"/>
            <w:tcBorders/>
            <w:shd w:fill="CCEEFF" w:val="clear"/>
            <w:vAlign w:val="center"/>
          </w:tcPr>
          <w:p>
            <w:pPr>
              <w:pStyle w:val="TableContents"/>
              <w:bidi w:val="0"/>
              <w:spacing w:before="0" w:after="0"/>
              <w:ind w:left="0" w:right="0" w:hanging="0"/>
              <w:jc w:val="right"/>
              <w:rPr/>
            </w:pPr>
            <w:r>
              <w:rPr/>
              <w:t>​</w:t>
            </w:r>
          </w:p>
        </w:tc>
      </w:tr>
      <w:tr>
        <w:trPr/>
        <w:tc>
          <w:tcPr>
            <w:tcW w:w="578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transactions with intra-Group companies</w:t>
            </w:r>
          </w:p>
        </w:tc>
        <w:tc>
          <w:tcPr>
            <w:tcW w:w="326" w:type="dxa"/>
            <w:tcBorders/>
            <w:vAlign w:val="center"/>
          </w:tcPr>
          <w:p>
            <w:pPr>
              <w:pStyle w:val="TableContents"/>
              <w:bidi w:val="0"/>
              <w:spacing w:before="0" w:after="0"/>
              <w:ind w:left="0" w:right="0" w:hanging="0"/>
              <w:jc w:val="left"/>
              <w:rPr/>
            </w:pPr>
            <w:r>
              <w:rPr/>
              <w:t>​</w:t>
            </w:r>
          </w:p>
        </w:tc>
        <w:tc>
          <w:tcPr>
            <w:tcW w:w="11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(622,809)</w:t>
            </w:r>
          </w:p>
        </w:tc>
        <w:tc>
          <w:tcPr>
            <w:tcW w:w="326" w:type="dxa"/>
            <w:tcBorders/>
            <w:vAlign w:val="center"/>
          </w:tcPr>
          <w:p>
            <w:pPr>
              <w:pStyle w:val="TableContents"/>
              <w:bidi w:val="0"/>
              <w:spacing w:before="0" w:after="0"/>
              <w:ind w:left="0" w:right="0" w:hanging="0"/>
              <w:jc w:val="left"/>
              <w:rPr/>
            </w:pPr>
            <w:r>
              <w:rPr/>
              <w:t>​</w:t>
            </w:r>
          </w:p>
        </w:tc>
        <w:tc>
          <w:tcPr>
            <w:tcW w:w="11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(105,448)</w:t>
            </w:r>
          </w:p>
        </w:tc>
        <w:tc>
          <w:tcPr>
            <w:tcW w:w="326" w:type="dxa"/>
            <w:tcBorders/>
            <w:vAlign w:val="center"/>
          </w:tcPr>
          <w:p>
            <w:pPr>
              <w:pStyle w:val="TableContents"/>
              <w:bidi w:val="0"/>
              <w:spacing w:before="0" w:after="0"/>
              <w:ind w:left="0" w:right="0" w:hanging="0"/>
              <w:jc w:val="left"/>
              <w:rPr/>
            </w:pPr>
            <w:r>
              <w:rPr/>
              <w:t>​</w:t>
            </w:r>
          </w:p>
        </w:tc>
        <w:tc>
          <w:tcPr>
            <w:tcW w:w="11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(52,839)</w:t>
            </w:r>
          </w:p>
        </w:tc>
      </w:tr>
      <w:tr>
        <w:trPr/>
        <w:tc>
          <w:tcPr>
            <w:tcW w:w="578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provided by transactions with third-parties</w:t>
            </w:r>
          </w:p>
        </w:tc>
        <w:tc>
          <w:tcPr>
            <w:tcW w:w="326" w:type="dxa"/>
            <w:tcBorders/>
            <w:shd w:fill="CCEEFF" w:val="clear"/>
            <w:vAlign w:val="center"/>
          </w:tcPr>
          <w:p>
            <w:pPr>
              <w:pStyle w:val="TableContents"/>
              <w:bidi w:val="0"/>
              <w:spacing w:before="0" w:after="0"/>
              <w:ind w:left="0" w:right="0" w:hanging="0"/>
              <w:jc w:val="left"/>
              <w:rPr/>
            </w:pPr>
            <w:r>
              <w:rPr/>
              <w:t>​</w:t>
            </w:r>
          </w:p>
        </w:tc>
        <w:tc>
          <w:tcPr>
            <w:tcW w:w="11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(678,287)</w:t>
            </w:r>
          </w:p>
        </w:tc>
        <w:tc>
          <w:tcPr>
            <w:tcW w:w="326" w:type="dxa"/>
            <w:tcBorders/>
            <w:shd w:fill="CCEEFF" w:val="clear"/>
            <w:vAlign w:val="center"/>
          </w:tcPr>
          <w:p>
            <w:pPr>
              <w:pStyle w:val="TableContents"/>
              <w:bidi w:val="0"/>
              <w:spacing w:before="0" w:after="0"/>
              <w:ind w:left="0" w:right="0" w:hanging="0"/>
              <w:jc w:val="left"/>
              <w:rPr/>
            </w:pPr>
            <w:r>
              <w:rPr/>
              <w:t>​</w:t>
            </w:r>
          </w:p>
        </w:tc>
        <w:tc>
          <w:tcPr>
            <w:tcW w:w="11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(52,541)</w:t>
            </w:r>
          </w:p>
        </w:tc>
        <w:tc>
          <w:tcPr>
            <w:tcW w:w="326" w:type="dxa"/>
            <w:tcBorders/>
            <w:shd w:fill="CCEEFF" w:val="clear"/>
            <w:vAlign w:val="center"/>
          </w:tcPr>
          <w:p>
            <w:pPr>
              <w:pStyle w:val="TableContents"/>
              <w:bidi w:val="0"/>
              <w:spacing w:before="0" w:after="0"/>
              <w:ind w:left="0" w:right="0" w:hanging="0"/>
              <w:jc w:val="left"/>
              <w:rPr/>
            </w:pPr>
            <w:r>
              <w:rPr/>
              <w:t>​</w:t>
            </w:r>
          </w:p>
        </w:tc>
        <w:tc>
          <w:tcPr>
            <w:tcW w:w="11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15,673</w:t>
            </w:r>
          </w:p>
        </w:tc>
      </w:tr>
      <w:tr>
        <w:trPr/>
        <w:tc>
          <w:tcPr>
            <w:tcW w:w="578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financing activities</w:t>
            </w:r>
          </w:p>
        </w:tc>
        <w:tc>
          <w:tcPr>
            <w:tcW w:w="326" w:type="dxa"/>
            <w:tcBorders/>
            <w:vAlign w:val="center"/>
          </w:tcPr>
          <w:p>
            <w:pPr>
              <w:pStyle w:val="TableContents"/>
              <w:bidi w:val="0"/>
              <w:spacing w:before="0" w:after="0"/>
              <w:ind w:left="0" w:right="0" w:hanging="0"/>
              <w:jc w:val="left"/>
              <w:rPr/>
            </w:pPr>
            <w:r>
              <w:rPr/>
              <w:t> </w:t>
            </w:r>
          </w:p>
        </w:tc>
        <w:tc>
          <w:tcPr>
            <w:tcW w:w="1132"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(1,301,096)</w:t>
            </w:r>
          </w:p>
        </w:tc>
        <w:tc>
          <w:tcPr>
            <w:tcW w:w="326" w:type="dxa"/>
            <w:tcBorders/>
            <w:vAlign w:val="center"/>
          </w:tcPr>
          <w:p>
            <w:pPr>
              <w:pStyle w:val="TableContents"/>
              <w:bidi w:val="0"/>
              <w:spacing w:before="0" w:after="0"/>
              <w:ind w:left="0" w:right="0" w:hanging="0"/>
              <w:jc w:val="left"/>
              <w:rPr/>
            </w:pPr>
            <w:r>
              <w:rPr/>
              <w:t> </w:t>
            </w:r>
          </w:p>
        </w:tc>
        <w:tc>
          <w:tcPr>
            <w:tcW w:w="1132"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(157,989)</w:t>
            </w:r>
          </w:p>
        </w:tc>
        <w:tc>
          <w:tcPr>
            <w:tcW w:w="326" w:type="dxa"/>
            <w:tcBorders/>
            <w:vAlign w:val="center"/>
          </w:tcPr>
          <w:p>
            <w:pPr>
              <w:pStyle w:val="TableContents"/>
              <w:bidi w:val="0"/>
              <w:spacing w:before="0" w:after="0"/>
              <w:ind w:left="0" w:right="0" w:hanging="0"/>
              <w:jc w:val="left"/>
              <w:rPr/>
            </w:pPr>
            <w:r>
              <w:rPr/>
              <w:t> </w:t>
            </w:r>
          </w:p>
        </w:tc>
        <w:tc>
          <w:tcPr>
            <w:tcW w:w="1178"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(37,166)</w:t>
            </w:r>
          </w:p>
        </w:tc>
      </w:tr>
    </w:tbl>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accordance with various contractual agreements, the Company has the power to direct the activities of the VIEs and can have assets transferred out of the VIEs. Therefore, the Company considers that there are no assets in the respective VIEs that can be used only to settle obligations of the respective VIEs, except for the registered capital of the VIEs amounting to approximately RMB659.7 million and RMB626.1 million, respectively, as of December 31, 2022 and 2023, as well as certain non-distributable statutory reserves amounting to approximately RMB82.4 million and RMB96.3 million, respectively, as of December 31, 2022 and 2023. As the respective VIEs are incorporated as limited liability companies under the PRC Company Law, creditors do not have recourse to the general credit of the Company for the liabilities of the respective VIEs.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Currently, there are certain contractual arrangements between the Company and several of VIEs which require the Company to provide additional financial support or guarantees to the VIEs, where necessary. Please see Note 1(b) for additional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is no entity in the Company’s group for which the Company has a variable interest but is not the primary beneficiary as of December 31, 2022 and 2023.</w:t>
      </w:r>
    </w:p>
    <w:tbl>
      <w:tblPr>
        <w:tblW w:w="2282" w:type="dxa"/>
        <w:jc w:val="left"/>
        <w:tblInd w:w="0" w:type="dxa"/>
        <w:tblLayout w:type="fixed"/>
        <w:tblCellMar>
          <w:top w:w="0" w:type="dxa"/>
          <w:left w:w="0" w:type="dxa"/>
          <w:bottom w:w="0" w:type="dxa"/>
          <w:right w:w="0" w:type="dxa"/>
        </w:tblCellMar>
      </w:tblPr>
      <w:tblGrid>
        <w:gridCol w:w="346"/>
        <w:gridCol w:w="1936"/>
      </w:tblGrid>
      <w:tr>
        <w:trPr/>
        <w:tc>
          <w:tcPr>
            <w:tcW w:w="34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(b)</w:t>
            </w:r>
          </w:p>
        </w:tc>
        <w:tc>
          <w:tcPr>
            <w:tcW w:w="193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0"/>
              </w:rPr>
              <w:t>Nature of operations</w:t>
            </w:r>
            <w:r>
              <w:rPr>
                <w:rFonts w:ascii="Times New Roman;Times;serif" w:hAnsi="Times New Roman;Times;serif"/>
                <w:sz w:val="20"/>
              </w:rPr>
              <w:t xml:space="preserve"> </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 generates revenues mainly from providing online game services, tutoring services, sales of smart devices, online music services, live streaming services, advertising services, e-commerce and other fee-based premium services.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industry in which the Group operates is subject to a number of industry-specific risk factors, including, but not limited to, rapidly changing technologies; government regulations of the Internet, online game, online education, online music, live streaming and e-commerce industry in China; numbers of new entrants; dependence on key individuals; competition of similar services from larger companies; customer preferences; and the need for the continued successful development, marketing and selling of its services.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VIE arrangements with major VIEs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 conducts its business mainly in China. The Chinese government regulates Internet access, telecommunications services, the distribution of various information and the provision of commerce through strict business licensing requirements and other governmental regulations, which include, among others, those restricting foreign ownership in Chinese companies providing Internet advertising and other Internet or telecommunications value-added services. To comply with the existing Chinese laws and regulations, the Company and certain of its subsidiaries have entered into a series of contractual arrangements with the major VIEs with respect to the operation of the NetEase websites, operation of in-house developed and licensed PC and mobile games, Internet content and wireless value-added services, as well as the provision of advertising services.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Based on the agreements with these VIEs, certain of the Company’s subsidiaries provided technical consulting and related services to these VIEs. The principal agreements that transfer economic benefits of Guangzhou NetEase and Hangzhou Leihuo to the Company and its subsidiaries are: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Cooperative agreements with Guangzhou NetEase - </w:t>
            </w:r>
            <w:r>
              <w:rPr>
                <w:rFonts w:ascii="Times New Roman;Times;serif" w:hAnsi="Times New Roman;Times;serif"/>
                <w:b w:val="false"/>
                <w:i w:val="false"/>
                <w:caps w:val="false"/>
                <w:smallCaps w:val="false"/>
                <w:sz w:val="20"/>
              </w:rPr>
              <w:t>under these agreements, certain of the Company’s subsidiaries, including Boguan and NetEase Hangzhou provide various technical consulting and related services to Guangzhou NetEase in exchange for substantially all of Guangzhou NetEase’s net profits.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Cooperative agreements with Hangzhou Leihuo -</w:t>
            </w:r>
            <w:r>
              <w:rPr>
                <w:caps w:val="false"/>
                <w:smallCaps w:val="false"/>
              </w:rPr>
              <w:t xml:space="preserve"> </w:t>
            </w:r>
            <w:r>
              <w:rPr>
                <w:rFonts w:ascii="Times New Roman;Times;serif" w:hAnsi="Times New Roman;Times;serif"/>
                <w:b w:val="false"/>
                <w:i w:val="false"/>
                <w:caps w:val="false"/>
                <w:smallCaps w:val="false"/>
                <w:sz w:val="20"/>
              </w:rPr>
              <w:t>under these agreements, certain of the Company’s subsidiaries, including NetEase Hangzhou provide various technical consulting and related services to Hangzhou Leihuo in exchange for substantially all of Hangzhou Leihuo’s net profits.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Each cooperative agreement will remain in effect indefinitely unless any one of the contract parties terminates such agreement by written notice or otherwise required by law.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Each VIE, the relevant subsidiary of the Company and the relevant VIE shareholders have entered into a series of agreements that provide the Company with the power to direct the activities that most significantly impact the economic performance of the VIEs and provide the Company with economic benefits of these VIEs and as such the Company is the primary beneficiary and consolidate the VIEs for financial reporting. The principal agreements that provide the Company and its subsidiaries with such power and economic benefits over Guangzhou NetEase are: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Shareholder Voting Rights Trust Agreement among the VIE shareholders of Guangzhou NetEase and the Company’s subsidiary, NetEase Information Technology (Beijing) Co., Ltd. (“NetEase Beijing”). Each of the VIE shareholders irrevocably appoints NetEase Beijing to represent him to exercise all the voting rights to which he is entitled as a shareholder of Guangzhou NetEase. The term of this agreement is 20 years</w:t>
            </w:r>
            <w:r>
              <w:rPr>
                <w:caps w:val="false"/>
                <w:smallCaps w:val="false"/>
              </w:rPr>
              <w:t xml:space="preserve"> </w:t>
            </w:r>
            <w:r>
              <w:rPr>
                <w:rFonts w:ascii="Times New Roman;Times;serif" w:hAnsi="Times New Roman;Times;serif"/>
                <w:b w:val="false"/>
                <w:i w:val="false"/>
                <w:caps w:val="false"/>
                <w:smallCaps w:val="false"/>
                <w:sz w:val="20"/>
              </w:rPr>
              <w:t>from May 12, 2010.</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Letter of Agreement. Each of the VIE shareholders of Guangzhou NetEase have agreed that any amendments to be made to the agreements to which the Company, NetEase Beijing and/or their respective affiliates is a party, on the one hand, and any of their variable interest entities and/or the shareholders of such entities, on the other hand, shall be subject to the approval by the vote of a majority of the Board of the Company, excluding the vote of Mr. Ding. The VIE shareholders have also agreed that, if any amendments to the above-mentioned agreements require a vote of the shareholders of the Company or Guangzhou NetEase, as applicable, both of them will vote in their capacity as direct or indirect shareholders of these companies to act based upon the instructions of the Company’s Board. The term of this agreement is 20 years</w:t>
            </w:r>
            <w:r>
              <w:rPr>
                <w:caps w:val="false"/>
                <w:smallCaps w:val="false"/>
              </w:rPr>
              <w:t xml:space="preserve"> </w:t>
            </w:r>
            <w:r>
              <w:rPr>
                <w:rFonts w:ascii="Times New Roman;Times;serif" w:hAnsi="Times New Roman;Times;serif"/>
                <w:b w:val="false"/>
                <w:i w:val="false"/>
                <w:caps w:val="false"/>
                <w:smallCaps w:val="false"/>
                <w:sz w:val="20"/>
              </w:rPr>
              <w:t>from May 12, 2010.</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Governance Arrangements. The parties have agreed that upon the Company’s determination and at any time when NetEase Beijing or its affiliates are able to obtain approval to invest in and operate all or any part of any business operated by Guangzhou NetEase, NetEase Beijing or its affiliates may acquire all or any part of the assets or equity interests of Guangzhou NetEase, to the extent permitted by Chinese law.</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principal agreements that provide the Company and its subsidiaries with such power and economic benefits over Hangzhou Leihuo are: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Operating Agreement among NetEase Hangzhou, Hangzhou Leihuo and the VIE shareholders of Hangzhou Leihuo. To ensure the successful performance of the various agreements between the parties, Hangzhou Leihuo and its VIE shareholders have agreed that, except for transactions in the ordinary course of business, Hangzhou Leihuo will not enter into any transaction that would materially affect the assets, liabilities, rights or operations of Hangzhou Leihuo without the prior written consent of NetEase Hangzhou. NetEase Hangzhou has also agreed that it will provide performance guarantees and, at NetEase Hangzhou’s discretion, guarantee loans for working capital purposes to the extent required by Hangzhou Leihuo for its operations. Furthermore, the VIE shareholders of Hangzhou Leihuo have agreed that, upon instruction from NetEase Hangzhou, they will appoint Hangzhou Leihuo’s board members, president, chief financial officer and other senior executive officers. The term of this agreement is 20 years</w:t>
            </w:r>
            <w:r>
              <w:rPr>
                <w:caps w:val="false"/>
                <w:smallCaps w:val="false"/>
              </w:rPr>
              <w:t xml:space="preserve"> </w:t>
            </w:r>
            <w:r>
              <w:rPr>
                <w:rFonts w:ascii="Times New Roman;Times;serif" w:hAnsi="Times New Roman;Times;serif"/>
                <w:b w:val="false"/>
                <w:i w:val="false"/>
                <w:caps w:val="false"/>
                <w:smallCaps w:val="false"/>
                <w:sz w:val="20"/>
              </w:rPr>
              <w:t>from December 1, 2015 and can be extended with the written consent of NetEase Hangzhou.</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 Voting Rights Trust Agreement among NetEase Hangzhou and the VIE shareholders of Hangzhou Leihuo. Under these agreements, each of the VIE shareholders of Hangzhou Leihuo agreed to irrevocably entrust a person designated by NetEase Hangzhou to represent him to exercise all the voting rights and other shareholders’ rights to which he is entitled as a shareholder of Hangzhou Leihuo. Each agreement shall remain effective for as long as the VIE shareholder remains a shareholder of Hangzhou Leihuo unless NetEase Hangzhou unilaterally terminates the agreement by written notice.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Exclusive Purchase Option Agreements among NetEase Hangzhou, Hangzhou Leihuo and the VIE shareholders of Hangzhou Leihuo. Under the Exclusive Purchase Option Agreements, each of the VIE shareholders has granted NetEase Hangzhou an option to purchase all or a portion of his equity interest in Hangzhou Leihuo at a price equal to the original and any additional paid-in capital paid by the VIE shareholder. In addition, Hangzhou Leihuo has granted NetEase Hangzhou an option to purchase all or a portion of the assets held by Hangzhou Leihuo or its subsidiaries at a price equal to the net book value of such assets. Each of Hangzhou Leihuo and the VIE shareholders of Hangzhou Leihuo agrees not to transfer, mortgage or permit any security interest to be created on any equity interest in or assets of Hangzhou Leihuo without the prior written consent of NetEase Hangzhou. Each Exclusive Purchase Option Agreement shall remain in effect until all of the equity interests in or assets of Hangzhou Leihuo have been acquired by NetEase Hangzhou or its designee or until NetEase Hangzhou unilaterally terminates the agreement by written notice.</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principal agreements amongst the other VIEs, the relevant subsidiaries and VIE shareholders that provide the Company with the power to direct the activities that most significantly impact the economic performance of the VIEs and provide the Company with economic benefits of these VIEs contains substantially the same terms as those aforementioned agreements related to Hangzhou Leihuo, except that contract expiry date varies.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conducts substantially all of its business through the various VIEs discussed above and their subsidiaries, and therefore these companies directly affect the Company’s financial performance and cash flows. As discussed below, if the Chinese government determines the VIE agreements do not comply with applicable laws and regulations and requires the Company to restructure its operations entirely or discontinue all or any portion of its business, or if the uncertainties in the PRC legal system limit the Group’s ability to enforce these contractual agreements, the Group’s business operations will be significantly disrupted and the Group might be unable to consolidate these companies in the future. In the opinion of management, the likelihood of loss in respect of the Group’s current ownership structure or the contractual arrangements with the VIEs is remote.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Risks related to the VIE arrangements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believes that its contractual arrangements with the VIEs are in compliance with PRC law and are legally enforceable. Mr. Ding, who is the major shareholder of Guangzhou NetEase and certain of the other VIEs, is the largest shareholder of the Company. He therefore has no current interest in seeking to act contrary to the contractual arrangements. However, uncertainties in the PRC legal system could limit the Company’s ability to enforce these contractual arrangements and if Mr. Ding were to reduce his interest in the Company, his interests may diverge from that of the Company and that may potentially increase the risk that he would seek to act contrary to the contractual terms, for example by influencing the VIEs not to pay the service fees when required to do so. If the VIEs or their respective shareholder fail to perform their respective obligations under the current contractual arrangements, the Company may have to incur substantial costs and expend significant resources to enforce those arrangements and rely on legal remedies under Chinese laws. Many Chinese laws, rules and regulations are relatively new, and because of the limited volume of published decisions and their non-binding nature, the interpretation and enforcement of these laws, rules and regulations involve substantial uncertainties. These uncertainties may impede the ability of the Company to enforce these contractual arrangements, or cause the Company to suffer significant delay or other obstacles in the process of enforcing these contractual arrangements and may materially and adversely affect the results of operations and the financial position of the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many Chinese regulations are subject to extensive interpretive powers of governmental agencies and commissions, and there are substantial uncertainties regarding the interpretation and application of current and future Chinese laws and regulations. Accordingly, the Company cannot be assured that Chinese regulatory authorities will not ultimately take a contrary view to its belief and will not take action to prohibit or restrict its business activities. The relevant regulatory authorities would have broad discretion in dealing with any deemed violations which may adversely impact the financial statements, operations and cash flows of the Company (including the restriction on the Company to carry out the business). If the legal structure and contractual arrangements were found to be in violation of any existing PRC laws and regulations, the PRC government could potentially:</w:t>
      </w:r>
    </w:p>
    <w:tbl>
      <w:tblPr>
        <w:tblW w:w="4731" w:type="dxa"/>
        <w:jc w:val="left"/>
        <w:tblInd w:w="0" w:type="dxa"/>
        <w:tblLayout w:type="fixed"/>
        <w:tblCellMar>
          <w:top w:w="28" w:type="dxa"/>
          <w:left w:w="28" w:type="dxa"/>
          <w:bottom w:w="28" w:type="dxa"/>
          <w:right w:w="28" w:type="dxa"/>
        </w:tblCellMar>
      </w:tblPr>
      <w:tblGrid>
        <w:gridCol w:w="124"/>
        <w:gridCol w:w="256"/>
        <w:gridCol w:w="43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revoke the Group’s business and operating licenses;</w:t>
            </w:r>
          </w:p>
        </w:tc>
      </w:tr>
    </w:tbl>
    <w:tbl>
      <w:tblPr>
        <w:tblW w:w="4941" w:type="dxa"/>
        <w:jc w:val="left"/>
        <w:tblInd w:w="0" w:type="dxa"/>
        <w:tblLayout w:type="fixed"/>
        <w:tblCellMar>
          <w:top w:w="28" w:type="dxa"/>
          <w:left w:w="28" w:type="dxa"/>
          <w:bottom w:w="28" w:type="dxa"/>
          <w:right w:w="28" w:type="dxa"/>
        </w:tblCellMar>
      </w:tblPr>
      <w:tblGrid>
        <w:gridCol w:w="124"/>
        <w:gridCol w:w="256"/>
        <w:gridCol w:w="45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the Group to discontinue or restrict operations;</w:t>
            </w:r>
          </w:p>
        </w:tc>
      </w:tr>
    </w:tbl>
    <w:tbl>
      <w:tblPr>
        <w:tblW w:w="4146" w:type="dxa"/>
        <w:jc w:val="left"/>
        <w:tblInd w:w="0" w:type="dxa"/>
        <w:tblLayout w:type="fixed"/>
        <w:tblCellMar>
          <w:top w:w="28" w:type="dxa"/>
          <w:left w:w="28" w:type="dxa"/>
          <w:bottom w:w="28" w:type="dxa"/>
          <w:right w:w="28" w:type="dxa"/>
        </w:tblCellMar>
      </w:tblPr>
      <w:tblGrid>
        <w:gridCol w:w="124"/>
        <w:gridCol w:w="256"/>
        <w:gridCol w:w="37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 the Group’s right to collect revenues;</w:t>
            </w:r>
          </w:p>
        </w:tc>
      </w:tr>
    </w:tbl>
    <w:tbl>
      <w:tblPr>
        <w:tblW w:w="2781" w:type="dxa"/>
        <w:jc w:val="left"/>
        <w:tblInd w:w="0" w:type="dxa"/>
        <w:tblLayout w:type="fixed"/>
        <w:tblCellMar>
          <w:top w:w="28" w:type="dxa"/>
          <w:left w:w="28" w:type="dxa"/>
          <w:bottom w:w="28" w:type="dxa"/>
          <w:right w:w="28" w:type="dxa"/>
        </w:tblCellMar>
      </w:tblPr>
      <w:tblGrid>
        <w:gridCol w:w="124"/>
        <w:gridCol w:w="256"/>
        <w:gridCol w:w="24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the Group’s websites;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the Group to restructure the operations in such a way as to compel the Group to establish a new enterprise, re-apply for the necessary licenses or relocate the Group’s businesses, staff and assets;</w:t>
            </w:r>
          </w:p>
        </w:tc>
      </w:tr>
    </w:tbl>
    <w:tbl>
      <w:tblPr>
        <w:tblW w:w="8496" w:type="dxa"/>
        <w:jc w:val="left"/>
        <w:tblInd w:w="0" w:type="dxa"/>
        <w:tblLayout w:type="fixed"/>
        <w:tblCellMar>
          <w:top w:w="28" w:type="dxa"/>
          <w:left w:w="28" w:type="dxa"/>
          <w:bottom w:w="28" w:type="dxa"/>
          <w:right w:w="28" w:type="dxa"/>
        </w:tblCellMar>
      </w:tblPr>
      <w:tblGrid>
        <w:gridCol w:w="124"/>
        <w:gridCol w:w="256"/>
        <w:gridCol w:w="8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impose additional conditions or requirements with which the Group may not be able to comply; or</w:t>
            </w:r>
          </w:p>
        </w:tc>
      </w:tr>
    </w:tbl>
    <w:tbl>
      <w:tblPr>
        <w:tblW w:w="9366" w:type="dxa"/>
        <w:jc w:val="left"/>
        <w:tblInd w:w="0" w:type="dxa"/>
        <w:tblLayout w:type="fixed"/>
        <w:tblCellMar>
          <w:top w:w="28" w:type="dxa"/>
          <w:left w:w="28" w:type="dxa"/>
          <w:bottom w:w="28" w:type="dxa"/>
          <w:right w:w="28" w:type="dxa"/>
        </w:tblCellMar>
      </w:tblPr>
      <w:tblGrid>
        <w:gridCol w:w="124"/>
        <w:gridCol w:w="256"/>
        <w:gridCol w:w="8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take other regulatory or enforcement actions against the Group that could be harmful to the Group’s business.</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imposition of any of these penalties may result in a material and adverse effect on the Group’s ability to conduct the Group’s business. In addition, if the imposition of any of these penalties causes the Group to lose the rights to direct the activities of the VIEs or the right to receive their economic benefits, the Group would no longer be able to consolidate the VIEs. The Group does not believe that any penalties imposed or actions taken by the PRC government would result in the liquidation of the Company, its subsidiaries or the VIEs. The Company believes the possibility that it will no longer be able to consolidate the VIEs as a result of the aforementioned risks and uncertainties is remote.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2927" w:type="dxa"/>
        <w:jc w:val="left"/>
        <w:tblInd w:w="0" w:type="dxa"/>
        <w:tblLayout w:type="fixed"/>
        <w:tblCellMar>
          <w:top w:w="0" w:type="dxa"/>
          <w:left w:w="0" w:type="dxa"/>
          <w:bottom w:w="0" w:type="dxa"/>
          <w:right w:w="0" w:type="dxa"/>
        </w:tblCellMar>
      </w:tblPr>
      <w:tblGrid>
        <w:gridCol w:w="271"/>
        <w:gridCol w:w="2656"/>
      </w:tblGrid>
      <w:tr>
        <w:trPr/>
        <w:tc>
          <w:tcPr>
            <w:tcW w:w="27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2.</w:t>
            </w:r>
          </w:p>
        </w:tc>
        <w:tc>
          <w:tcPr>
            <w:tcW w:w="265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Principal Accounting Policies</w:t>
            </w:r>
          </w:p>
        </w:tc>
      </w:tr>
    </w:tbl>
    <w:tbl>
      <w:tblPr>
        <w:tblW w:w="2342" w:type="dxa"/>
        <w:jc w:val="left"/>
        <w:tblInd w:w="0" w:type="dxa"/>
        <w:tblLayout w:type="fixed"/>
        <w:tblCellMar>
          <w:top w:w="0" w:type="dxa"/>
          <w:left w:w="0" w:type="dxa"/>
          <w:bottom w:w="0" w:type="dxa"/>
          <w:right w:w="0" w:type="dxa"/>
        </w:tblCellMar>
      </w:tblPr>
      <w:tblGrid>
        <w:gridCol w:w="346"/>
        <w:gridCol w:w="1996"/>
      </w:tblGrid>
      <w:tr>
        <w:trPr/>
        <w:tc>
          <w:tcPr>
            <w:tcW w:w="34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(a)</w:t>
            </w:r>
          </w:p>
        </w:tc>
        <w:tc>
          <w:tcPr>
            <w:tcW w:w="199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Basis of consolidation</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consolidated financial statements include the financial statements of the Company, its subsidiaries and the VIEs for which the Company is the primary beneficiary with the ownership interests of minority shareholders reported as noncontrolling interests. All significant transactions and balances among the Company, its subsidiaries and the VIEs have been eliminated upon consolidation. The Company consolidates a VIE if the Company has the power to direct matters that most significantly impact the activities of the VIE, and has the obligation to absorb losses or the right to receive benefits of the VIE that could potentially be significant to the VIE.</w:t>
      </w:r>
    </w:p>
    <w:tbl>
      <w:tblPr>
        <w:tblW w:w="2252" w:type="dxa"/>
        <w:jc w:val="left"/>
        <w:tblInd w:w="0" w:type="dxa"/>
        <w:tblLayout w:type="fixed"/>
        <w:tblCellMar>
          <w:top w:w="0" w:type="dxa"/>
          <w:left w:w="0" w:type="dxa"/>
          <w:bottom w:w="0" w:type="dxa"/>
          <w:right w:w="0" w:type="dxa"/>
        </w:tblCellMar>
      </w:tblPr>
      <w:tblGrid>
        <w:gridCol w:w="346"/>
        <w:gridCol w:w="1906"/>
      </w:tblGrid>
      <w:tr>
        <w:trPr/>
        <w:tc>
          <w:tcPr>
            <w:tcW w:w="34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(b)</w:t>
            </w:r>
          </w:p>
        </w:tc>
        <w:tc>
          <w:tcPr>
            <w:tcW w:w="190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Basis of presentation</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consolidated financial statements have been prepared in accordance with accounting principles generally accepted in the United States of America (“US GAAP”).</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preparation of financial statements in conformity with US GAAP requires management to make estimates and assumptions that affect the reported amounts of assets and liabilities and disclosures of contingent assets and liabilities at the balance sheet dates and the reported amounts of revenues and expenses during the reporting periods. Actual results might differ from those estimates. Critical accounting estimates and assumptions include, but are not limited to, assessing the following: revenues for in-game virtual items over the estimated average playing period of paying players and impairment of long-term investments.</w:t>
      </w:r>
    </w:p>
    <w:tbl>
      <w:tblPr>
        <w:tblW w:w="2222" w:type="dxa"/>
        <w:jc w:val="left"/>
        <w:tblInd w:w="0" w:type="dxa"/>
        <w:tblLayout w:type="fixed"/>
        <w:tblCellMar>
          <w:top w:w="0" w:type="dxa"/>
          <w:left w:w="0" w:type="dxa"/>
          <w:bottom w:w="0" w:type="dxa"/>
          <w:right w:w="0" w:type="dxa"/>
        </w:tblCellMar>
      </w:tblPr>
      <w:tblGrid>
        <w:gridCol w:w="331"/>
        <w:gridCol w:w="1891"/>
      </w:tblGrid>
      <w:tr>
        <w:trPr/>
        <w:tc>
          <w:tcPr>
            <w:tcW w:w="33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(c)</w:t>
            </w:r>
          </w:p>
        </w:tc>
        <w:tc>
          <w:tcPr>
            <w:tcW w:w="189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Revenue recognition</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Revenues from contracts with customers are recognized when control of the promised goods or services is transferred to the Group’s customers, in an amount that reflects the consideration the Group expects to be entitled to in exchange for those goods or services, reduced by estimates for return allowances, promotional discounts, rebates and Value Added Tax (“VAT”).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recognition of revenues involves certain management judgments, including estimated lives of virtual items purchased by game players, estimated breakage of game points, return allowance for goods sold, the estimation of the fair value of an advertising-for-advertising barter transaction, volume sales rebates. The amount and timing of the Group’s revenues could be different if management made different judgments or utilized different estimates.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Group’s revenues are mainly generated from online game services, tutoring services, sale of smart devices, online music services live streaming services, advertising services, e-commerce and other fee-based premium services. Refer to “Note 28 - Segment Information” for disaggregation of revenue.</w:t>
      </w:r>
    </w:p>
    <w:tbl>
      <w:tblPr>
        <w:tblW w:w="2177" w:type="dxa"/>
        <w:jc w:val="left"/>
        <w:tblInd w:w="0" w:type="dxa"/>
        <w:tblLayout w:type="fixed"/>
        <w:tblCellMar>
          <w:top w:w="0" w:type="dxa"/>
          <w:left w:w="0" w:type="dxa"/>
          <w:bottom w:w="0" w:type="dxa"/>
          <w:right w:w="0" w:type="dxa"/>
        </w:tblCellMar>
      </w:tblPr>
      <w:tblGrid>
        <w:gridCol w:w="301"/>
        <w:gridCol w:w="1876"/>
      </w:tblGrid>
      <w:tr>
        <w:trPr/>
        <w:tc>
          <w:tcPr>
            <w:tcW w:w="3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8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Online game services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 operates mobile games and PC games. The Group is the principal of substantially all games it operates, including both in-house developed games and licensed games. As these games are hosted on the Group’s servers, the Group has the pricing discretion, and is responsible for the sale and marketing of the games as well as customer services. Fees paid to game developers, app stores and payment platforms are recorded as cost of revenues.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Mobile games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Group generates mobile game revenues from the sale of in-game virtual items, including items, avatars, skills, privileges or other in-game consumables, features or functionality, within the games. The Group’s performance obligation is to provide on-going game services to players who purchased virtual items to gain an enhanced game-playing experience. This performance obligation is satisfied over the playing period of the paying players. Accordingly, the Group recognizes the revenues ratably over the estimated average playing period of these paying players.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337" w:name="_Hlk127822596"/>
      <w:bookmarkEnd w:id="1337"/>
      <w:r>
        <w:rPr>
          <w:rFonts w:ascii="Times New Roman;Times;serif" w:hAnsi="Times New Roman;Times;serif"/>
          <w:sz w:val="20"/>
        </w:rPr>
        <w:t>The Group considers the average period that players typically play the games and other game player behavior patterns, as well as various other factors to arrive at the best estimates for the estimated average playing period of the paying players for each game based on historical players’ churn rates. If a new game is launched and only a limited period of paying player data is available, then the Group considers other qualitative factors. While the Group believes its estimates to be reasonable based on available game player information, the Group may revise such estimates based on new information indicating a change in the game player behavior patterns and any adjustments are applied prospectively.</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PC games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 sells prepaid points to the end users. Customers can purchase “virtual” prepaid points online or from the vendors who register the points in the Group’s system via debit and credit cards or bank transfers via the online payment platforms, and receive the prepaid point information over the Internet. Customers can use the points to play the Group’s PC games, pay for in-game items and use other fee-based premium services. Proceeds received from the sales of prepaid online points to players are recorded as contract liabilities.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Group earns revenue through providing PC game services to players mainly under two types of revenue models: time-based revenue model and item-based revenue model. For PC games using the time-based model, players are charged based on the time they spend playing games. Revenues are recognized ratably over the game playing period as the performance obligations are satisfied.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the item-based model, the basic game play functions are free of charge, and players are charged for purchases of in-game items. In-game items have different life patterns: one-time use, limited life and permanent life. Revenues from the sales of one-time use in-game items are recognized upon consumption. Limited life items are either limited by the times of uses (for example, 10 times) or limited by time (for example, three months). Revenues from the sales of limited life in-game items are recognized ratably based on the extent of time passed or expired or the times used. Players are allowed to use permanent life in-game items without any use or time limits. Revenues from the sales of permanent life in-game items are recognized ratably over the estimated average playing period of the paying players.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 considers the average period that players typically play the games and other game player behavior patterns, as well as various other factors to arrive at the best estimates for the estimated average playing period of the paying players for the permanent in-game items of each PC game based on historical players’ churn rate. This estimate is re-assessed on a quarterly basis. Adjustments arising from the changes of estimated average playing period of the paying players are applied prospectively as such changes are resulted from new information indicating a change in the game player behavior patterns.</w:t>
      </w:r>
    </w:p>
    <w:tbl>
      <w:tblPr>
        <w:tblW w:w="1922" w:type="dxa"/>
        <w:jc w:val="left"/>
        <w:tblInd w:w="0" w:type="dxa"/>
        <w:tblLayout w:type="fixed"/>
        <w:tblCellMar>
          <w:top w:w="0" w:type="dxa"/>
          <w:left w:w="0" w:type="dxa"/>
          <w:bottom w:w="0" w:type="dxa"/>
          <w:right w:w="0" w:type="dxa"/>
        </w:tblCellMar>
      </w:tblPr>
      <w:tblGrid>
        <w:gridCol w:w="361"/>
        <w:gridCol w:w="1561"/>
      </w:tblGrid>
      <w:tr>
        <w:trPr/>
        <w:tc>
          <w:tcPr>
            <w:tcW w:w="3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15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Tutoring services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 offers various types of integrated learning services through Youdao, which primarily cover a wide spectrum of topics and target people from broad age groups through its diverse offerings of tutoring courses and digital learning contents, foreign languages, professional and interest education services as well as IT computer skills, etc. Youdao’s tutoring courses consist of online live streaming and other activities during the online live streaming period, as well as the content playback service. The aforementioned services are highly interdependent and interrelated in the context of the contract and are only considered accessory services to the online live streaming courses and therefore are not distinct and are not sold standalone. Therefore, the Group’s tutoring courses are accounted for as a single performance obligation, which is satisfied over the learning period of the students. Accordingly, the Group recognizes the revenues ratably over the estimated average learning period for different courses. The Group considers the average period that students typically spend time on the courses and other learning behavior patterns to arrive at the best estimates for the estimated learning period for each course based on the estimated learning time customers spend on the courses and the expected number of times customers will take the courses.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338" w:name="_Hlk127822634"/>
      <w:bookmarkStart w:id="1339" w:name="_Hlk127822621"/>
      <w:bookmarkEnd w:id="1338"/>
      <w:bookmarkEnd w:id="1339"/>
      <w:r>
        <w:rPr>
          <w:rFonts w:ascii="Times New Roman;Times;serif" w:hAnsi="Times New Roman;Times;serif"/>
          <w:sz w:val="20"/>
        </w:rPr>
        <w:t>The Group also offers digital learning contents to customers which are delivered together with online live streaming courses and customized planning services. The customers can either stream the digital learning contents online or download and watch them offline. The downloadable digital learning contents, streaming services, online live streaming courses and customized planning services are considered as distinct performance obligations in the contract. The transaction price is generally collected in advance and allocated to each performance obligation in the contract based on the relative standalone selling prices. The Group recognizes the revenues of downloadable digital learning contents as the performance obligation is satisfied upon the time of delivery. The revenues of streaming services and customized planning services are recognized ratably over the service period. For online live streaming courses, the revenues are recognized ratably over the estimated average learning period.</w:t>
      </w:r>
    </w:p>
    <w:tbl>
      <w:tblPr>
        <w:tblW w:w="1697" w:type="dxa"/>
        <w:jc w:val="left"/>
        <w:tblInd w:w="0" w:type="dxa"/>
        <w:tblLayout w:type="fixed"/>
        <w:tblCellMar>
          <w:top w:w="0" w:type="dxa"/>
          <w:left w:w="0" w:type="dxa"/>
          <w:bottom w:w="0" w:type="dxa"/>
          <w:right w:w="0" w:type="dxa"/>
        </w:tblCellMar>
      </w:tblPr>
      <w:tblGrid>
        <w:gridCol w:w="421"/>
        <w:gridCol w:w="1276"/>
      </w:tblGrid>
      <w:tr>
        <w:trPr/>
        <w:tc>
          <w:tcPr>
            <w:tcW w:w="4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12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Smart devices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 sells smart devices such as dictionary pen, smart learning pad and listening pod through Youdao to customers through retailers or distributors. The Group recognizes revenues when control of the goods is transferred to the customer, which generally occurs upon the delivery to the end customers or upon the delivery to distributors.</w:t>
      </w:r>
    </w:p>
    <w:tbl>
      <w:tblPr>
        <w:tblW w:w="2327" w:type="dxa"/>
        <w:jc w:val="left"/>
        <w:tblInd w:w="0" w:type="dxa"/>
        <w:tblLayout w:type="fixed"/>
        <w:tblCellMar>
          <w:top w:w="0" w:type="dxa"/>
          <w:left w:w="0" w:type="dxa"/>
          <w:bottom w:w="0" w:type="dxa"/>
          <w:right w:w="0" w:type="dxa"/>
        </w:tblCellMar>
      </w:tblPr>
      <w:tblGrid>
        <w:gridCol w:w="406"/>
        <w:gridCol w:w="1921"/>
      </w:tblGrid>
      <w:tr>
        <w:trPr/>
        <w:tc>
          <w:tcPr>
            <w:tcW w:w="4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19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Online music services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 offers online music services through Cloud Music, which mainly include membership subscriptions, sales of digital music album and songs and contents sublicensing on the Group’s online platforms.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 offers users membership subscription packages which entitled paying subscriber access to the Group’s relevant music contents and other privileged features on its platforms. The subscription fees for these packages are primarily time-based mainly from weekly to yearly and is collected upfront. The receipt of subscription fees is initially recognised as contract liabilities. The Group satisfies its performance obligations throughout the subscription period and revenue from the membership subscriptions is recognised over time.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 also offers users to purchase exclusive digital music albums and songs which can listen both online and offline. The Group considers that the control has been transferred to customer at time of purchase. As a result, the performance obligation is satisfied and revenue is recognised at a point in time.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Group sublicenses certain of its music contents to other music platforms for a fixed period of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three years, which generally falls within the original license period. The Group determines sublicense of contents as a single performance obligation, and the revenue from sublicensing of contents is recognised over time throughout the sublicense period.</w:t>
      </w:r>
    </w:p>
    <w:tbl>
      <w:tblPr>
        <w:tblW w:w="2402" w:type="dxa"/>
        <w:jc w:val="left"/>
        <w:tblInd w:w="0" w:type="dxa"/>
        <w:tblLayout w:type="fixed"/>
        <w:tblCellMar>
          <w:top w:w="0" w:type="dxa"/>
          <w:left w:w="0" w:type="dxa"/>
          <w:bottom w:w="0" w:type="dxa"/>
          <w:right w:w="0" w:type="dxa"/>
        </w:tblCellMar>
      </w:tblPr>
      <w:tblGrid>
        <w:gridCol w:w="346"/>
        <w:gridCol w:w="205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t>
            </w:r>
          </w:p>
        </w:tc>
        <w:tc>
          <w:tcPr>
            <w:tcW w:w="20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Live streaming services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 operates live streaming platforms through NetEase CC and Cloud Music whereby users can enjoy live performances provided by the live streaming performers and interact with them on a real time basis free of charge. The Group sells virtual items to users at pre-determined price so that the users gift them simultaneously to live streaming performers to show their support and appreciation. The virtual items sold by the Group comprise of either (i) consumable items or (ii) time-based item, such as privilege titles etc. Under the arrangements with the live streaming performers, the Group shares with them a portion of the revenues derived from the sales of virtual items. Revenues derived from the sale of virtual items are recorded on a gross basis as the Group acts as the principal to fulfill all obligations related to the sale of virtual items. Accordingly, revenue is recognized when the virtual item is delivered and consumed if the virtual item is a consumable item or, in the case of time-based virtual item, recognized ratably over the period each virtual item is made available to the user.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340" w:name="_Hlk127822695"/>
      <w:bookmarkStart w:id="1341" w:name="_Hlk127822676"/>
      <w:bookmarkStart w:id="1342" w:name="_Hlk127822773"/>
      <w:bookmarkStart w:id="1343" w:name="_Hlk127822663"/>
      <w:bookmarkStart w:id="1344" w:name="_Hlk127822695"/>
      <w:bookmarkStart w:id="1345" w:name="_Hlk127822676"/>
      <w:bookmarkStart w:id="1346" w:name="_Hlk127822773"/>
      <w:bookmarkStart w:id="1347" w:name="_Hlk127822663"/>
      <w:bookmarkEnd w:id="1344"/>
      <w:bookmarkEnd w:id="1345"/>
      <w:bookmarkEnd w:id="1346"/>
      <w:bookmarkEnd w:id="1347"/>
    </w:p>
    <w:tbl>
      <w:tblPr>
        <w:tblW w:w="2207" w:type="dxa"/>
        <w:jc w:val="left"/>
        <w:tblInd w:w="0" w:type="dxa"/>
        <w:tblLayout w:type="fixed"/>
        <w:tblCellMar>
          <w:top w:w="0" w:type="dxa"/>
          <w:left w:w="0" w:type="dxa"/>
          <w:bottom w:w="0" w:type="dxa"/>
          <w:right w:w="0" w:type="dxa"/>
        </w:tblCellMar>
      </w:tblPr>
      <w:tblGrid>
        <w:gridCol w:w="406"/>
        <w:gridCol w:w="1801"/>
      </w:tblGrid>
      <w:tr>
        <w:trPr/>
        <w:tc>
          <w:tcPr>
            <w:tcW w:w="4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w:t>
            </w:r>
          </w:p>
        </w:tc>
        <w:tc>
          <w:tcPr>
            <w:tcW w:w="18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services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 derives its advertising revenues principally from short-term online advertising contracts. Advertising service contracts may consist of multiple performance obligations with a typical term of less than three months. In arrangements where the Group has multiple performance obligations, the transaction price is allocated to each performance obligation using the relative stand-alone selling price. The Group generally determines standalone selling prices based on the prices charged to customers. If the performance obligation has not been sold separately, the Group estimates the standalone selling price by taking into consideration of the pricing for advertising areas of the Group’s platform with a similar popularities and advertisements with similar formats and quoted prices from competitors as well as other market conditions. Considerations allocated to each performance obligation is recognized as revenue over the advertisement display period, which is usually within three months.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 also enters into performance-based advertising arrangements with customers. For example, for cost per mille (“CPM”), or cost per thousand impressions, advertising arrangements with customers, the Group recognizes revenues based on the number of times that the advertisement has been displayed.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Certain customers may receive volume rebates, which are accounted for as variable consideration. The Group estimates annual expected rebate volume with reference to their historical results and reduce revenues recognized.</w:t>
      </w:r>
    </w:p>
    <w:tbl>
      <w:tblPr>
        <w:tblW w:w="1682" w:type="dxa"/>
        <w:jc w:val="left"/>
        <w:tblInd w:w="0" w:type="dxa"/>
        <w:tblLayout w:type="fixed"/>
        <w:tblCellMar>
          <w:top w:w="0" w:type="dxa"/>
          <w:left w:w="0" w:type="dxa"/>
          <w:bottom w:w="0" w:type="dxa"/>
          <w:right w:w="0" w:type="dxa"/>
        </w:tblCellMar>
      </w:tblPr>
      <w:tblGrid>
        <w:gridCol w:w="466"/>
        <w:gridCol w:w="1216"/>
      </w:tblGrid>
      <w:tr>
        <w:trPr/>
        <w:tc>
          <w:tcPr>
            <w:tcW w:w="4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(vii)</w:t>
            </w:r>
          </w:p>
        </w:tc>
        <w:tc>
          <w:tcPr>
            <w:tcW w:w="1216"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E-commerce</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Group’s e-commerce revenue is primarily from its private label consumer lifestyle brand Yanxuan, which was established in April 2016. Yanxuan sells its private label products, including pet supplies, home cleaning products, bedding and other categories which mainly source directly from some excellent manufacturers. The Group is the principal for the online direct sales, as it controls the inventory before they are transferred to customers. The Group has the primary responsibility for fulfilling the contracts, bears the inventory risk, and has sole discretion in establishing the prices. E-commerce revenues from online direct sales are recognized when control of the goods is transferred to the customer, which generally occurs upon delivery to the customer. The Group also provides discount coupons to its customers for use in purchases, which are treated as a reduction of revenue when the related transaction is recognized.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Return allowances, which reduce revenue and cost of sales, are estimated using historical experience. Liabilities for return allowances and rights to recover products from customers associated with the Group’s liabilities are recorded as “Accrued liabilities and other payables” and “Inventories”, respectively, on the Group’s consolidated balance sheets. Both of the balances are not material as of December 31, 2021, 2022 and 2023.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(viii) Fee-based premium services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Fee-based premium services revenues, mostly operated on either consumption-basis or a monthly subscription basis, are derived principally from providing premium online reading and other innovative businesses. Prepaid subscription fees collected from customers are deferred and are recognized as revenue on a straight-line basis by the Group over the subscription period, during which customers can access the premium online services provided by the Group. Fees collected from customer to be consumed to purchase online services are recognized as revenue when related services are rendered.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Practical expedients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 has used the following practical expedients as allowed under ASC 606:</w:t>
      </w:r>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4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effects of a significant financing component have not been adjusted for contracts which the Group expects, at contract inception, that the period between when the Group transfers a promised good or service to the customer and when the customer pays for that good or service will be one year</w:t>
            </w:r>
            <w:r>
              <w:rPr>
                <w:caps w:val="false"/>
                <w:smallCaps w:val="false"/>
              </w:rPr>
              <w:t xml:space="preserve"> </w:t>
            </w:r>
            <w:r>
              <w:rPr>
                <w:rFonts w:ascii="Times New Roman;Times;serif" w:hAnsi="Times New Roman;Times;serif"/>
                <w:b w:val="false"/>
                <w:i w:val="false"/>
                <w:caps w:val="false"/>
                <w:smallCaps w:val="false"/>
                <w:sz w:val="20"/>
              </w:rPr>
              <w:t>or less.</w:t>
            </w:r>
          </w:p>
        </w:tc>
      </w:tr>
    </w:tbl>
    <w:tbl>
      <w:tblPr>
        <w:tblW w:w="10205" w:type="dxa"/>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8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applied the portfolio approach in determining the commencement date of consumption of permanent virtual items and the estimated average playing period of paying players for PC games and mobile games for the recognition of online game revenue given that the effect of applying a portfolio approach to a group game players’ behaviors would not differ materially from considering each one of them individually.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414"/>
        <w:gridCol w:w="9791"/>
      </w:tblGrid>
      <w:tr>
        <w:trPr/>
        <w:tc>
          <w:tcPr>
            <w:tcW w:w="4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79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Group elects to expense certain costs to obtain a contract as incurred when the expected amortization period is one year</w:t>
            </w:r>
            <w:r>
              <w:rPr>
                <w:caps w:val="false"/>
                <w:smallCaps w:val="false"/>
              </w:rPr>
              <w:t xml:space="preserve"> </w:t>
            </w:r>
            <w:r>
              <w:rPr>
                <w:rFonts w:ascii="Times New Roman;Times;serif" w:hAnsi="Times New Roman;Times;serif"/>
                <w:b w:val="false"/>
                <w:i w:val="false"/>
                <w:caps w:val="false"/>
                <w:smallCaps w:val="false"/>
                <w:sz w:val="20"/>
              </w:rPr>
              <w:t>or less.</w:t>
            </w:r>
          </w:p>
        </w:tc>
      </w:tr>
    </w:tbl>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Contract balances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Timing of revenue recognition may differ from the timing of invoicing to customers. Accounts receivable represent amounts invoiced and revenue recognized prior to invoicing, when the Group has satisfied its performance obligations and has the unconditional right to payment.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Group’s right to consideration in exchange for goods or services that the Group has transferred to a customer is recognized as a contract asset.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Contract assets as of December 31, 2022 and 2023 were not material.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contract liability is the Group’s obligation to transfer goods or services to a customer for which the Group has received consideration (or an amount of consideration is due) from the customer. Refer to Note 16 - Contract liabilities for further information, including changes in contract liabilities during the year.</w:t>
      </w:r>
    </w:p>
    <w:tbl>
      <w:tblPr>
        <w:tblW w:w="1877" w:type="dxa"/>
        <w:jc w:val="left"/>
        <w:tblInd w:w="0" w:type="dxa"/>
        <w:tblLayout w:type="fixed"/>
        <w:tblCellMar>
          <w:top w:w="0" w:type="dxa"/>
          <w:left w:w="0" w:type="dxa"/>
          <w:bottom w:w="0" w:type="dxa"/>
          <w:right w:w="0" w:type="dxa"/>
        </w:tblCellMar>
      </w:tblPr>
      <w:tblGrid>
        <w:gridCol w:w="346"/>
        <w:gridCol w:w="1531"/>
      </w:tblGrid>
      <w:tr>
        <w:trPr/>
        <w:tc>
          <w:tcPr>
            <w:tcW w:w="34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(d)</w:t>
            </w:r>
          </w:p>
        </w:tc>
        <w:tc>
          <w:tcPr>
            <w:tcW w:w="153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Cost of revenues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Costs of revenues consist primarily of revenue sharing cost, staff-related costs, royalty fees related to licensed games, traffic acquisition cost, content acquisition cost, service fees related to online payments, server and bandwidth service fee, depreciation and amortization of severs, computers and software, and other direct costs of providing these services, as well as cost of merchandise sold. These costs are charged to the consolidated statements of operations and comprehensive income as incurred.</w:t>
      </w:r>
    </w:p>
    <w:tbl>
      <w:tblPr>
        <w:tblW w:w="3197" w:type="dxa"/>
        <w:jc w:val="left"/>
        <w:tblInd w:w="0" w:type="dxa"/>
        <w:tblLayout w:type="fixed"/>
        <w:tblCellMar>
          <w:top w:w="0" w:type="dxa"/>
          <w:left w:w="0" w:type="dxa"/>
          <w:bottom w:w="0" w:type="dxa"/>
          <w:right w:w="0" w:type="dxa"/>
        </w:tblCellMar>
      </w:tblPr>
      <w:tblGrid>
        <w:gridCol w:w="331"/>
        <w:gridCol w:w="2866"/>
      </w:tblGrid>
      <w:tr>
        <w:trPr/>
        <w:tc>
          <w:tcPr>
            <w:tcW w:w="33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(e)</w:t>
            </w:r>
          </w:p>
        </w:tc>
        <w:tc>
          <w:tcPr>
            <w:tcW w:w="286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Research and development costs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Research and development costs mainly consist of staff-related costs and technology service costs incurred for the development of online games, as well as development and enhancement of the Group’s new products, websites and application platforms.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internal use software, the Group expenses all costs incurred for the preliminary project stage and post implementation-operation stage of development, and costs associated with repair or maintenance of the existing platforms. Costs incurred in the application development stage are capitalized and amortized over the estimated useful life. Since the amount of the Group’s research and development expenses qualifying for capitalization has been immaterial for the years ended December 31, 2021, 2022 and 2023, as a result, all development costs incurred for development of internal used software have been expensed as incurred.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external use software, costs incurred for development of external use software have not been capitalized for the years ended December 31, 2021, 2022 and 2023, because the period after the date technical feasibility is reached and the time when the software is marketed is short historically, and the amount of costs qualifying for capitalization has been immaterial.</w:t>
      </w:r>
    </w:p>
    <w:tbl>
      <w:tblPr>
        <w:tblW w:w="3842" w:type="dxa"/>
        <w:jc w:val="left"/>
        <w:tblInd w:w="0" w:type="dxa"/>
        <w:tblLayout w:type="fixed"/>
        <w:tblCellMar>
          <w:top w:w="0" w:type="dxa"/>
          <w:left w:w="0" w:type="dxa"/>
          <w:bottom w:w="0" w:type="dxa"/>
          <w:right w:w="0" w:type="dxa"/>
        </w:tblCellMar>
      </w:tblPr>
      <w:tblGrid>
        <w:gridCol w:w="301"/>
        <w:gridCol w:w="3541"/>
      </w:tblGrid>
      <w:tr>
        <w:trPr/>
        <w:tc>
          <w:tcPr>
            <w:tcW w:w="30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(f)</w:t>
            </w:r>
          </w:p>
        </w:tc>
        <w:tc>
          <w:tcPr>
            <w:tcW w:w="354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0"/>
              </w:rPr>
              <w:t>Cash, cash equivalents</w:t>
            </w:r>
            <w:r>
              <w:rPr>
                <w:rFonts w:ascii="Times New Roman;Times;serif" w:hAnsi="Times New Roman;Times;serif"/>
                <w:sz w:val="20"/>
              </w:rPr>
              <w:t xml:space="preserve"> </w:t>
            </w:r>
            <w:r>
              <w:rPr>
                <w:rFonts w:ascii="Times New Roman;Times;serif" w:hAnsi="Times New Roman;Times;serif"/>
                <w:b/>
                <w:sz w:val="20"/>
              </w:rPr>
              <w:t>and time deposits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Cash and cash equivalents mainly represent cash on hand, demand deposits placed with large reputable banks in Hong Kong and/or China, and highly liquid investments that are readily convertible to known amounts of cash and with original maturities from the date of purchase with terms of less than three months. As of December 31, 2022 and 2023, there were cash at bank and demand deposits with terms of less than three months denominated in U.S. dollars amounting to approximately US$623.8 million and US$1.6 billion, respectively (equivalent to approximately RMB4.3 billion and RMB11.1 billion,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Time deposits represent time deposits placed with banks with original maturities of three months or more. As of December 31, 2022 and 2023, there were time deposits denominated in U.S. dollars amounting to approximately US$8.4 billion and US$8.6 billion, respectively (equivalent to approximately RMB58.6 billion and RMB61.2 billion,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 of December 31, 2022 and 2023, the Group had approximately RMB48.1 billion and RMB48.5 billion cash and cash equivalents and time deposits held by its PRC subsidiaries and the VIEs, representing 42.6% and 39.3% of total cash and cash equivalents and time deposits of the Group, respectively.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1348" w:name="Tc_aZznRlD4F06OrHsFLeVSUA_7_0"/>
      <w:bookmarkStart w:id="1349" w:name="Tc_d5IEGJtkbEyPgTCUVmh97Q_6_0"/>
      <w:bookmarkStart w:id="1350" w:name="Tc_0AR4P7Aokky1UUXD5YpdSw_5_0"/>
      <w:bookmarkStart w:id="1351" w:name="Tc_SkgYmzmqrkitVFjudEltDw_4_0"/>
      <w:bookmarkStart w:id="1352" w:name="Tc_MnGpEoIaXkOxh-gJR2P_QQ_3_6"/>
      <w:bookmarkStart w:id="1353" w:name="Tc_EwCMDEfMekOX9WsAzgYK-w_3_4"/>
      <w:bookmarkStart w:id="1354" w:name="Tc_3HzAsWtSh0-G2TTKAwDNMA_3_2"/>
      <w:bookmarkStart w:id="1355" w:name="Tc_0LneOPL8VkCvFElO_0A7tA_2_6"/>
      <w:bookmarkStart w:id="1356" w:name="Tc_kNT89eVGx0KNT8ZCEddIDg_2_4"/>
      <w:bookmarkStart w:id="1357" w:name="Tc_YhBCj_jlBUGZOVadB0vUgQ_2_2"/>
      <w:bookmarkStart w:id="1358" w:name="Tc_dAuI8f30rUKWWoKwIlSIHQ_1_2"/>
      <w:bookmarkStart w:id="1359" w:name="_9c3e3f05_e9b0_4969_86dd_bf936d57c72e"/>
      <w:bookmarkStart w:id="1360" w:name="Tc_7OMhO3xXAk-YvuKcF5gVFQ_6_0"/>
      <w:bookmarkStart w:id="1361" w:name="Tc_jHSfQsYHHk-RFfNAfsgvZg_5_0"/>
      <w:bookmarkStart w:id="1362" w:name="Tc_QMEPH3Qx2E2kfcruCgL0CA_4_0"/>
      <w:bookmarkStart w:id="1363" w:name="Tc_DomReGauv028BuTXFfKO6w_3_4"/>
      <w:bookmarkStart w:id="1364" w:name="Tc_Y0wTZbOS2Uam07xOfDEG-w_3_2"/>
      <w:bookmarkStart w:id="1365" w:name="Tc_tHFPbF_d70OurGuRkhbJQg_2_4"/>
      <w:bookmarkStart w:id="1366" w:name="Tc_nvbEIF1DZ0iw-t2l-cTa0w_2_2"/>
      <w:bookmarkStart w:id="1367" w:name="Tc_DL19lFA9RE2UlJLY2TKaMQ_1_4"/>
      <w:bookmarkStart w:id="1368" w:name="Tc_TgdjXbcRPk-D31tkoEX0cA_1_2"/>
      <w:bookmarkStart w:id="1369" w:name="_f23b0065_ba6e_4d8c_adbc_ac6ed55c05d9"/>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r>
        <w:rPr>
          <w:rFonts w:ascii="Times New Roman;Times;serif" w:hAnsi="Times New Roman;Times;serif"/>
          <w:sz w:val="20"/>
        </w:rPr>
        <w:t>As of December 31, 2022 and 2023, the Group had a restricted cash balance approximately RMB2.7 billion and RMB2.8 billion, respectively, comprising as follows (in millions):</w:t>
      </w:r>
    </w:p>
    <w:p>
      <w:pPr>
        <w:pStyle w:val="TextBody"/>
        <w:bidi w:val="0"/>
        <w:spacing w:before="0" w:after="0"/>
        <w:ind w:left="0" w:right="0" w:hanging="0"/>
        <w:jc w:val="both"/>
        <w:rPr/>
      </w:pPr>
      <w:r>
        <w:rPr/>
        <w:t>​</w:t>
      </w:r>
    </w:p>
    <w:tbl>
      <w:tblPr>
        <w:tblW w:w="6550" w:type="dxa"/>
        <w:jc w:val="left"/>
        <w:tblInd w:w="0" w:type="dxa"/>
        <w:tblLayout w:type="fixed"/>
        <w:tblCellMar>
          <w:top w:w="0" w:type="dxa"/>
          <w:left w:w="0" w:type="dxa"/>
          <w:bottom w:w="0" w:type="dxa"/>
          <w:right w:w="0" w:type="dxa"/>
        </w:tblCellMar>
      </w:tblPr>
      <w:tblGrid>
        <w:gridCol w:w="3571"/>
        <w:gridCol w:w="326"/>
        <w:gridCol w:w="1141"/>
        <w:gridCol w:w="326"/>
        <w:gridCol w:w="1186"/>
      </w:tblGrid>
      <w:tr>
        <w:trPr/>
        <w:tc>
          <w:tcPr>
            <w:tcW w:w="3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267585" cy="175260"/>
                      <wp:effectExtent l="0" t="0" r="0" b="0"/>
                      <wp:wrapNone/>
                      <wp:docPr id="374" name="Frame373"/>
                      <a:graphic xmlns:a="http://schemas.openxmlformats.org/drawingml/2006/main">
                        <a:graphicData uri="http://schemas.microsoft.com/office/word/2010/wordprocessingShape">
                          <wps:wsp>
                            <wps:cNvSpPr txBox="1"/>
                            <wps:spPr>
                              <a:xfrm>
                                <a:off x="0" y="0"/>
                                <a:ext cx="2267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207010" cy="175260"/>
                      <wp:effectExtent l="0" t="0" r="0" b="0"/>
                      <wp:wrapNone/>
                      <wp:docPr id="375" name="Frame3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724535" cy="175260"/>
                      <wp:effectExtent l="0" t="0" r="0" b="0"/>
                      <wp:wrapNone/>
                      <wp:docPr id="376" name="Frame375"/>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207010" cy="175260"/>
                      <wp:effectExtent l="0" t="0" r="0" b="0"/>
                      <wp:wrapNone/>
                      <wp:docPr id="377" name="Frame3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753110" cy="175260"/>
                      <wp:effectExtent l="0" t="0" r="0" b="0"/>
                      <wp:wrapNone/>
                      <wp:docPr id="378" name="Frame377"/>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5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5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deposit of NetEase Pay accounts</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2,627.5</w:t>
            </w:r>
          </w:p>
        </w:tc>
        <w:tc>
          <w:tcPr>
            <w:tcW w:w="32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2,664.1</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71.8</w:t>
            </w:r>
          </w:p>
        </w:tc>
        <w:tc>
          <w:tcPr>
            <w:tcW w:w="326" w:type="dxa"/>
            <w:tcBorders/>
            <w:vAlign w:val="center"/>
          </w:tcPr>
          <w:p>
            <w:pPr>
              <w:pStyle w:val="TableContents"/>
              <w:bidi w:val="0"/>
              <w:spacing w:before="0" w:after="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113.7</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2,699.3</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2,777.8</w:t>
            </w:r>
          </w:p>
        </w:tc>
      </w:tr>
    </w:tbl>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 had no other material lien arrangements during 2022 and 2023.</w:t>
      </w:r>
    </w:p>
    <w:tbl>
      <w:tblPr>
        <w:tblW w:w="1847" w:type="dxa"/>
        <w:jc w:val="left"/>
        <w:tblInd w:w="0" w:type="dxa"/>
        <w:tblLayout w:type="fixed"/>
        <w:tblCellMar>
          <w:top w:w="0" w:type="dxa"/>
          <w:left w:w="0" w:type="dxa"/>
          <w:bottom w:w="0" w:type="dxa"/>
          <w:right w:w="0" w:type="dxa"/>
        </w:tblCellMar>
      </w:tblPr>
      <w:tblGrid>
        <w:gridCol w:w="346"/>
        <w:gridCol w:w="1501"/>
      </w:tblGrid>
      <w:tr>
        <w:trPr/>
        <w:tc>
          <w:tcPr>
            <w:tcW w:w="34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(g)</w:t>
            </w:r>
          </w:p>
        </w:tc>
        <w:tc>
          <w:tcPr>
            <w:tcW w:w="150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Receivables, net</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Group’s receivables are subject to the measurement of credit losses within the scope of ASC Topic 326. The impact of new standard was immaterial to the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Group’s accounts receivable, other receivables recorded in prepayments and other current assets and other long-term receivables recorded in other long-term assets are within the scope of ASC Topic 326. Accounts receivable consist primarily of receivables from mobile games services, online music services and advertising services.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To estimate expected credit losses, the Group has identified the relevant risk characteristics of its customers and the related receivables and other receivables which include size, type of the services or the products the Group provides, or a combination of these characteristics. Receivables with similar risk characteristics have been grouped into pools. For each pool, the Group considers the past collection experience, current economic conditions, future economic conditions (external data and macroeconomic factors) and changes in the Group’s customer collection trends. This is assessed at each quarter based on the Group’s specific facts and circumstances.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sets out the movements of the allowance for expected credit losses for the years ended December 31, 2021, 2022 and 2023 (in thousands):</w:t>
      </w:r>
    </w:p>
    <w:tbl>
      <w:tblPr>
        <w:tblW w:w="6202" w:type="dxa"/>
        <w:jc w:val="left"/>
        <w:tblInd w:w="0" w:type="dxa"/>
        <w:tblLayout w:type="fixed"/>
        <w:tblCellMar>
          <w:top w:w="0" w:type="dxa"/>
          <w:left w:w="0" w:type="dxa"/>
          <w:bottom w:w="0" w:type="dxa"/>
          <w:right w:w="0" w:type="dxa"/>
        </w:tblCellMar>
      </w:tblPr>
      <w:tblGrid>
        <w:gridCol w:w="2761"/>
        <w:gridCol w:w="326"/>
        <w:gridCol w:w="781"/>
        <w:gridCol w:w="326"/>
        <w:gridCol w:w="796"/>
        <w:gridCol w:w="326"/>
        <w:gridCol w:w="886"/>
      </w:tblGrid>
      <w:tr>
        <w:trPr/>
        <w:tc>
          <w:tcPr>
            <w:tcW w:w="2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1753235" cy="175260"/>
                      <wp:effectExtent l="0" t="0" r="0" b="0"/>
                      <wp:wrapNone/>
                      <wp:docPr id="379" name="Frame378"/>
                      <a:graphic xmlns:a="http://schemas.openxmlformats.org/drawingml/2006/main">
                        <a:graphicData uri="http://schemas.microsoft.com/office/word/2010/wordprocessingShape">
                          <wps:wsp>
                            <wps:cNvSpPr txBox="1"/>
                            <wps:spPr>
                              <a:xfrm>
                                <a:off x="0" y="0"/>
                                <a:ext cx="1753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207010" cy="175260"/>
                      <wp:effectExtent l="0" t="0" r="0" b="0"/>
                      <wp:wrapNone/>
                      <wp:docPr id="380" name="Frame3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495935" cy="175260"/>
                      <wp:effectExtent l="0" t="0" r="0" b="0"/>
                      <wp:wrapNone/>
                      <wp:docPr id="381" name="Frame38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207010" cy="175260"/>
                      <wp:effectExtent l="0" t="0" r="0" b="0"/>
                      <wp:wrapNone/>
                      <wp:docPr id="382" name="Frame3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505460" cy="175260"/>
                      <wp:effectExtent l="0" t="0" r="0" b="0"/>
                      <wp:wrapNone/>
                      <wp:docPr id="383" name="Frame38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207010" cy="175260"/>
                      <wp:effectExtent l="0" t="0" r="0" b="0"/>
                      <wp:wrapNone/>
                      <wp:docPr id="384" name="Frame3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562610" cy="175260"/>
                      <wp:effectExtent l="0" t="0" r="0" b="0"/>
                      <wp:wrapNone/>
                      <wp:docPr id="385" name="Frame38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1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27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7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the beginning of year</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113,253</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369,982</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403,360</w:t>
            </w:r>
          </w:p>
        </w:tc>
      </w:tr>
      <w:tr>
        <w:trPr/>
        <w:tc>
          <w:tcPr>
            <w:tcW w:w="27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Provisions</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265,930</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61,393</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61,146</w:t>
            </w:r>
          </w:p>
        </w:tc>
      </w:tr>
      <w:tr>
        <w:trPr/>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Write-offs</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(9,201)</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(28,015)</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(15,944)</w:t>
            </w:r>
          </w:p>
        </w:tc>
      </w:tr>
      <w:tr>
        <w:trPr/>
        <w:tc>
          <w:tcPr>
            <w:tcW w:w="27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the end of year</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369,982</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403,360</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448,562</w:t>
            </w:r>
          </w:p>
        </w:tc>
      </w:tr>
    </w:tbl>
    <w:p>
      <w:pPr>
        <w:pStyle w:val="TextBody"/>
        <w:pBdr/>
        <w:bidi w:val="0"/>
        <w:spacing w:before="0" w:after="0"/>
        <w:ind w:left="0" w:right="0" w:hanging="360"/>
        <w:jc w:val="both"/>
        <w:rPr/>
      </w:pPr>
      <w:r>
        <w:rPr/>
        <w:t>​</w:t>
      </w:r>
    </w:p>
    <w:tbl>
      <w:tblPr>
        <w:tblW w:w="3422" w:type="dxa"/>
        <w:jc w:val="left"/>
        <w:tblInd w:w="0" w:type="dxa"/>
        <w:tblLayout w:type="fixed"/>
        <w:tblCellMar>
          <w:top w:w="0" w:type="dxa"/>
          <w:left w:w="0" w:type="dxa"/>
          <w:bottom w:w="0" w:type="dxa"/>
          <w:right w:w="0" w:type="dxa"/>
        </w:tblCellMar>
      </w:tblPr>
      <w:tblGrid>
        <w:gridCol w:w="346"/>
        <w:gridCol w:w="3076"/>
      </w:tblGrid>
      <w:tr>
        <w:trPr/>
        <w:tc>
          <w:tcPr>
            <w:tcW w:w="34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(h)</w:t>
            </w:r>
          </w:p>
        </w:tc>
        <w:tc>
          <w:tcPr>
            <w:tcW w:w="307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Fair value of financial instruments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and it considers assumptions that market participants would use when pricing the asset or liability.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Accounting guidance establishes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Accounting guidance establishes three levels of inputs that may be used to measure fair value: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Level 1 - Observable inputs that reflect quoted prices (unadjusted) for identical assets or liabilities in active markets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Level 2 - Include other inputs that are directly or indirectly observable in the marketplace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Level 3 - Unobservable inputs which are supported by little or no market activity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Group’s financial instruments include cash and cash equivalents and time deposits, restricted cash, accounts receivable, prepayments and other current assets, short-term investments, accounts payable, short-term loans and accrued liabilities and other payables, which the carrying values approximate their fair value. Please see Note 29 for additional information.</w:t>
      </w:r>
    </w:p>
    <w:tbl>
      <w:tblPr>
        <w:tblW w:w="1412" w:type="dxa"/>
        <w:jc w:val="left"/>
        <w:tblInd w:w="0" w:type="dxa"/>
        <w:tblLayout w:type="fixed"/>
        <w:tblCellMar>
          <w:top w:w="0" w:type="dxa"/>
          <w:left w:w="0" w:type="dxa"/>
          <w:bottom w:w="0" w:type="dxa"/>
          <w:right w:w="0" w:type="dxa"/>
        </w:tblCellMar>
      </w:tblPr>
      <w:tblGrid>
        <w:gridCol w:w="301"/>
        <w:gridCol w:w="1111"/>
      </w:tblGrid>
      <w:tr>
        <w:trPr/>
        <w:tc>
          <w:tcPr>
            <w:tcW w:w="30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(i)</w:t>
            </w:r>
          </w:p>
        </w:tc>
        <w:tc>
          <w:tcPr>
            <w:tcW w:w="111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Inventories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Inventories mainly represent products for the Group’s e-commerce business, are stated at the lower of cost or net realizable value in the consolidated balance sheets. Cost of inventory is determined using the weighted average cost method. Adjustments are recorded to write down the cost of inventory to the estimated net realizable value due to slow-moving merchandise and damaged goods, which is dependent upon factors such as historical and forecasted consumer demand, and promotional environment. The Group takes ownership, risks and rewards of the products purchased. Write downs are recorded in “Cost of revenues” in the consolidated statements of operations and comprehensive income. Certain costs attributable to buying and receiving products, such as purchase freights, are also included in inventories.</w:t>
      </w:r>
    </w:p>
    <w:tbl>
      <w:tblPr>
        <w:tblW w:w="1457" w:type="dxa"/>
        <w:jc w:val="left"/>
        <w:tblInd w:w="0" w:type="dxa"/>
        <w:tblLayout w:type="fixed"/>
        <w:tblCellMar>
          <w:top w:w="0" w:type="dxa"/>
          <w:left w:w="0" w:type="dxa"/>
          <w:bottom w:w="0" w:type="dxa"/>
          <w:right w:w="0" w:type="dxa"/>
        </w:tblCellMar>
      </w:tblPr>
      <w:tblGrid>
        <w:gridCol w:w="301"/>
        <w:gridCol w:w="1156"/>
      </w:tblGrid>
      <w:tr>
        <w:trPr/>
        <w:tc>
          <w:tcPr>
            <w:tcW w:w="30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(j)</w:t>
            </w:r>
          </w:p>
        </w:tc>
        <w:tc>
          <w:tcPr>
            <w:tcW w:w="115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Investments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Short-term investments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Short-term investments include investments in financial instruments with a variable interest rate indexed to performance of underlying assets, all of which are with an original maturity of less than 12 months.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accordance with ASC 825, for investments in financial instruments with a variable interest rate indexed to performance of underlying assets, the Group elected the fair value method at the date of initial recognition and carried these investments at fair value. Changes in the fair value are reflected in the consolidated statements of operations and comprehensive income as “Other income/(expense)”. Fair value is estimated based on quoted prices of similar products provided by banks at the end of each period. The Group classifies the valuation techniques that use these inputs as Level 2 of fair value measurements. Please see Note 7 and Note 29 for additional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Long-term investments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Long-term investments are mainly comprised of equity investments in publicly traded companies, privately-held companies and limited-partnership.</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Equity investments in publicly traded companies are reported at fair value as equity investment with readily determinable fair value. Unrealized gains and losses for the years ended December 31, 2021, 2022 and 2023 are recognized in other income/(expense).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investments in common stock or in-substance common stock issued by privately-held companies on which the Group does not have significant influence, and investments in privately-held companies’ shares that are not common stocks or in-substance common stocks, as these equity securities do not have readily determinable fair value, the Group measure these equity securities investments at cost, less impairment, if any, plus or minus changes resulting from observable price changes in orderly transactions for the identical or a similar investment of the same issuer (referred to as the measurement alternative). All gains and losses on these equity securities without readily determinable fair value, realized and unrealized, are recognized in other income /(expense).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Investments in common stock or in-substance common stock of investees and limited-partnership investments in which the Group is in a position to exercise significant influence by participating in, but not controlling or jointly controlling, the financial and operating policies are accounted for using the equity method.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Management regularly evaluates the impairment of the investments in privately-held companies without readily determinable fair value and equity method investments periodically, or when events or circumstances indicate that the carrying amount may not be recoverable. For investments without readily determinable fair values, management performs a qualitative assessment of the fair value of the equity interest in comparison to its carrying amount to determine if there is an indication of potential impairment. If such indication exists, management estimates the fair value of the investment, and records an impairment in the consolidated statements of operations and comprehensive income to the extent the carrying amount exceeds the fair value. Significant judgments management applies in the impairment assessment for these equity investments include: (i) the determination as to whether any impairment indicators exist during the year; (ii) estimating the impairment amount if an impairment exists; and (iii) judgments as to whether a decline in value of equity method investments was other than temporary. These judgments consider various factors and events including: a) significant deterioration in the earnings performance, credit rating, asset quality, or business prospects of the investees; b) significant adverse change in the regulatory, economic, or technological environment of the investees; c) significant adverse change in the general market condition of either the geographical area or the industry in which the investees operate; d) bona fide offer to purchase, an offer by the investee to sell, or a completed auction process for the same or similar investment for an amount less than the carrying amount of that investment; e) factors that raise significant concerns about the investees’ ability to continue as a going concern; f) factors that raise significant concerns about the performance of new products and g) valuation methods and key estimates in the determination of the impairment amounts. Key estimates mainly comprised the severity and duration of the impairment indicator and the existence of any positive or mitigating factors. For equity method investments, management considers if the investment is impaired when events or circumstances suggest the carrying amount may not be recoverable, and recognizes any impairment charge in the consolidated statements of operations and comprehensive income for a decline in value that is determined to be other than temporary.</w:t>
      </w:r>
    </w:p>
    <w:tbl>
      <w:tblPr>
        <w:tblW w:w="1067" w:type="dxa"/>
        <w:jc w:val="left"/>
        <w:tblInd w:w="0" w:type="dxa"/>
        <w:tblLayout w:type="fixed"/>
        <w:tblCellMar>
          <w:top w:w="0" w:type="dxa"/>
          <w:left w:w="0" w:type="dxa"/>
          <w:bottom w:w="0" w:type="dxa"/>
          <w:right w:w="0" w:type="dxa"/>
        </w:tblCellMar>
      </w:tblPr>
      <w:tblGrid>
        <w:gridCol w:w="346"/>
        <w:gridCol w:w="721"/>
      </w:tblGrid>
      <w:tr>
        <w:trPr/>
        <w:tc>
          <w:tcPr>
            <w:tcW w:w="34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(k)</w:t>
            </w:r>
          </w:p>
        </w:tc>
        <w:tc>
          <w:tcPr>
            <w:tcW w:w="72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Leases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 adopted ASU 2016-02, “Leases (Topic 842)”, including certain transitional guidance and subsequent amendments within ASU 2018-01, ASU 2018-10, ASU 2018-11, ASU 2018-20 and ASU 2019-01 (collectively, including ASU 2016-02, “ASC 842”).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Leases that transfer substantially all of the benefits and risks incidental to the ownership of assets are accounted for as finance leases as if there was an acquisition of an asset and incurrence of an obligation at the inception of the lease. All other leases are accounted for as operating leases. As of December 31, 2022 and 2023, the Group has no material finance leases.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ASC 842, the Group determines if an arrangement is a lease at inception. The Group is the lessee in a lease contract when the Group obtains the right to control the asset. Operating leases are included in operating lease right-of-use (“ROU”) assets, and short-term and long-term operating lease liabilities in the Group’s consolidated balance sheets. ROU assets represent the Group’s right to use an underlying asset for the lease term and lease liabilities represent the Group’s obligation to make lease payments arising from the lease. Operating lease ROU assets and liabilities are recognized at commencement date based on the present value of lease payments over the lease term. As most of the Group’s leases do not provide an implicit rate, the Group generally uses its incremental borrowing rate based on the estimated rate of interest for collateralized borrowing over a similar term of the lease payments at commencement date. The operating lease ROU asset also includes any lease payments made and excludes lease incentives. Lease expense is recognized on a straight-line basis over the lease term.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leases with a term of twelve months or less (“short-term leases”), the Group has elected not to recognize lease liabilities and associated ROU assets. Lease payments on short-term leases are recognized as lease expense within cost of revenues or operating expenses on the consolidated statements of operations and comprehensive income, depending on the nature of the lease, on a straight-line basis over the lease term.</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370" w:name="Tc_sOQ3fqEG10WCRGc58C_7QQ_3_0"/>
      <w:bookmarkStart w:id="1371" w:name="Tc_6l2nasi6H0aHON6Bldg-QQ_2_2"/>
      <w:bookmarkStart w:id="1372" w:name="Tc_TqYNfuGN70qA3DOd-78f1A_2_0"/>
      <w:bookmarkStart w:id="1373" w:name="Tc_lIhape4T20Cyq2ytYI-mmA_1_0"/>
      <w:bookmarkStart w:id="1374" w:name="_24c74035_5684_4d8f_8f99_f0e17aad2c4d"/>
      <w:bookmarkStart w:id="1375" w:name="Tc_-WciAPFmXE6nqH38I_cKxg_7_0"/>
      <w:bookmarkStart w:id="1376" w:name="Tc__leFF8PIN0COi1GeyjRVXw_6_2"/>
      <w:bookmarkStart w:id="1377" w:name="Tc_VG6kOUkFsEKmkKICeSMVkA_6_0"/>
      <w:bookmarkStart w:id="1378" w:name="Tc_OwdMUaVljkOuTpDszFCjzg_5_0"/>
      <w:bookmarkStart w:id="1379" w:name="Tc_z4agyWQnZ02i_7mYOrinKg_4_2"/>
      <w:bookmarkStart w:id="1380" w:name="Tc_Uq6NAzVvqE6INS49SB9cbw_4_0"/>
      <w:bookmarkStart w:id="1381" w:name="Tc_g73MFqc7HEq3Sn-YmRMDhw_3_0"/>
      <w:bookmarkStart w:id="1382" w:name="Tc_oJ8NcY2YgkyVuZnuWnwVXg_2_0"/>
      <w:bookmarkStart w:id="1383" w:name="Tc_pP5n6K8c-k2ToPH4e242Mw_1_0"/>
      <w:bookmarkStart w:id="1384" w:name="Tc_sOQ3fqEG10WCRGc58C_7QQ_3_0"/>
      <w:bookmarkStart w:id="1385" w:name="Tc_6l2nasi6H0aHON6Bldg-QQ_2_2"/>
      <w:bookmarkStart w:id="1386" w:name="Tc_TqYNfuGN70qA3DOd-78f1A_2_0"/>
      <w:bookmarkStart w:id="1387" w:name="Tc_lIhape4T20Cyq2ytYI-mmA_1_0"/>
      <w:bookmarkStart w:id="1388" w:name="_24c74035_5684_4d8f_8f99_f0e17aad2c4d"/>
      <w:bookmarkStart w:id="1389" w:name="Tc_-WciAPFmXE6nqH38I_cKxg_7_0"/>
      <w:bookmarkStart w:id="1390" w:name="Tc__leFF8PIN0COi1GeyjRVXw_6_2"/>
      <w:bookmarkStart w:id="1391" w:name="Tc_VG6kOUkFsEKmkKICeSMVkA_6_0"/>
      <w:bookmarkStart w:id="1392" w:name="Tc_OwdMUaVljkOuTpDszFCjzg_5_0"/>
      <w:bookmarkStart w:id="1393" w:name="Tc_z4agyWQnZ02i_7mYOrinKg_4_2"/>
      <w:bookmarkStart w:id="1394" w:name="Tc_Uq6NAzVvqE6INS49SB9cbw_4_0"/>
      <w:bookmarkStart w:id="1395" w:name="Tc_g73MFqc7HEq3Sn-YmRMDhw_3_0"/>
      <w:bookmarkStart w:id="1396" w:name="Tc_oJ8NcY2YgkyVuZnuWnwVXg_2_0"/>
      <w:bookmarkStart w:id="1397" w:name="Tc_pP5n6K8c-k2ToPH4e242Mw_1_0"/>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p>
    <w:tbl>
      <w:tblPr>
        <w:tblW w:w="3317" w:type="dxa"/>
        <w:jc w:val="left"/>
        <w:tblInd w:w="0" w:type="dxa"/>
        <w:tblLayout w:type="fixed"/>
        <w:tblCellMar>
          <w:top w:w="0" w:type="dxa"/>
          <w:left w:w="0" w:type="dxa"/>
          <w:bottom w:w="0" w:type="dxa"/>
          <w:right w:w="0" w:type="dxa"/>
        </w:tblCellMar>
      </w:tblPr>
      <w:tblGrid>
        <w:gridCol w:w="301"/>
        <w:gridCol w:w="3016"/>
      </w:tblGrid>
      <w:tr>
        <w:trPr/>
        <w:tc>
          <w:tcPr>
            <w:tcW w:w="30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(l)</w:t>
            </w:r>
          </w:p>
        </w:tc>
        <w:tc>
          <w:tcPr>
            <w:tcW w:w="301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Property, equipment and software</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Property, equipment and software are stated at cost less accumulated depreciation. Depreciation is calculated on the straight-line basis over the following estimated useful lives, taking into account any estimated residual value:</w:t>
      </w:r>
    </w:p>
    <w:p>
      <w:pPr>
        <w:pStyle w:val="TextBody"/>
        <w:bidi w:val="0"/>
        <w:spacing w:before="0" w:after="0"/>
        <w:ind w:left="0" w:right="0" w:hanging="0"/>
        <w:jc w:val="both"/>
        <w:rPr/>
      </w:pPr>
      <w:r>
        <w:rPr/>
        <w:t>​</w:t>
      </w:r>
    </w:p>
    <w:tbl>
      <w:tblPr>
        <w:tblW w:w="10123" w:type="dxa"/>
        <w:jc w:val="left"/>
        <w:tblInd w:w="0" w:type="dxa"/>
        <w:tblLayout w:type="fixed"/>
        <w:tblCellMar>
          <w:top w:w="0" w:type="dxa"/>
          <w:left w:w="0" w:type="dxa"/>
          <w:bottom w:w="0" w:type="dxa"/>
          <w:right w:w="0" w:type="dxa"/>
        </w:tblCellMar>
      </w:tblPr>
      <w:tblGrid>
        <w:gridCol w:w="3856"/>
        <w:gridCol w:w="326"/>
        <w:gridCol w:w="5941"/>
      </w:tblGrid>
      <w:tr>
        <w:trPr/>
        <w:tc>
          <w:tcPr>
            <w:tcW w:w="3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2448560" cy="175260"/>
                      <wp:effectExtent l="0" t="0" r="0" b="0"/>
                      <wp:wrapNone/>
                      <wp:docPr id="386" name="Frame385"/>
                      <a:graphic xmlns:a="http://schemas.openxmlformats.org/drawingml/2006/main">
                        <a:graphicData uri="http://schemas.microsoft.com/office/word/2010/wordprocessingShape">
                          <wps:wsp>
                            <wps:cNvSpPr txBox="1"/>
                            <wps:spPr>
                              <a:xfrm>
                                <a:off x="0" y="0"/>
                                <a:ext cx="2448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207010" cy="175260"/>
                      <wp:effectExtent l="0" t="0" r="0" b="0"/>
                      <wp:wrapNone/>
                      <wp:docPr id="387" name="Frame3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3772535" cy="175260"/>
                      <wp:effectExtent l="0" t="0" r="0" b="0"/>
                      <wp:wrapNone/>
                      <wp:docPr id="388" name="Frame387"/>
                      <a:graphic xmlns:a="http://schemas.openxmlformats.org/drawingml/2006/main">
                        <a:graphicData uri="http://schemas.microsoft.com/office/word/2010/wordprocessingShape">
                          <wps:wsp>
                            <wps:cNvSpPr txBox="1"/>
                            <wps:spPr>
                              <a:xfrm>
                                <a:off x="0" y="0"/>
                                <a:ext cx="3772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w:t>
            </w:r>
          </w:p>
        </w:tc>
        <w:tc>
          <w:tcPr>
            <w:tcW w:w="326" w:type="dxa"/>
            <w:tcBorders/>
            <w:shd w:fill="CCEEFF" w:val="clear"/>
            <w:vAlign w:val="center"/>
          </w:tcPr>
          <w:p>
            <w:pPr>
              <w:pStyle w:val="TableContents"/>
              <w:bidi w:val="0"/>
              <w:spacing w:before="0" w:after="0"/>
              <w:ind w:left="0" w:right="0" w:hanging="0"/>
              <w:jc w:val="left"/>
              <w:rPr/>
            </w:pPr>
            <w:r>
              <w:rPr/>
              <w:t>    </w:t>
            </w:r>
          </w:p>
        </w:tc>
        <w:tc>
          <w:tcPr>
            <w:tcW w:w="5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 years</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Decoration</w:t>
            </w:r>
          </w:p>
        </w:tc>
        <w:tc>
          <w:tcPr>
            <w:tcW w:w="326" w:type="dxa"/>
            <w:tcBorders/>
            <w:vAlign w:val="center"/>
          </w:tcPr>
          <w:p>
            <w:pPr>
              <w:pStyle w:val="TableContents"/>
              <w:bidi w:val="0"/>
              <w:spacing w:before="0" w:after="0"/>
              <w:ind w:left="0" w:right="0" w:hanging="0"/>
              <w:jc w:val="left"/>
              <w:rPr/>
            </w:pPr>
            <w:r>
              <w:rPr/>
              <w:t> </w:t>
            </w:r>
          </w:p>
        </w:tc>
        <w:tc>
          <w:tcPr>
            <w:tcW w:w="5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 years</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26" w:type="dxa"/>
            <w:tcBorders/>
            <w:shd w:fill="CCEEFF" w:val="clear"/>
            <w:vAlign w:val="center"/>
          </w:tcPr>
          <w:p>
            <w:pPr>
              <w:pStyle w:val="TableContents"/>
              <w:bidi w:val="0"/>
              <w:spacing w:before="0" w:after="0"/>
              <w:ind w:left="0" w:right="0" w:hanging="0"/>
              <w:jc w:val="left"/>
              <w:rPr/>
            </w:pPr>
            <w:r>
              <w:rPr/>
              <w:t> </w:t>
            </w:r>
          </w:p>
        </w:tc>
        <w:tc>
          <w:tcPr>
            <w:tcW w:w="594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lesser of the term of the lease and the estimated useful lives of the assets</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fixtures, office and other equipment</w:t>
            </w:r>
          </w:p>
        </w:tc>
        <w:tc>
          <w:tcPr>
            <w:tcW w:w="326" w:type="dxa"/>
            <w:tcBorders/>
            <w:vAlign w:val="center"/>
          </w:tcPr>
          <w:p>
            <w:pPr>
              <w:pStyle w:val="TableContents"/>
              <w:bidi w:val="0"/>
              <w:spacing w:before="0" w:after="0"/>
              <w:ind w:left="0" w:right="0" w:hanging="0"/>
              <w:jc w:val="left"/>
              <w:rPr/>
            </w:pPr>
            <w:r>
              <w:rPr/>
              <w:t> </w:t>
            </w:r>
          </w:p>
        </w:tc>
        <w:tc>
          <w:tcPr>
            <w:tcW w:w="5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3-10 years</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Vehicles</w:t>
            </w:r>
          </w:p>
        </w:tc>
        <w:tc>
          <w:tcPr>
            <w:tcW w:w="326" w:type="dxa"/>
            <w:tcBorders/>
            <w:shd w:fill="CCEEFF" w:val="clear"/>
            <w:vAlign w:val="center"/>
          </w:tcPr>
          <w:p>
            <w:pPr>
              <w:pStyle w:val="TableContents"/>
              <w:bidi w:val="0"/>
              <w:spacing w:before="0" w:after="0"/>
              <w:ind w:left="0" w:right="0" w:hanging="0"/>
              <w:jc w:val="left"/>
              <w:rPr/>
            </w:pPr>
            <w:r>
              <w:rPr/>
              <w:t> </w:t>
            </w:r>
          </w:p>
        </w:tc>
        <w:tc>
          <w:tcPr>
            <w:tcW w:w="5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 years</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Servers and computers</w:t>
            </w:r>
          </w:p>
        </w:tc>
        <w:tc>
          <w:tcPr>
            <w:tcW w:w="326" w:type="dxa"/>
            <w:tcBorders/>
            <w:vAlign w:val="center"/>
          </w:tcPr>
          <w:p>
            <w:pPr>
              <w:pStyle w:val="TableContents"/>
              <w:bidi w:val="0"/>
              <w:spacing w:before="0" w:after="0"/>
              <w:ind w:left="0" w:right="0" w:hanging="0"/>
              <w:jc w:val="left"/>
              <w:rPr/>
            </w:pPr>
            <w:r>
              <w:rPr/>
              <w:t> </w:t>
            </w:r>
          </w:p>
        </w:tc>
        <w:tc>
          <w:tcPr>
            <w:tcW w:w="5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3-5 years</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Software</w:t>
            </w:r>
          </w:p>
        </w:tc>
        <w:tc>
          <w:tcPr>
            <w:tcW w:w="326" w:type="dxa"/>
            <w:tcBorders/>
            <w:shd w:fill="CCEEFF" w:val="clear"/>
            <w:vAlign w:val="center"/>
          </w:tcPr>
          <w:p>
            <w:pPr>
              <w:pStyle w:val="TableContents"/>
              <w:bidi w:val="0"/>
              <w:spacing w:before="0" w:after="0"/>
              <w:ind w:left="0" w:right="0" w:hanging="0"/>
              <w:jc w:val="left"/>
              <w:rPr/>
            </w:pPr>
            <w:r>
              <w:rPr/>
              <w:t> </w:t>
            </w:r>
          </w:p>
        </w:tc>
        <w:tc>
          <w:tcPr>
            <w:tcW w:w="5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 years</w:t>
            </w:r>
          </w:p>
        </w:tc>
      </w:tr>
    </w:tbl>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Repairs and maintenance expenditures, which are not considered improvements and do not extend the useful life of the property and equipment, are expensed as incurred.</w:t>
      </w:r>
    </w:p>
    <w:tbl>
      <w:tblPr>
        <w:tblW w:w="1862" w:type="dxa"/>
        <w:jc w:val="left"/>
        <w:tblInd w:w="0" w:type="dxa"/>
        <w:tblLayout w:type="fixed"/>
        <w:tblCellMar>
          <w:top w:w="0" w:type="dxa"/>
          <w:left w:w="0" w:type="dxa"/>
          <w:bottom w:w="0" w:type="dxa"/>
          <w:right w:w="0" w:type="dxa"/>
        </w:tblCellMar>
      </w:tblPr>
      <w:tblGrid>
        <w:gridCol w:w="406"/>
        <w:gridCol w:w="1456"/>
      </w:tblGrid>
      <w:tr>
        <w:trPr/>
        <w:tc>
          <w:tcPr>
            <w:tcW w:w="40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(m)</w:t>
            </w:r>
          </w:p>
        </w:tc>
        <w:tc>
          <w:tcPr>
            <w:tcW w:w="145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0"/>
              </w:rPr>
              <w:t>Land</w:t>
            </w:r>
            <w:r>
              <w:rPr>
                <w:rFonts w:ascii="Times New Roman;Times;serif" w:hAnsi="Times New Roman;Times;serif"/>
                <w:sz w:val="20"/>
              </w:rPr>
              <w:t xml:space="preserve"> </w:t>
            </w:r>
            <w:r>
              <w:rPr>
                <w:rFonts w:ascii="Times New Roman;Times;serif" w:hAnsi="Times New Roman;Times;serif"/>
                <w:b/>
                <w:sz w:val="20"/>
              </w:rPr>
              <w:t>use rights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Land use rights represent lease prepayments to the local government authorities. Upon the adoption of ASC 842 on January 1, 2019, land use rights, net were identified as operating lease right-of-use assets, which is separately disclosed as “Land use rights, net” in the Group’s consolidated balance sheets. Accordingly, the Group disclosed the cash used for obtaining the land use rights in operating cash flow activities for the year ended December 31, 2021, 2022 and 2023.</w:t>
      </w:r>
    </w:p>
    <w:tbl>
      <w:tblPr>
        <w:tblW w:w="1892" w:type="dxa"/>
        <w:jc w:val="left"/>
        <w:tblInd w:w="0" w:type="dxa"/>
        <w:tblLayout w:type="fixed"/>
        <w:tblCellMar>
          <w:top w:w="0" w:type="dxa"/>
          <w:left w:w="0" w:type="dxa"/>
          <w:bottom w:w="0" w:type="dxa"/>
          <w:right w:w="0" w:type="dxa"/>
        </w:tblCellMar>
      </w:tblPr>
      <w:tblGrid>
        <w:gridCol w:w="346"/>
        <w:gridCol w:w="1546"/>
      </w:tblGrid>
      <w:tr>
        <w:trPr/>
        <w:tc>
          <w:tcPr>
            <w:tcW w:w="34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(n)</w:t>
            </w:r>
          </w:p>
        </w:tc>
        <w:tc>
          <w:tcPr>
            <w:tcW w:w="154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Intangible assets</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Finite-lived intangible assets are tested for impairment if impairment indicators arise. The Group amortizes its finite-lived intangible assets using the straight-line method:</w:t>
      </w:r>
    </w:p>
    <w:p>
      <w:pPr>
        <w:pStyle w:val="TextBody"/>
        <w:bidi w:val="0"/>
        <w:spacing w:before="0" w:after="0"/>
        <w:ind w:left="0" w:right="0" w:hanging="0"/>
        <w:jc w:val="both"/>
        <w:rPr/>
      </w:pPr>
      <w:r>
        <w:rPr/>
        <w:t>​</w:t>
      </w:r>
    </w:p>
    <w:tbl>
      <w:tblPr>
        <w:tblW w:w="3328" w:type="dxa"/>
        <w:jc w:val="left"/>
        <w:tblInd w:w="0" w:type="dxa"/>
        <w:tblLayout w:type="fixed"/>
        <w:tblCellMar>
          <w:top w:w="0" w:type="dxa"/>
          <w:left w:w="0" w:type="dxa"/>
          <w:bottom w:w="0" w:type="dxa"/>
          <w:right w:w="0" w:type="dxa"/>
        </w:tblCellMar>
      </w:tblPr>
      <w:tblGrid>
        <w:gridCol w:w="1186"/>
        <w:gridCol w:w="146"/>
        <w:gridCol w:w="1996"/>
      </w:tblGrid>
      <w:tr>
        <w:trPr/>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753110" cy="175260"/>
                      <wp:effectExtent l="0" t="0" r="0" b="0"/>
                      <wp:wrapNone/>
                      <wp:docPr id="389" name="Frame388"/>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92710" cy="175260"/>
                      <wp:effectExtent l="0" t="0" r="0" b="0"/>
                      <wp:wrapNone/>
                      <wp:docPr id="390" name="Frame38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1267460" cy="175260"/>
                      <wp:effectExtent l="0" t="0" r="0" b="0"/>
                      <wp:wrapNone/>
                      <wp:docPr id="391" name="Frame390"/>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License right</w:t>
            </w:r>
          </w:p>
        </w:tc>
        <w:tc>
          <w:tcPr>
            <w:tcW w:w="146" w:type="dxa"/>
            <w:tcBorders/>
            <w:shd w:fill="CCEEFF" w:val="clear"/>
            <w:vAlign w:val="center"/>
          </w:tcPr>
          <w:p>
            <w:pPr>
              <w:pStyle w:val="TableContents"/>
              <w:bidi w:val="0"/>
              <w:spacing w:before="0" w:after="0"/>
              <w:ind w:left="0" w:right="0" w:hanging="0"/>
              <w:jc w:val="left"/>
              <w:rPr/>
            </w:pPr>
            <w:r>
              <w:rPr/>
              <w:t> </w:t>
            </w:r>
          </w:p>
        </w:tc>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over the license period</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Technology</w:t>
            </w:r>
          </w:p>
        </w:tc>
        <w:tc>
          <w:tcPr>
            <w:tcW w:w="146" w:type="dxa"/>
            <w:tcBorders/>
            <w:vAlign w:val="center"/>
          </w:tcPr>
          <w:p>
            <w:pPr>
              <w:pStyle w:val="TableContents"/>
              <w:bidi w:val="0"/>
              <w:spacing w:before="0" w:after="0"/>
              <w:ind w:left="0" w:right="0" w:hanging="0"/>
              <w:jc w:val="left"/>
              <w:rPr/>
            </w:pPr>
            <w:r>
              <w:rPr/>
              <w:t>​</w:t>
            </w:r>
          </w:p>
        </w:tc>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7-10 years</w:t>
            </w:r>
          </w:p>
        </w:tc>
      </w:tr>
      <w:tr>
        <w:trPr/>
        <w:tc>
          <w:tcPr>
            <w:tcW w:w="1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Trademark</w:t>
            </w:r>
          </w:p>
        </w:tc>
        <w:tc>
          <w:tcPr>
            <w:tcW w:w="146" w:type="dxa"/>
            <w:tcBorders/>
            <w:shd w:fill="CCEEFF" w:val="clear"/>
            <w:vAlign w:val="center"/>
          </w:tcPr>
          <w:p>
            <w:pPr>
              <w:pStyle w:val="TableContents"/>
              <w:bidi w:val="0"/>
              <w:spacing w:before="0" w:after="0"/>
              <w:ind w:left="0" w:right="0" w:hanging="0"/>
              <w:jc w:val="left"/>
              <w:rPr/>
            </w:pPr>
            <w:r>
              <w:rPr/>
              <w:t> </w:t>
            </w:r>
          </w:p>
        </w:tc>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 years</w:t>
            </w:r>
          </w:p>
        </w:tc>
      </w:tr>
    </w:tbl>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 obtains music content for customers through licensing agreements. When the license fee for music title is determinable or reasonably estimable, the content is available for streaming and the Group has a binding obligation for the payment, the Group recognizes an asset representing the fee and a corresponding liability for the amounts owed. The Group relieves the liability as payments are made and the Group amortizes the asset to “Cost of revenues” on a straight-line basis over the term of the respective licensing agreements.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Intangible assets and other long-term assets are tested for recoverability whenever events or changes in circumstances indicate that its carrying amount may not be recoverable. When these events occur, the Group evaluates the impairment for intangible assets and other long-term assets by comparing the carrying amount of the assets to an estimate of future undiscounted cash flows expected to be generated from the use of the assets and their eventual disposition. If the sum of the expected future undiscounted cash flows is less than the carrying amount of the assets, the Group recognizes an impairment loss based on the excess of the carrying amount of the assets over the fair value of the assets.</w:t>
      </w:r>
    </w:p>
    <w:tbl>
      <w:tblPr>
        <w:tblW w:w="1277" w:type="dxa"/>
        <w:jc w:val="left"/>
        <w:tblInd w:w="0" w:type="dxa"/>
        <w:tblLayout w:type="fixed"/>
        <w:tblCellMar>
          <w:top w:w="0" w:type="dxa"/>
          <w:left w:w="0" w:type="dxa"/>
          <w:bottom w:w="0" w:type="dxa"/>
          <w:right w:w="0" w:type="dxa"/>
        </w:tblCellMar>
      </w:tblPr>
      <w:tblGrid>
        <w:gridCol w:w="346"/>
        <w:gridCol w:w="931"/>
      </w:tblGrid>
      <w:tr>
        <w:trPr/>
        <w:tc>
          <w:tcPr>
            <w:tcW w:w="34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(o)</w:t>
            </w:r>
          </w:p>
        </w:tc>
        <w:tc>
          <w:tcPr>
            <w:tcW w:w="93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Goodwill</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Goodwill represents the excess of the purchase consideration over the fair value of the identifiable assets and liabilities acquired as a result of the Group’s acquisitions of interests in its subsidiaries and consolidated VIEs. The Group allocates goodwill to reporting units based on the reporting unit expected to benefit from the business combination. Goodwill is tested for impairment at the reporting unit level on an annual basis, or more frequently if events occur or circumstances change that indicate that it is more likely than not the fair value of a reporting unit would be below its carrying value. A goodwill impairment loss, if any, shall be measured as the amount by which the carrying amount of the reporting unit including goodwill exceeds its fair value, limited to the total carrying amount of goodwill allocated to that reporting unit.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Application of the goodwill impairment test requires judgment, including the identification of reporting units, assignment of assets and liabilities to reporting units, assignment of goodwill to reporting units, and determination of the fair value of each reporting unit. The fair value of each reporting unit is estimated primarily through the use of a discounted cash flow methodology. This analysis requires significant judgments, including estimation of future cash flows, which is dependent on internal forecasts, estimation of the growth rate for business, estimation of the useful life over which cash flows will occur, and determination of weighted average cost of capital. Changes in these estimates and assumptions could materially affect the determination of fair value and goodwill impairment for each reporting unit.</w:t>
      </w:r>
    </w:p>
    <w:tbl>
      <w:tblPr>
        <w:tblW w:w="3737" w:type="dxa"/>
        <w:jc w:val="left"/>
        <w:tblInd w:w="0" w:type="dxa"/>
        <w:tblLayout w:type="fixed"/>
        <w:tblCellMar>
          <w:top w:w="0" w:type="dxa"/>
          <w:left w:w="0" w:type="dxa"/>
          <w:bottom w:w="0" w:type="dxa"/>
          <w:right w:w="0" w:type="dxa"/>
        </w:tblCellMar>
      </w:tblPr>
      <w:tblGrid>
        <w:gridCol w:w="346"/>
        <w:gridCol w:w="3391"/>
      </w:tblGrid>
      <w:tr>
        <w:trPr/>
        <w:tc>
          <w:tcPr>
            <w:tcW w:w="34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(p)</w:t>
            </w:r>
          </w:p>
        </w:tc>
        <w:tc>
          <w:tcPr>
            <w:tcW w:w="339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Advertising and promotional expenses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 expenses advertising and promotional costs as incurred and reports these costs under selling and marketing expense. Advertising and promotional expenses totaled approximately RMB8.9 billion, RMB10.0 billion and RMB10.4 billion (US$1.5 billion) for the years ended December 31, 2021, 2022, and 2023, respectively.</w:t>
      </w:r>
    </w:p>
    <w:tbl>
      <w:tblPr>
        <w:tblW w:w="2957" w:type="dxa"/>
        <w:jc w:val="left"/>
        <w:tblInd w:w="0" w:type="dxa"/>
        <w:tblLayout w:type="fixed"/>
        <w:tblCellMar>
          <w:top w:w="0" w:type="dxa"/>
          <w:left w:w="0" w:type="dxa"/>
          <w:bottom w:w="0" w:type="dxa"/>
          <w:right w:w="0" w:type="dxa"/>
        </w:tblCellMar>
      </w:tblPr>
      <w:tblGrid>
        <w:gridCol w:w="346"/>
        <w:gridCol w:w="2611"/>
      </w:tblGrid>
      <w:tr>
        <w:trPr/>
        <w:tc>
          <w:tcPr>
            <w:tcW w:w="34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(q)</w:t>
            </w:r>
          </w:p>
        </w:tc>
        <w:tc>
          <w:tcPr>
            <w:tcW w:w="261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Foreign currency translation</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Group’s reporting currency is RMB. The Company and its subsidiaries and the VIEs, with an exception of many overseas subsidiaries, use RMB as their functional currency. Several of the Company’s overseas subsidiaries used US$ or their respective local currencies as their functional currency. The determination of the respective functional currency is based on the criteria of ASC 830, Foreign Currency Matters.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Transactions in currencies other than the functional currency are measured and recorded in the functional currency using the exchange rate in effect at the date of the transaction. At the balance sheet date, monetary assets and liabilities that are denominated in currencies other than the functional currency are translated into the functional currency using the exchange rate at the balance sheet date. The resulting exchange differences are included in the consolidated statements of operations and comprehensive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Assets and liabilities of the Group companies are translated from their respective functional currencies to the reporting currency at the exchange rates at the balance sheet dates, equity accounts are translated at historical exchange rates and revenues and expenses are translated at the average exchange rates in effect during the reporting period. The exchange differences for the translation of group companies with non-RMB functional currency into the RMB functional currency are included in foreign currency translation adjustments, which is a separate component of shareholders’ equity on the consolidated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Translations of amounts from RMB into United States dollars for the convenience of the reader were calculated at the noon buying rate of US$1.00 = RMB7.0999 on the last trading day of 2023 (December 29, 2023) as set forth in the H.10 statistical release of the U.S. Federal Reserve Board. No representation is made that the RMB amounts could have been, or could be, converted into United States dollars at such rate.</w:t>
      </w:r>
    </w:p>
    <w:tbl>
      <w:tblPr>
        <w:tblW w:w="2732" w:type="dxa"/>
        <w:jc w:val="left"/>
        <w:tblInd w:w="0" w:type="dxa"/>
        <w:tblLayout w:type="fixed"/>
        <w:tblCellMar>
          <w:top w:w="0" w:type="dxa"/>
          <w:left w:w="0" w:type="dxa"/>
          <w:bottom w:w="0" w:type="dxa"/>
          <w:right w:w="0" w:type="dxa"/>
        </w:tblCellMar>
      </w:tblPr>
      <w:tblGrid>
        <w:gridCol w:w="331"/>
        <w:gridCol w:w="2401"/>
      </w:tblGrid>
      <w:tr>
        <w:trPr/>
        <w:tc>
          <w:tcPr>
            <w:tcW w:w="33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(r)</w:t>
            </w:r>
          </w:p>
        </w:tc>
        <w:tc>
          <w:tcPr>
            <w:tcW w:w="240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Share-based compensation</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its 2009 Restricted Share Unit Plan and 2019 Restricted Share Unit Plan (see Note 22(a)), the Company issues restricted share units (RSUs) to its employees, directors and consultants with performance conditions and service vesting periods ranging from one year to five years. Some of the RSUs issued are to be settled, at the Company’s discretion, in stock or cash upon vesting based on the stock price at grant date. At each reporting period, the Company evaluates the likelihood of performance conditions being met. Share-based compensation costs are then recorded for the number of RSUs expected to vest on a graded-vesting basis, net of estimated forfeitures, over the requisite service period. The compensation cost of the RSUs to be settled in stock only is measured based on the fair value of stock when all conditions to establish the grant date have been met. The compensation cost of RSUs to be settled either in stock or cash at the Company’s discretion is remeasured until the date when settlement in stock or cash is determined by the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Effective February 22, 2023, the Board of Directors of the Company amended and restated the 2019 Restricted Share Unit Plan to permit the grant of stock option awards thereunder as an additional award type and to make certain other ministerial and administrative changes and renamed it the NetEase, Inc. Amended and Restated 2019 Share Incentive Plan (the “Amended and Restated 2019 Plan”).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records share-based compensation to the consolidated statements of operations and comprehensive income with the corresponding credit to the additional paid-in-capital for share options and RSUs to the extent that such awards are to be settled only in stock.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Certain subsidiaries of the Company granted options exercisable for ordinary shares to certain of the Group’s employees. The options expire </w:t>
      </w:r>
      <w:r>
        <w:rPr>
          <w:rFonts w:ascii="Times New Roman;Times;serif" w:hAnsi="Times New Roman;Times;serif"/>
          <w:b w:val="false"/>
          <w:i w:val="false"/>
          <w:caps w:val="false"/>
          <w:smallCaps w:val="false"/>
          <w:sz w:val="20"/>
        </w:rPr>
        <w:t>four</w:t>
      </w:r>
      <w:r>
        <w:rPr>
          <w:rFonts w:ascii="Times New Roman;Times;serif" w:hAnsi="Times New Roman;Times;serif"/>
          <w:sz w:val="20"/>
        </w:rPr>
        <w:t xml:space="preserve"> to seven years from the date of grant and either vest or have a vesting commencement date upon certain conditions being met (“Vesting Commencement Date”). The Group adopts the binomial option pricing model to determine the fair value of stock options and accounts for share-based compensation cost using an estimated forfeiture rate.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Forfeitures were estimated based on the Group’s weighted average historical forfeiture rate of the past five years. Differences between actual and estimated forfeitures are expensed in the period that the differences occur. See Note 22 for further information regarding share-based compensation assumptions and expense.</w:t>
      </w:r>
    </w:p>
    <w:tbl>
      <w:tblPr>
        <w:tblW w:w="1247" w:type="dxa"/>
        <w:jc w:val="left"/>
        <w:tblInd w:w="0" w:type="dxa"/>
        <w:tblLayout w:type="fixed"/>
        <w:tblCellMar>
          <w:top w:w="0" w:type="dxa"/>
          <w:left w:w="0" w:type="dxa"/>
          <w:bottom w:w="0" w:type="dxa"/>
          <w:right w:w="0" w:type="dxa"/>
        </w:tblCellMar>
      </w:tblPr>
      <w:tblGrid>
        <w:gridCol w:w="316"/>
        <w:gridCol w:w="931"/>
      </w:tblGrid>
      <w:tr>
        <w:trPr/>
        <w:tc>
          <w:tcPr>
            <w:tcW w:w="31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(s)</w:t>
            </w:r>
          </w:p>
        </w:tc>
        <w:tc>
          <w:tcPr>
            <w:tcW w:w="93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Taxation</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Income tax expense is recognized in accordance with the laws of the relevant taxing authorities, with deferred taxes being provided for temporary differences between amounts of assets and liabilities for financial reporting purposes and such amounts as measured by tax laws. Tax rate changes are reflected in income during the period the changes are enacted.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deferred income tax asset or liability is computed for the expected future impact of differences between the financial reporting and tax bases of assets and liabilities as well as the expected future tax benefit to be derived from tax loss and tax credit carry forwards.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16, 2007, the National People’s Congress of PRC enacted the Enterprise Income Tax (“EIT”) Law which imposes a withholding income tax of 10% on dividends distributed by an enterprise in China to its non-resident enterprise investors. A lower withholding income tax rate of 5% is applied if the non-resident enterprise investor is registered in Hong Kong with at least 25% equity interest in the PRC enterprise and meets the relevant conditions or requirements pursuant to the tax arrangement between mainland China and Hong Kong.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Valuation allowances are established, when necessary, to reduce deferred tax assets to the amount “more likely than not” to be realized in future tax returns.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a particular tax-paying component of an enterprise and within a particular tax jurisdiction, all deferred tax assets and liabilities are offset and presented as a single amount. The Group does not offset deferred tax assets and liabilities attributable to different tax-paying components of the enterprise or to different tax jurisdictions.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 reports tax-related interest expense and penalty in “Other, net” in the consolidated statements of operations and comprehensive income, if there is any. The Group did not incur any material penalty or interest payments in connection with tax positions during the years ended December 31, 2021, 2022 and 2023.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 did not have any significant unrecognized uncertain tax positions as of December 31, 2022 and 2023.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order to assess uncertain tax positions, the Group applies a more likely than not threshold and a two-step approach for the tax position measurement and financial statement recognition. Under the two-step approach, the first step is to evaluate the tax position for recognition by determining if the weight of available evidence indicates that it is more likely than not that the position will be sustained, including resolution of related appeals or litigation processes, if any. The second step is to measure the tax benefit as the largest amount that is more than 50% likely of being realized upon settlement.</w:t>
      </w:r>
    </w:p>
    <w:tbl>
      <w:tblPr>
        <w:tblW w:w="6932" w:type="dxa"/>
        <w:jc w:val="left"/>
        <w:tblInd w:w="0" w:type="dxa"/>
        <w:tblLayout w:type="fixed"/>
        <w:tblCellMar>
          <w:top w:w="0" w:type="dxa"/>
          <w:left w:w="0" w:type="dxa"/>
          <w:bottom w:w="0" w:type="dxa"/>
          <w:right w:w="0" w:type="dxa"/>
        </w:tblCellMar>
      </w:tblPr>
      <w:tblGrid>
        <w:gridCol w:w="301"/>
        <w:gridCol w:w="6631"/>
      </w:tblGrid>
      <w:tr>
        <w:trPr/>
        <w:tc>
          <w:tcPr>
            <w:tcW w:w="30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(t)</w:t>
            </w:r>
          </w:p>
        </w:tc>
        <w:tc>
          <w:tcPr>
            <w:tcW w:w="663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Net earnings per share (“EPS”) and per American Depositary Share (“ADS”)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Basic earnings per share is computed on the basis of the weighted-average number of ordinary shares outstanding during the period under measurement. Diluted earnings per share are based on the weighted-average number of ordinary shares outstanding and potential ordinary shares. Potential ordinary shares result from the assumed exercise of outstanding stock options, RSUs or other potentially dilutive equity instruments, when they are dilutive under the treasury stock method or the if-converted method.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2042" w:type="dxa"/>
        <w:jc w:val="left"/>
        <w:tblInd w:w="0" w:type="dxa"/>
        <w:tblLayout w:type="fixed"/>
        <w:tblCellMar>
          <w:top w:w="0" w:type="dxa"/>
          <w:left w:w="0" w:type="dxa"/>
          <w:bottom w:w="0" w:type="dxa"/>
          <w:right w:w="0" w:type="dxa"/>
        </w:tblCellMar>
      </w:tblPr>
      <w:tblGrid>
        <w:gridCol w:w="346"/>
        <w:gridCol w:w="1696"/>
      </w:tblGrid>
      <w:tr>
        <w:trPr/>
        <w:tc>
          <w:tcPr>
            <w:tcW w:w="34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(u)</w:t>
            </w:r>
          </w:p>
        </w:tc>
        <w:tc>
          <w:tcPr>
            <w:tcW w:w="169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Statutory reserves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subsidiaries and the VIEs incorporated in China are required to make appropriations to certain non-distributable statutory reserves. In accordance with the laws applicable to foreign invested enterprises in China, its subsidiaries have to make appropriations from its after-tax profit as reported in their PRC statutory accounts to non-distributable statutory reserves including (i) general reserve fund, (ii) enterprise expansion fund and (iii) staff bonus and welfare fund. The appropriation to the general reserve fund is at least 10% of the after-tax profits as reported in the PRC statutory accounts. Appropriation is not required if the reserve fund has reached 50% of the registered capital of the respective company. The appropriation to the other reserve funds is at the discretion of the board of directors of the respective company. At the same time, the VIEs, in accordance with the China Company Laws, must make appropriations from their after-tax profit as reported in their PRC statutory accounts to non-distributable statutory reserves including (i) statutory surplus fund and (ii) discretionary surplus fund. The appropriation to the statutory surplus fund is at least 10% of the after-tax profits as reported in their PRC statutory accounts. Appropriation is not required if the statutory surplus fund has reached 50% of the registered capital of the respective company. Appropriation to the discretionary surplus fund is made at the discretion of the board of directors of the respective companies.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general reserve fund and statutory surplus fund are restricted to set off against losses, expansion of production and operation or increase in the registered capital of the respective companies. The staff bonus and welfare fund is available to fund payments of special bonuses to staff and for collective welfare benefits. Upon approval by the board of directors, the discretionary surplus and enterprise expansion fund can be used to offset accumulated losses or to increase capital.</w:t>
      </w:r>
    </w:p>
    <w:tbl>
      <w:tblPr>
        <w:tblW w:w="2327" w:type="dxa"/>
        <w:jc w:val="left"/>
        <w:tblInd w:w="0" w:type="dxa"/>
        <w:tblLayout w:type="fixed"/>
        <w:tblCellMar>
          <w:top w:w="0" w:type="dxa"/>
          <w:left w:w="0" w:type="dxa"/>
          <w:bottom w:w="0" w:type="dxa"/>
          <w:right w:w="0" w:type="dxa"/>
        </w:tblCellMar>
      </w:tblPr>
      <w:tblGrid>
        <w:gridCol w:w="346"/>
        <w:gridCol w:w="1981"/>
      </w:tblGrid>
      <w:tr>
        <w:trPr/>
        <w:tc>
          <w:tcPr>
            <w:tcW w:w="34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(v)</w:t>
            </w:r>
          </w:p>
        </w:tc>
        <w:tc>
          <w:tcPr>
            <w:tcW w:w="198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Business combination</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 accounts for its business combinations using the acquisition method of accounting in accordance with ASC 805, Business Combinations. The cost of an acquisition is measured as the aggregate of the acquisition date fair values of the assets transferred and liabilities assumed by the Group to the sellers and equity instruments issued. Transaction costs directly attributable to the acquisition are expensed as incurred. Identifiable assets and liabilities acquired or assumed are measured separately at their fair values as of the acquisition date, irrespective of the extent of any noncontrolling interests. The excess of (i) the total costs of acquisition, fair value of the noncontrolling interests and acquisition date fair value of any previously held equity interest in the acquiree over (ii) the fair value of the identifiable net assets of the acquiree is recorded as goodwill. If the cost of acquisition is less than the fair value of the net assets of the subsidiary acquired, the difference is recognized directly in the consolidated statements of operations and comprehensive income. During the measurement period, which can be up to one year from the acquisition date, the Group may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on the consolidated statements of operations and comprehensive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 business combination achieved in stages, the Group re-measures the previously held equity interests in the acquiree when obtaining control at its acquisition date fair value and the re-measurement gain or loss, if any, is recognized on the consolidated statements of operations and comprehensive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When there is a change in ownership interests or a change in contractual arrangements that results in a loss of control of a subsidiary, the Company deconsolidates the subsidiary from the date control is lost. Any retained noncontrolling investment in the former subsidiary is measured at fair value and is included in the calculation of the gain or loss upon deconsolidation of the subsidiary.</w:t>
      </w:r>
    </w:p>
    <w:tbl>
      <w:tblPr>
        <w:tblW w:w="6017" w:type="dxa"/>
        <w:jc w:val="left"/>
        <w:tblInd w:w="0" w:type="dxa"/>
        <w:tblLayout w:type="fixed"/>
        <w:tblCellMar>
          <w:top w:w="0" w:type="dxa"/>
          <w:left w:w="0" w:type="dxa"/>
          <w:bottom w:w="0" w:type="dxa"/>
          <w:right w:w="0" w:type="dxa"/>
        </w:tblCellMar>
      </w:tblPr>
      <w:tblGrid>
        <w:gridCol w:w="376"/>
        <w:gridCol w:w="5641"/>
      </w:tblGrid>
      <w:tr>
        <w:trPr/>
        <w:tc>
          <w:tcPr>
            <w:tcW w:w="37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(w)</w:t>
            </w:r>
          </w:p>
        </w:tc>
        <w:tc>
          <w:tcPr>
            <w:tcW w:w="564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Noncontrolling interests and redeemable noncontrolling interests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Noncontrolling interests are recognized to reflect the portion of the equity of majority-owned subsidiaries and the VIEs which is not attributable, directly or indirectly, to the controlling shareholder.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noncontrolling interest will continue to be attributed its share of losses even if that attribution results in a deficit noncontrolling interest balance.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Redeemable noncontrolling interests represent redeemable equity interests issued by the Group’s subsidiaries to certain investors (see Note 19), and have been classified as mezzanine classified noncontrolling interests in the consolidated financial statements as these redeemable interests are contingently redeemable upon the occurrence of certain conditional events, which is not solely within the control of the Group. The Group accreted the redeemable equity interests to their redemption value, which is purchase price plus interest per year over the period since issuance to the earliest redemption date. The accretions were recorded against retained earnings, or in the absence of retained earnings, by charges against additional paid-in capital. Once additional paid-in capital had been exhausted, additional charges were recorded by increasing the accumulated deficit.</w:t>
      </w:r>
    </w:p>
    <w:tbl>
      <w:tblPr>
        <w:tblW w:w="1772" w:type="dxa"/>
        <w:jc w:val="left"/>
        <w:tblInd w:w="0" w:type="dxa"/>
        <w:tblLayout w:type="fixed"/>
        <w:tblCellMar>
          <w:top w:w="0" w:type="dxa"/>
          <w:left w:w="0" w:type="dxa"/>
          <w:bottom w:w="0" w:type="dxa"/>
          <w:right w:w="0" w:type="dxa"/>
        </w:tblCellMar>
      </w:tblPr>
      <w:tblGrid>
        <w:gridCol w:w="346"/>
        <w:gridCol w:w="1426"/>
      </w:tblGrid>
      <w:tr>
        <w:trPr/>
        <w:tc>
          <w:tcPr>
            <w:tcW w:w="34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(x)</w:t>
            </w:r>
          </w:p>
        </w:tc>
        <w:tc>
          <w:tcPr>
            <w:tcW w:w="142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Related parties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 such as a family member or relative, stockholder, or a related corporation.</w:t>
      </w:r>
    </w:p>
    <w:tbl>
      <w:tblPr>
        <w:tblW w:w="2477" w:type="dxa"/>
        <w:jc w:val="left"/>
        <w:tblInd w:w="0" w:type="dxa"/>
        <w:tblLayout w:type="fixed"/>
        <w:tblCellMar>
          <w:top w:w="0" w:type="dxa"/>
          <w:left w:w="0" w:type="dxa"/>
          <w:bottom w:w="0" w:type="dxa"/>
          <w:right w:w="0" w:type="dxa"/>
        </w:tblCellMar>
      </w:tblPr>
      <w:tblGrid>
        <w:gridCol w:w="346"/>
        <w:gridCol w:w="2131"/>
      </w:tblGrid>
      <w:tr>
        <w:trPr/>
        <w:tc>
          <w:tcPr>
            <w:tcW w:w="34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(y)</w:t>
            </w:r>
          </w:p>
        </w:tc>
        <w:tc>
          <w:tcPr>
            <w:tcW w:w="213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Comprehensive income</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Comprehensive income is defined as the change in equity of the Group during a period arising from transactions and other events and circumstances excluding transactions resulting from investments by shareholders and distributions to shareholders. </w:t>
      </w:r>
    </w:p>
    <w:tbl>
      <w:tblPr>
        <w:tblW w:w="2057" w:type="dxa"/>
        <w:jc w:val="left"/>
        <w:tblInd w:w="0" w:type="dxa"/>
        <w:tblLayout w:type="fixed"/>
        <w:tblCellMar>
          <w:top w:w="0" w:type="dxa"/>
          <w:left w:w="0" w:type="dxa"/>
          <w:bottom w:w="0" w:type="dxa"/>
          <w:right w:w="0" w:type="dxa"/>
        </w:tblCellMar>
      </w:tblPr>
      <w:tblGrid>
        <w:gridCol w:w="331"/>
        <w:gridCol w:w="1726"/>
      </w:tblGrid>
      <w:tr>
        <w:trPr/>
        <w:tc>
          <w:tcPr>
            <w:tcW w:w="33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(z)</w:t>
            </w:r>
          </w:p>
        </w:tc>
        <w:tc>
          <w:tcPr>
            <w:tcW w:w="172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Segment reporting</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Group’s internal organizational structure as well as information about geographical areas, business segments and major customers in financial statements is set out in detail under Note 28.</w:t>
      </w:r>
    </w:p>
    <w:tbl>
      <w:tblPr>
        <w:tblW w:w="1442" w:type="dxa"/>
        <w:jc w:val="left"/>
        <w:tblInd w:w="0" w:type="dxa"/>
        <w:tblLayout w:type="fixed"/>
        <w:tblCellMar>
          <w:top w:w="0" w:type="dxa"/>
          <w:left w:w="0" w:type="dxa"/>
          <w:bottom w:w="0" w:type="dxa"/>
          <w:right w:w="0" w:type="dxa"/>
        </w:tblCellMar>
      </w:tblPr>
      <w:tblGrid>
        <w:gridCol w:w="451"/>
        <w:gridCol w:w="991"/>
      </w:tblGrid>
      <w:tr>
        <w:trPr/>
        <w:tc>
          <w:tcPr>
            <w:tcW w:w="45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(aa)</w:t>
            </w:r>
          </w:p>
        </w:tc>
        <w:tc>
          <w:tcPr>
            <w:tcW w:w="99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Dividends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Dividends of the Company are recognized when declared.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(bb) Recently issued accounting pronouncements not yet adopted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November 2023, the FASB issued ASU 2023-07, Segment Reporting(Topic 280): Improvements to Reportable Segment Disclosure. ASU 2023-07 improves reportable segment disclosure requirements on an annual and interim basis for all public entities to enable investors to develop more decision-useful financial analyses, primarily through enhanced disclosures about significant segment expenses. The amendments in this Update are effective for fiscal years beginning after December 15, 2023, and interim periods within fiscal years beginning after December 15, 2024. Early adoption is permitted.A public entity should apply the amendments in this Update retrospectively to all prior periods presented in the financial statements. Upon transition, the segment expense categories and amounts disclosed in the prior periods should be based on the significant segment expense categories identified and disclosed in the period of adoption.The Group is currently evaluating the impact of the accounting standard updates on the consolidated financial statements.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December 2023, the FASB issued ASU No. 2023-09, Income Taxes (Topic 740):Improvements to Income Tax Disclosures. ASU No. 2023-09 requires disaggregated information about a reporting entity’s effective tax rate reconciliation as well as additional information on income taxes paid. The guidance is effective for annual periods beginning after December 15, 2024 on a prospective basis. Early adoption is permitted. The Group is currently evaluating the impact of the accounting standard updates on the consolidated financial statements.</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1398" w:name="_48d74218_7b4d_4fc4_99d0_f5507338ac92"/>
      <w:bookmarkStart w:id="1399" w:name="_48d74218_7b4d_4fc4_99d0_f5507338ac92"/>
      <w:bookmarkEnd w:id="1399"/>
    </w:p>
    <w:tbl>
      <w:tblPr>
        <w:tblW w:w="2552" w:type="dxa"/>
        <w:jc w:val="left"/>
        <w:tblInd w:w="0" w:type="dxa"/>
        <w:tblLayout w:type="fixed"/>
        <w:tblCellMar>
          <w:top w:w="0" w:type="dxa"/>
          <w:left w:w="0" w:type="dxa"/>
          <w:bottom w:w="0" w:type="dxa"/>
          <w:right w:w="0" w:type="dxa"/>
        </w:tblCellMar>
      </w:tblPr>
      <w:tblGrid>
        <w:gridCol w:w="271"/>
        <w:gridCol w:w="2281"/>
      </w:tblGrid>
      <w:tr>
        <w:trPr/>
        <w:tc>
          <w:tcPr>
            <w:tcW w:w="27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3.</w:t>
            </w:r>
          </w:p>
        </w:tc>
        <w:tc>
          <w:tcPr>
            <w:tcW w:w="228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 xml:space="preserve">Discontinued Operations </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2022, the Company recognized net income from discontinued operations of RMB624.9 million which was related to the disposal of the Kaola business in 2019.</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400" w:name="Tc_6nzwO3P1zUW2IrVBgcWyTQ_10_0"/>
      <w:bookmarkStart w:id="1401" w:name="Tc_K-Dx92x1-0a8QaioOExzhg_9_0"/>
      <w:bookmarkStart w:id="1402" w:name="Tc_VtYTZ2kGsEql5VMcs_RoSw_8_0"/>
      <w:bookmarkStart w:id="1403" w:name="Tc_SDJ5TB0MO0yog-bOga6jRA_7_0"/>
      <w:bookmarkStart w:id="1404" w:name="Tc_Dk5B1UfxzEi_nspANLhVWw_6_0"/>
      <w:bookmarkStart w:id="1405" w:name="Tc_nz43RbWl4Um7_YzriPQ9KA_5_0"/>
      <w:bookmarkStart w:id="1406" w:name="Tc_BH4qHVrjD0mPOdj_CIpN3Q_4_0"/>
      <w:bookmarkStart w:id="1407" w:name="Tc_l76GTRkjtUOqZ4BxHXuOvA_3_0"/>
      <w:bookmarkStart w:id="1408" w:name="Tc_l3IrG-z_bESATXxCqPstJQ_2_2"/>
      <w:bookmarkStart w:id="1409" w:name="Tc_xmTL70tgmUiGgfjUeEyfRQ_1_2"/>
      <w:bookmarkStart w:id="1410" w:name="_95c6092a_c809_4401_95e7_e565c5a6aadd"/>
      <w:bookmarkStart w:id="1411" w:name="Tc_6nzwO3P1zUW2IrVBgcWyTQ_10_0"/>
      <w:bookmarkStart w:id="1412" w:name="Tc_K-Dx92x1-0a8QaioOExzhg_9_0"/>
      <w:bookmarkStart w:id="1413" w:name="Tc_VtYTZ2kGsEql5VMcs_RoSw_8_0"/>
      <w:bookmarkStart w:id="1414" w:name="Tc_SDJ5TB0MO0yog-bOga6jRA_7_0"/>
      <w:bookmarkStart w:id="1415" w:name="Tc_Dk5B1UfxzEi_nspANLhVWw_6_0"/>
      <w:bookmarkStart w:id="1416" w:name="Tc_nz43RbWl4Um7_YzriPQ9KA_5_0"/>
      <w:bookmarkStart w:id="1417" w:name="Tc_BH4qHVrjD0mPOdj_CIpN3Q_4_0"/>
      <w:bookmarkStart w:id="1418" w:name="Tc_l76GTRkjtUOqZ4BxHXuOvA_3_0"/>
      <w:bookmarkStart w:id="1419" w:name="Tc_l3IrG-z_bESATXxCqPstJQ_2_2"/>
      <w:bookmarkStart w:id="1420" w:name="Tc_xmTL70tgmUiGgfjUeEyfRQ_1_2"/>
      <w:bookmarkStart w:id="1421" w:name="_95c6092a_c809_4401_95e7_e565c5a6aadd"/>
      <w:bookmarkEnd w:id="1411"/>
      <w:bookmarkEnd w:id="1412"/>
      <w:bookmarkEnd w:id="1413"/>
      <w:bookmarkEnd w:id="1414"/>
      <w:bookmarkEnd w:id="1415"/>
      <w:bookmarkEnd w:id="1416"/>
      <w:bookmarkEnd w:id="1417"/>
      <w:bookmarkEnd w:id="1418"/>
      <w:bookmarkEnd w:id="1419"/>
      <w:bookmarkEnd w:id="1420"/>
      <w:bookmarkEnd w:id="1421"/>
    </w:p>
    <w:tbl>
      <w:tblPr>
        <w:tblW w:w="1382" w:type="dxa"/>
        <w:jc w:val="left"/>
        <w:tblInd w:w="0" w:type="dxa"/>
        <w:tblLayout w:type="fixed"/>
        <w:tblCellMar>
          <w:top w:w="0" w:type="dxa"/>
          <w:left w:w="0" w:type="dxa"/>
          <w:bottom w:w="0" w:type="dxa"/>
          <w:right w:w="0" w:type="dxa"/>
        </w:tblCellMar>
      </w:tblPr>
      <w:tblGrid>
        <w:gridCol w:w="271"/>
        <w:gridCol w:w="1111"/>
      </w:tblGrid>
      <w:tr>
        <w:trPr/>
        <w:tc>
          <w:tcPr>
            <w:tcW w:w="271" w:type="dxa"/>
            <w:tcBorders/>
            <w:vAlign w:val="center"/>
          </w:tcPr>
          <w:p>
            <w:pPr>
              <w:pStyle w:val="TableContents"/>
              <w:bidi w:val="0"/>
              <w:spacing w:before="0" w:after="160"/>
              <w:jc w:val="both"/>
              <w:rPr>
                <w:rFonts w:ascii="Times New Roman;Times;serif" w:hAnsi="Times New Roman;Times;serif"/>
                <w:b/>
                <w:sz w:val="20"/>
              </w:rPr>
            </w:pPr>
            <w:r>
              <w:rPr>
                <w:rFonts w:ascii="Times New Roman;Times;serif" w:hAnsi="Times New Roman;Times;serif"/>
                <w:b/>
                <w:sz w:val="20"/>
              </w:rPr>
              <w:t>4.</w:t>
            </w:r>
          </w:p>
        </w:tc>
        <w:tc>
          <w:tcPr>
            <w:tcW w:w="1111" w:type="dxa"/>
            <w:tcBorders/>
            <w:vAlign w:val="center"/>
          </w:tcPr>
          <w:p>
            <w:pPr>
              <w:pStyle w:val="TableContents"/>
              <w:bidi w:val="0"/>
              <w:spacing w:before="0" w:after="160"/>
              <w:jc w:val="both"/>
              <w:rPr>
                <w:rFonts w:ascii="Times New Roman;Times;serif" w:hAnsi="Times New Roman;Times;serif"/>
                <w:b/>
                <w:sz w:val="20"/>
              </w:rPr>
            </w:pPr>
            <w:r>
              <w:rPr>
                <w:rFonts w:ascii="Times New Roman;Times;serif" w:hAnsi="Times New Roman;Times;serif"/>
                <w:b/>
                <w:sz w:val="20"/>
              </w:rPr>
              <w:t>Acquisition</w:t>
            </w:r>
          </w:p>
        </w:tc>
      </w:tr>
    </w:tbl>
    <w:p>
      <w:pPr>
        <w:pStyle w:val="TextBody"/>
        <w:pBdr/>
        <w:bidi w:val="0"/>
        <w:spacing w:before="0" w:after="240"/>
        <w:ind w:left="0" w:right="0" w:hanging="432"/>
        <w:jc w:val="both"/>
        <w:rPr>
          <w:rFonts w:ascii="Times New Roman;Times;serif" w:hAnsi="Times New Roman;Times;serif"/>
          <w:i/>
          <w:sz w:val="20"/>
        </w:rPr>
      </w:pPr>
      <w:r>
        <w:rPr>
          <w:rFonts w:ascii="Times New Roman;Times;serif" w:hAnsi="Times New Roman;Times;serif"/>
          <w:i/>
          <w:sz w:val="20"/>
        </w:rPr>
        <w:t>Acquisitions in 2022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2022, the Group completed several acquisitions to complete its existing businesses and achieve synergies. Among them, the Group acquired an additional 50.5% equity interest of a previously held equity investment with total cash consideration of RMB760.4 million. Upon the acquisition, the Group increased its equity interest in this investment from 41.5% to 92.0%, and accounted for it as a consolidated subsidiary of the Group. A gain of RMB310.4 million in relation to the revaluation of the previously held equity interests was recorded in “Investment income, net” in the consolidated statements of operations and comprehensive income for the year ended December 31, 2022. The acquired entities individually and in aggregate were insignificant. The Group’s acquisitions in 2022 are summarized in the following table (in thousands):</w:t>
      </w:r>
    </w:p>
    <w:p>
      <w:pPr>
        <w:pStyle w:val="TextBody"/>
        <w:bidi w:val="0"/>
        <w:spacing w:before="0" w:after="0"/>
        <w:ind w:left="0" w:right="0" w:hanging="0"/>
        <w:jc w:val="left"/>
        <w:rPr/>
      </w:pPr>
      <w:r>
        <w:rPr/>
        <w:t>​</w:t>
      </w:r>
    </w:p>
    <w:tbl>
      <w:tblPr>
        <w:tblW w:w="4168" w:type="dxa"/>
        <w:jc w:val="left"/>
        <w:tblInd w:w="0" w:type="dxa"/>
        <w:tblLayout w:type="fixed"/>
        <w:tblCellMar>
          <w:top w:w="0" w:type="dxa"/>
          <w:left w:w="0" w:type="dxa"/>
          <w:bottom w:w="0" w:type="dxa"/>
          <w:right w:w="0" w:type="dxa"/>
        </w:tblCellMar>
      </w:tblPr>
      <w:tblGrid>
        <w:gridCol w:w="2806"/>
        <w:gridCol w:w="326"/>
        <w:gridCol w:w="1036"/>
      </w:tblGrid>
      <w:tr>
        <w:trPr/>
        <w:tc>
          <w:tcPr>
            <w:tcW w:w="2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1781810" cy="175260"/>
                      <wp:effectExtent l="0" t="0" r="0" b="0"/>
                      <wp:wrapNone/>
                      <wp:docPr id="392" name="Frame391"/>
                      <a:graphic xmlns:a="http://schemas.openxmlformats.org/drawingml/2006/main">
                        <a:graphicData uri="http://schemas.microsoft.com/office/word/2010/wordprocessingShape">
                          <wps:wsp>
                            <wps:cNvSpPr txBox="1"/>
                            <wps:spPr>
                              <a:xfrm>
                                <a:off x="0" y="0"/>
                                <a:ext cx="1781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207010" cy="175260"/>
                      <wp:effectExtent l="0" t="0" r="0" b="0"/>
                      <wp:wrapNone/>
                      <wp:docPr id="393" name="Frame3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657860" cy="175260"/>
                      <wp:effectExtent l="0" t="0" r="0" b="0"/>
                      <wp:wrapNone/>
                      <wp:docPr id="394" name="Frame39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Amounts</w:t>
            </w:r>
          </w:p>
        </w:tc>
      </w:tr>
      <w:tr>
        <w:trPr/>
        <w:tc>
          <w:tcPr>
            <w:tcW w:w="28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28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liabilities acquired</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(34,671)</w:t>
            </w:r>
          </w:p>
        </w:tc>
      </w:tr>
      <w:tr>
        <w:trPr/>
        <w:tc>
          <w:tcPr>
            <w:tcW w:w="280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Amortizable intangible assets </w:t>
            </w:r>
            <w:r>
              <w:rPr>
                <w:rFonts w:ascii="Times New Roman;Times;serif" w:hAnsi="Times New Roman;Times;serif"/>
                <w:sz w:val="15"/>
              </w:rPr>
              <w:t>(i)</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r>
      <w:tr>
        <w:trPr/>
        <w:tc>
          <w:tcPr>
            <w:tcW w:w="28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Trademark</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143,146</w:t>
            </w:r>
          </w:p>
        </w:tc>
      </w:tr>
      <w:tr>
        <w:trPr/>
        <w:tc>
          <w:tcPr>
            <w:tcW w:w="28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identified intangible assets</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525,853</w:t>
            </w:r>
          </w:p>
        </w:tc>
      </w:tr>
      <w:tr>
        <w:trPr/>
        <w:tc>
          <w:tcPr>
            <w:tcW w:w="28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(104,137)</w:t>
            </w:r>
          </w:p>
        </w:tc>
      </w:tr>
      <w:tr>
        <w:trPr/>
        <w:tc>
          <w:tcPr>
            <w:tcW w:w="28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1,571,206</w:t>
            </w:r>
          </w:p>
        </w:tc>
      </w:tr>
      <w:tr>
        <w:trPr/>
        <w:tc>
          <w:tcPr>
            <w:tcW w:w="28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Noncontrolling interests</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(122,983)</w:t>
            </w:r>
          </w:p>
        </w:tc>
      </w:tr>
      <w:tr>
        <w:trPr/>
        <w:tc>
          <w:tcPr>
            <w:tcW w:w="28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1,978,414</w:t>
            </w:r>
          </w:p>
        </w:tc>
      </w:tr>
    </w:tbl>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w:t>
            </w:r>
          </w:p>
        </w:tc>
        <w:tc>
          <w:tcPr>
            <w:tcW w:w="992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Trademarks and other identified intangible assets acquired in the acquisitions are included in “Copyrights, licenses, domain names, trademark and technology”.</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was no significant acquisition incurred in 2023.</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Pro forma results of operations for all the acquisitions have not been presented because they were not material to the consolidated statements of operations and comprehensive income for the years ended December 31, 2021, 2022 and 2023, either individually or in aggregate.</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1422" w:name="Tc_HTT4Un1kekiqoSQ3HUtuOg_4_7"/>
      <w:bookmarkStart w:id="1423" w:name="Tc_ElnxpPdwMU2bkjJutCIi4g_4_5"/>
      <w:bookmarkStart w:id="1424" w:name="Tc_D0AOtiEKnE2TeOgwIxdh2w_4_3"/>
      <w:bookmarkStart w:id="1425" w:name="Tc_OGrjzmLF1kecERNz5DZj5Q_4_0"/>
      <w:bookmarkStart w:id="1426" w:name="Tc_eln4tRkVy0iYOGrxUynRsw_3_0"/>
      <w:bookmarkStart w:id="1427" w:name="Tc_Fvu0uOo69ka-cB3lnRJ40g_2_6"/>
      <w:bookmarkStart w:id="1428" w:name="Tc_l8A4cHIcN0-182NGUoU4vg_2_4"/>
      <w:bookmarkStart w:id="1429" w:name="Tc_5ZfzbS1ylEG6Ua2fIrAYEA_2_2"/>
      <w:bookmarkStart w:id="1430" w:name="Tc_Mm15PfiJgEmhUWAFzzlpXQ_1_2"/>
      <w:bookmarkStart w:id="1431" w:name="_1d33dfed_fa8f_4456_989c_a7899dae085e"/>
      <w:bookmarkStart w:id="1432" w:name="Tc_HTT4Un1kekiqoSQ3HUtuOg_4_7"/>
      <w:bookmarkStart w:id="1433" w:name="Tc_ElnxpPdwMU2bkjJutCIi4g_4_5"/>
      <w:bookmarkStart w:id="1434" w:name="Tc_D0AOtiEKnE2TeOgwIxdh2w_4_3"/>
      <w:bookmarkStart w:id="1435" w:name="Tc_OGrjzmLF1kecERNz5DZj5Q_4_0"/>
      <w:bookmarkStart w:id="1436" w:name="Tc_eln4tRkVy0iYOGrxUynRsw_3_0"/>
      <w:bookmarkStart w:id="1437" w:name="Tc_Fvu0uOo69ka-cB3lnRJ40g_2_6"/>
      <w:bookmarkStart w:id="1438" w:name="Tc_l8A4cHIcN0-182NGUoU4vg_2_4"/>
      <w:bookmarkStart w:id="1439" w:name="Tc_5ZfzbS1ylEG6Ua2fIrAYEA_2_2"/>
      <w:bookmarkStart w:id="1440" w:name="Tc_Mm15PfiJgEmhUWAFzzlpXQ_1_2"/>
      <w:bookmarkStart w:id="1441" w:name="_1d33dfed_fa8f_4456_989c_a7899dae085e"/>
      <w:bookmarkEnd w:id="1432"/>
      <w:bookmarkEnd w:id="1433"/>
      <w:bookmarkEnd w:id="1434"/>
      <w:bookmarkEnd w:id="1435"/>
      <w:bookmarkEnd w:id="1436"/>
      <w:bookmarkEnd w:id="1437"/>
      <w:bookmarkEnd w:id="1438"/>
      <w:bookmarkEnd w:id="1439"/>
      <w:bookmarkEnd w:id="1440"/>
      <w:bookmarkEnd w:id="1441"/>
    </w:p>
    <w:tbl>
      <w:tblPr>
        <w:tblW w:w="2567" w:type="dxa"/>
        <w:jc w:val="left"/>
        <w:tblInd w:w="0" w:type="dxa"/>
        <w:tblLayout w:type="fixed"/>
        <w:tblCellMar>
          <w:top w:w="0" w:type="dxa"/>
          <w:left w:w="0" w:type="dxa"/>
          <w:bottom w:w="0" w:type="dxa"/>
          <w:right w:w="0" w:type="dxa"/>
        </w:tblCellMar>
      </w:tblPr>
      <w:tblGrid>
        <w:gridCol w:w="271"/>
        <w:gridCol w:w="2296"/>
      </w:tblGrid>
      <w:tr>
        <w:trPr/>
        <w:tc>
          <w:tcPr>
            <w:tcW w:w="27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5.</w:t>
            </w:r>
          </w:p>
        </w:tc>
        <w:tc>
          <w:tcPr>
            <w:tcW w:w="229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Concentrations and Risks</w:t>
            </w:r>
          </w:p>
        </w:tc>
      </w:tr>
    </w:tbl>
    <w:tbl>
      <w:tblPr>
        <w:tblW w:w="3797" w:type="dxa"/>
        <w:jc w:val="left"/>
        <w:tblInd w:w="0" w:type="dxa"/>
        <w:tblLayout w:type="fixed"/>
        <w:tblCellMar>
          <w:top w:w="0" w:type="dxa"/>
          <w:left w:w="0" w:type="dxa"/>
          <w:bottom w:w="0" w:type="dxa"/>
          <w:right w:w="0" w:type="dxa"/>
        </w:tblCellMar>
      </w:tblPr>
      <w:tblGrid>
        <w:gridCol w:w="346"/>
        <w:gridCol w:w="3451"/>
      </w:tblGrid>
      <w:tr>
        <w:trPr/>
        <w:tc>
          <w:tcPr>
            <w:tcW w:w="34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(a)</w:t>
            </w:r>
          </w:p>
        </w:tc>
        <w:tc>
          <w:tcPr>
            <w:tcW w:w="345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Server and bandwidth service provider</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Group relied on over 100 telecommunications service providers and their affiliates for server and bandwidth service to support its operations during fiscal years 2021, 2022 and 2023 as follows: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7121"/>
        <w:gridCol w:w="326"/>
        <w:gridCol w:w="554"/>
        <w:gridCol w:w="388"/>
        <w:gridCol w:w="554"/>
        <w:gridCol w:w="388"/>
        <w:gridCol w:w="554"/>
        <w:gridCol w:w="320"/>
      </w:tblGrid>
      <w:tr>
        <w:trPr/>
        <w:tc>
          <w:tcPr>
            <w:tcW w:w="7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4521835" cy="175260"/>
                      <wp:effectExtent l="0" t="0" r="0" b="0"/>
                      <wp:wrapNone/>
                      <wp:docPr id="395" name="Frame394"/>
                      <a:graphic xmlns:a="http://schemas.openxmlformats.org/drawingml/2006/main">
                        <a:graphicData uri="http://schemas.microsoft.com/office/word/2010/wordprocessingShape">
                          <wps:wsp>
                            <wps:cNvSpPr txBox="1"/>
                            <wps:spPr>
                              <a:xfrm>
                                <a:off x="0" y="0"/>
                                <a:ext cx="4521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207010" cy="175260"/>
                      <wp:effectExtent l="0" t="0" r="0" b="0"/>
                      <wp:wrapNone/>
                      <wp:docPr id="396" name="Frame3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351790" cy="175260"/>
                      <wp:effectExtent l="0" t="0" r="0" b="0"/>
                      <wp:wrapNone/>
                      <wp:docPr id="397" name="Frame396"/>
                      <a:graphic xmlns:a="http://schemas.openxmlformats.org/drawingml/2006/main">
                        <a:graphicData uri="http://schemas.microsoft.com/office/word/2010/wordprocessingShape">
                          <wps:wsp>
                            <wps:cNvSpPr txBox="1"/>
                            <wps:spPr>
                              <a:xfrm>
                                <a:off x="0" y="0"/>
                                <a:ext cx="351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46380" cy="175260"/>
                      <wp:effectExtent l="0" t="0" r="0" b="0"/>
                      <wp:wrapNone/>
                      <wp:docPr id="398" name="Frame397"/>
                      <a:graphic xmlns:a="http://schemas.openxmlformats.org/drawingml/2006/main">
                        <a:graphicData uri="http://schemas.microsoft.com/office/word/2010/wordprocessingShape">
                          <wps:wsp>
                            <wps:cNvSpPr txBox="1"/>
                            <wps:spPr>
                              <a:xfrm>
                                <a:off x="0" y="0"/>
                                <a:ext cx="246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351790" cy="175260"/>
                      <wp:effectExtent l="0" t="0" r="0" b="0"/>
                      <wp:wrapNone/>
                      <wp:docPr id="399" name="Frame398"/>
                      <a:graphic xmlns:a="http://schemas.openxmlformats.org/drawingml/2006/main">
                        <a:graphicData uri="http://schemas.microsoft.com/office/word/2010/wordprocessingShape">
                          <wps:wsp>
                            <wps:cNvSpPr txBox="1"/>
                            <wps:spPr>
                              <a:xfrm>
                                <a:off x="0" y="0"/>
                                <a:ext cx="351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246380" cy="175260"/>
                      <wp:effectExtent l="0" t="0" r="0" b="0"/>
                      <wp:wrapNone/>
                      <wp:docPr id="400" name="Frame399"/>
                      <a:graphic xmlns:a="http://schemas.openxmlformats.org/drawingml/2006/main">
                        <a:graphicData uri="http://schemas.microsoft.com/office/word/2010/wordprocessingShape">
                          <wps:wsp>
                            <wps:cNvSpPr txBox="1"/>
                            <wps:spPr>
                              <a:xfrm>
                                <a:off x="0" y="0"/>
                                <a:ext cx="246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351790" cy="175260"/>
                      <wp:effectExtent l="0" t="0" r="0" b="0"/>
                      <wp:wrapNone/>
                      <wp:docPr id="401" name="Frame400"/>
                      <a:graphic xmlns:a="http://schemas.openxmlformats.org/drawingml/2006/main">
                        <a:graphicData uri="http://schemas.microsoft.com/office/word/2010/wordprocessingShape">
                          <wps:wsp>
                            <wps:cNvSpPr txBox="1"/>
                            <wps:spPr>
                              <a:xfrm>
                                <a:off x="0" y="0"/>
                                <a:ext cx="351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203200" cy="175260"/>
                      <wp:effectExtent l="0" t="0" r="0" b="0"/>
                      <wp:wrapNone/>
                      <wp:docPr id="402" name="Frame401"/>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3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c>
          <w:tcPr>
            <w:tcW w:w="320" w:type="dxa"/>
            <w:tcBorders/>
            <w:vAlign w:val="center"/>
          </w:tcPr>
          <w:p>
            <w:pPr>
              <w:pStyle w:val="TableContents"/>
              <w:bidi w:val="0"/>
              <w:spacing w:before="0" w:after="0"/>
              <w:ind w:left="0" w:right="0" w:hanging="0"/>
              <w:jc w:val="center"/>
              <w:rPr/>
            </w:pPr>
            <w:r>
              <w:rPr/>
              <w:t>​</w:t>
            </w:r>
          </w:p>
        </w:tc>
      </w:tr>
      <w:tr>
        <w:trPr/>
        <w:tc>
          <w:tcPr>
            <w:tcW w:w="71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55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88" w:type="dxa"/>
            <w:tcBorders/>
            <w:vAlign w:val="center"/>
          </w:tcPr>
          <w:p>
            <w:pPr>
              <w:pStyle w:val="TableContents"/>
              <w:bidi w:val="0"/>
              <w:spacing w:before="0" w:after="0"/>
              <w:ind w:left="0" w:right="0" w:hanging="0"/>
              <w:jc w:val="left"/>
              <w:rPr/>
            </w:pPr>
            <w:r>
              <w:rPr/>
              <w:t>    </w:t>
            </w:r>
          </w:p>
        </w:tc>
        <w:tc>
          <w:tcPr>
            <w:tcW w:w="55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88" w:type="dxa"/>
            <w:tcBorders/>
            <w:vAlign w:val="center"/>
          </w:tcPr>
          <w:p>
            <w:pPr>
              <w:pStyle w:val="TableContents"/>
              <w:bidi w:val="0"/>
              <w:spacing w:before="0" w:after="0"/>
              <w:ind w:left="0" w:right="0" w:hanging="0"/>
              <w:jc w:val="left"/>
              <w:rPr/>
            </w:pPr>
            <w:r>
              <w:rPr/>
              <w:t>    </w:t>
            </w:r>
          </w:p>
        </w:tc>
        <w:tc>
          <w:tcPr>
            <w:tcW w:w="55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0" w:type="dxa"/>
            <w:tcBorders/>
            <w:vAlign w:val="center"/>
          </w:tcPr>
          <w:p>
            <w:pPr>
              <w:pStyle w:val="TableContents"/>
              <w:bidi w:val="0"/>
              <w:spacing w:before="0" w:after="0"/>
              <w:ind w:left="0" w:right="0" w:hanging="0"/>
              <w:jc w:val="center"/>
              <w:rPr/>
            </w:pPr>
            <w:r>
              <w:rPr/>
              <w:t>​</w:t>
            </w:r>
          </w:p>
        </w:tc>
      </w:tr>
      <w:tr>
        <w:trPr/>
        <w:tc>
          <w:tcPr>
            <w:tcW w:w="71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Number of service providers, offering 10% or more of the Group’s server and bandwidth service expenditure</w:t>
            </w:r>
          </w:p>
        </w:tc>
        <w:tc>
          <w:tcPr>
            <w:tcW w:w="326" w:type="dxa"/>
            <w:tcBorders/>
            <w:shd w:fill="CCEEFF" w:val="clear"/>
            <w:vAlign w:val="center"/>
          </w:tcPr>
          <w:p>
            <w:pPr>
              <w:pStyle w:val="TableContents"/>
              <w:bidi w:val="0"/>
              <w:spacing w:before="0" w:after="0"/>
              <w:ind w:left="0" w:right="0" w:hanging="0"/>
              <w:jc w:val="left"/>
              <w:rPr/>
            </w:pPr>
            <w:r>
              <w:rPr/>
              <w:t> </w:t>
            </w:r>
          </w:p>
        </w:tc>
        <w:tc>
          <w:tcPr>
            <w:tcW w:w="5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88" w:type="dxa"/>
            <w:tcBorders/>
            <w:shd w:fill="CCEEFF" w:val="clear"/>
            <w:vAlign w:val="center"/>
          </w:tcPr>
          <w:p>
            <w:pPr>
              <w:pStyle w:val="TableContents"/>
              <w:bidi w:val="0"/>
              <w:spacing w:before="0" w:after="0"/>
              <w:ind w:left="0" w:right="0" w:hanging="0"/>
              <w:jc w:val="left"/>
              <w:rPr/>
            </w:pPr>
            <w:r>
              <w:rPr/>
              <w:t>​</w:t>
            </w:r>
          </w:p>
        </w:tc>
        <w:tc>
          <w:tcPr>
            <w:tcW w:w="5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88" w:type="dxa"/>
            <w:tcBorders/>
            <w:shd w:fill="CCEEFF" w:val="clear"/>
            <w:vAlign w:val="center"/>
          </w:tcPr>
          <w:p>
            <w:pPr>
              <w:pStyle w:val="TableContents"/>
              <w:bidi w:val="0"/>
              <w:spacing w:before="0" w:after="0"/>
              <w:ind w:left="0" w:right="0" w:hanging="0"/>
              <w:jc w:val="left"/>
              <w:rPr/>
            </w:pPr>
            <w:r>
              <w:rPr/>
              <w:t>​</w:t>
            </w:r>
          </w:p>
        </w:tc>
        <w:tc>
          <w:tcPr>
            <w:tcW w:w="5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0" w:type="dxa"/>
            <w:tcBorders/>
            <w:shd w:fill="CCEEFF" w:val="clear"/>
            <w:vAlign w:val="center"/>
          </w:tcPr>
          <w:p>
            <w:pPr>
              <w:pStyle w:val="TableContents"/>
              <w:bidi w:val="0"/>
              <w:spacing w:before="0" w:after="0"/>
              <w:ind w:left="0" w:right="0" w:hanging="0"/>
              <w:jc w:val="left"/>
              <w:rPr/>
            </w:pPr>
            <w:r>
              <w:rPr/>
              <w:t>​</w:t>
            </w:r>
          </w:p>
        </w:tc>
      </w:tr>
      <w:tr>
        <w:trPr/>
        <w:tc>
          <w:tcPr>
            <w:tcW w:w="712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of the Group’s server and bandwidth service expenditure provided by 10% or greater service providers</w:t>
            </w:r>
          </w:p>
        </w:tc>
        <w:tc>
          <w:tcPr>
            <w:tcW w:w="326" w:type="dxa"/>
            <w:tcBorders/>
            <w:vAlign w:val="center"/>
          </w:tcPr>
          <w:p>
            <w:pPr>
              <w:pStyle w:val="TableContents"/>
              <w:bidi w:val="0"/>
              <w:spacing w:before="0" w:after="0"/>
              <w:ind w:left="0" w:right="0" w:hanging="0"/>
              <w:jc w:val="left"/>
              <w:rPr/>
            </w:pPr>
            <w:r>
              <w:rPr/>
              <w:t> </w:t>
            </w:r>
          </w:p>
        </w:tc>
        <w:tc>
          <w:tcPr>
            <w:tcW w:w="5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67.2</w:t>
            </w:r>
          </w:p>
        </w:tc>
        <w:tc>
          <w:tcPr>
            <w:tcW w:w="3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w:t>
            </w:r>
          </w:p>
        </w:tc>
        <w:tc>
          <w:tcPr>
            <w:tcW w:w="3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w:t>
            </w:r>
          </w:p>
        </w:tc>
        <w:tc>
          <w:tcPr>
            <w:tcW w:w="3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pPr>
      <w:r>
        <w:rPr/>
        <w:t>​</w:t>
      </w:r>
    </w:p>
    <w:tbl>
      <w:tblPr>
        <w:tblW w:w="1412" w:type="dxa"/>
        <w:jc w:val="left"/>
        <w:tblInd w:w="0" w:type="dxa"/>
        <w:tblLayout w:type="fixed"/>
        <w:tblCellMar>
          <w:top w:w="0" w:type="dxa"/>
          <w:left w:w="0" w:type="dxa"/>
          <w:bottom w:w="0" w:type="dxa"/>
          <w:right w:w="0" w:type="dxa"/>
        </w:tblCellMar>
      </w:tblPr>
      <w:tblGrid>
        <w:gridCol w:w="346"/>
        <w:gridCol w:w="1066"/>
      </w:tblGrid>
      <w:tr>
        <w:trPr/>
        <w:tc>
          <w:tcPr>
            <w:tcW w:w="34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(b)</w:t>
            </w:r>
          </w:p>
        </w:tc>
        <w:tc>
          <w:tcPr>
            <w:tcW w:w="106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Credit risk</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Financial instruments that potentially subject the Group to significant concentrations of credit risk consist primarily of cash and cash equivalents, time deposits, restricted cash, accounts receivable and short-term investments. As of December 31, 2022 and 2023, substantially all of the Group’s cash equivalents, time deposits and restricted cash were held in major financial institutions located in the PRC or Hong Kong, which management considers being of high credit quality. Accounts receivable are typically unsecured and are generally derived from revenue earned from mobile games services, online music services and advertising services.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1442" w:name="Tc_nHsc6lcYikmQT5KDYz9lPQ_3_5"/>
      <w:bookmarkStart w:id="1443" w:name="Tc_O2jvWMa2bUqzAAUbFk47pQ_3_3"/>
      <w:bookmarkStart w:id="1444" w:name="Tc_GZyZdUgfC0qptl9fkiM2EA_3_0"/>
      <w:bookmarkStart w:id="1445" w:name="Tc_sUi8HwCyzke2SMS5pS_1LA_2_4"/>
      <w:bookmarkStart w:id="1446" w:name="Tc_hgq6SNDAx0iIysbEzmGhRQ_2_2"/>
      <w:bookmarkStart w:id="1447" w:name="Tc_H_zaTnB4NkKeO5mWOMGySQ_1_4"/>
      <w:bookmarkStart w:id="1448" w:name="Tc_pR-P3N93uUKlgoSCfIiHOw_1_2"/>
      <w:bookmarkStart w:id="1449" w:name="_996add5b_e85a_4278_bcfe_30b3881a5a12"/>
      <w:bookmarkEnd w:id="1442"/>
      <w:bookmarkEnd w:id="1443"/>
      <w:bookmarkEnd w:id="1444"/>
      <w:bookmarkEnd w:id="1445"/>
      <w:bookmarkEnd w:id="1446"/>
      <w:bookmarkEnd w:id="1447"/>
      <w:bookmarkEnd w:id="1448"/>
      <w:bookmarkEnd w:id="1449"/>
      <w:r>
        <w:rPr>
          <w:rFonts w:ascii="Times New Roman;Times;serif" w:hAnsi="Times New Roman;Times;serif"/>
          <w:sz w:val="20"/>
        </w:rPr>
        <w:t>One channel had a receivable balance exceeding 10% of the total accounts receivable balance for the year ended December 31, 2022 and 2023, respectively as follows:</w:t>
      </w:r>
    </w:p>
    <w:p>
      <w:pPr>
        <w:pStyle w:val="TextBody"/>
        <w:bidi w:val="0"/>
        <w:spacing w:before="0" w:after="0"/>
        <w:ind w:left="0" w:right="0" w:hanging="0"/>
        <w:jc w:val="both"/>
        <w:rPr/>
      </w:pPr>
      <w:r>
        <w:rPr/>
        <w:t>​</w:t>
      </w:r>
    </w:p>
    <w:tbl>
      <w:tblPr>
        <w:tblW w:w="4276" w:type="dxa"/>
        <w:jc w:val="left"/>
        <w:tblInd w:w="0" w:type="dxa"/>
        <w:tblLayout w:type="fixed"/>
        <w:tblCellMar>
          <w:top w:w="0" w:type="dxa"/>
          <w:left w:w="0" w:type="dxa"/>
          <w:bottom w:w="0" w:type="dxa"/>
          <w:right w:w="0" w:type="dxa"/>
        </w:tblCellMar>
      </w:tblPr>
      <w:tblGrid>
        <w:gridCol w:w="991"/>
        <w:gridCol w:w="326"/>
        <w:gridCol w:w="1141"/>
        <w:gridCol w:w="361"/>
        <w:gridCol w:w="1141"/>
        <w:gridCol w:w="316"/>
      </w:tblGrid>
      <w:tr>
        <w:trPr/>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629285" cy="175260"/>
                      <wp:effectExtent l="0" t="0" r="0" b="0"/>
                      <wp:wrapNone/>
                      <wp:docPr id="403" name="Frame402"/>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207010" cy="175260"/>
                      <wp:effectExtent l="0" t="0" r="0" b="0"/>
                      <wp:wrapNone/>
                      <wp:docPr id="404" name="Frame4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724535" cy="175260"/>
                      <wp:effectExtent l="0" t="0" r="0" b="0"/>
                      <wp:wrapNone/>
                      <wp:docPr id="405" name="Frame404"/>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229235" cy="175260"/>
                      <wp:effectExtent l="0" t="0" r="0" b="0"/>
                      <wp:wrapNone/>
                      <wp:docPr id="406" name="Frame40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724535" cy="175260"/>
                      <wp:effectExtent l="0" t="0" r="0" b="0"/>
                      <wp:wrapNone/>
                      <wp:docPr id="407" name="Frame406"/>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200660" cy="175260"/>
                      <wp:effectExtent l="0" t="0" r="0" b="0"/>
                      <wp:wrapNone/>
                      <wp:docPr id="408" name="Frame40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6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16" w:type="dxa"/>
            <w:tcBorders/>
            <w:vAlign w:val="center"/>
          </w:tcPr>
          <w:p>
            <w:pPr>
              <w:pStyle w:val="TableContents"/>
              <w:bidi w:val="0"/>
              <w:spacing w:before="0" w:after="0"/>
              <w:ind w:left="0" w:right="0" w:hanging="0"/>
              <w:jc w:val="left"/>
              <w:rPr/>
            </w:pPr>
            <w:r>
              <w:rPr/>
              <w:t> </w:t>
            </w:r>
          </w:p>
        </w:tc>
      </w:tr>
      <w:tr>
        <w:trPr/>
        <w:tc>
          <w:tcPr>
            <w:tcW w:w="9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61"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16" w:type="dxa"/>
            <w:tcBorders/>
            <w:vAlign w:val="center"/>
          </w:tcPr>
          <w:p>
            <w:pPr>
              <w:pStyle w:val="TableContents"/>
              <w:bidi w:val="0"/>
              <w:spacing w:before="0" w:after="0"/>
              <w:ind w:left="0" w:right="0" w:hanging="0"/>
              <w:jc w:val="left"/>
              <w:rPr/>
            </w:pPr>
            <w:r>
              <w:rPr/>
              <w:t> </w:t>
            </w:r>
          </w:p>
        </w:tc>
      </w:tr>
      <w:tr>
        <w:trPr/>
        <w:tc>
          <w:tcPr>
            <w:tcW w:w="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Channel A</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Short-term investments consist of financial products issued by commercial banks in China with a variable interest rate indexed to performance of underlying assets, which have a maturity date within one year as of the purchase date. The effective yields of the short-term investments range from 1.85% to 8.31% per annum as of December 31, 2023. Any negative events or deterioration in financial well-being with respect to the counterparties of the above investments and the underlying collateral may cause a material loss to the Group and have a material effect on the Group’s financial condition and results of operations.</w:t>
      </w:r>
    </w:p>
    <w:tbl>
      <w:tblPr>
        <w:tblW w:w="1922" w:type="dxa"/>
        <w:jc w:val="left"/>
        <w:tblInd w:w="0" w:type="dxa"/>
        <w:tblLayout w:type="fixed"/>
        <w:tblCellMar>
          <w:top w:w="0" w:type="dxa"/>
          <w:left w:w="0" w:type="dxa"/>
          <w:bottom w:w="0" w:type="dxa"/>
          <w:right w:w="0" w:type="dxa"/>
        </w:tblCellMar>
      </w:tblPr>
      <w:tblGrid>
        <w:gridCol w:w="331"/>
        <w:gridCol w:w="1591"/>
      </w:tblGrid>
      <w:tr>
        <w:trPr/>
        <w:tc>
          <w:tcPr>
            <w:tcW w:w="33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(c)</w:t>
            </w:r>
          </w:p>
        </w:tc>
        <w:tc>
          <w:tcPr>
            <w:tcW w:w="159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Major customers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 single customer represented 10% or more of the Group’s total net revenues for the years ended December 31, 2021, 2022 and 2023.</w:t>
      </w:r>
    </w:p>
    <w:tbl>
      <w:tblPr>
        <w:tblW w:w="1652" w:type="dxa"/>
        <w:jc w:val="left"/>
        <w:tblInd w:w="0" w:type="dxa"/>
        <w:tblLayout w:type="fixed"/>
        <w:tblCellMar>
          <w:top w:w="0" w:type="dxa"/>
          <w:left w:w="0" w:type="dxa"/>
          <w:bottom w:w="0" w:type="dxa"/>
          <w:right w:w="0" w:type="dxa"/>
        </w:tblCellMar>
      </w:tblPr>
      <w:tblGrid>
        <w:gridCol w:w="346"/>
        <w:gridCol w:w="1306"/>
      </w:tblGrid>
      <w:tr>
        <w:trPr/>
        <w:tc>
          <w:tcPr>
            <w:tcW w:w="34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(d)</w:t>
            </w:r>
          </w:p>
        </w:tc>
        <w:tc>
          <w:tcPr>
            <w:tcW w:w="130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Online games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 derived 29.2%, 29.6% and 36.8% of its total net revenues from its top 5 online games for the years ended December 31, 2021, 2022 and 2023, respectively.</w:t>
      </w:r>
    </w:p>
    <w:p>
      <w:pPr>
        <w:pStyle w:val="Normal"/>
        <w:bidi w:val="0"/>
        <w:spacing w:before="0" w:after="0"/>
        <w:jc w:val="left"/>
        <w:rPr>
          <w:sz w:val="4"/>
          <w:szCs w:val="4"/>
        </w:rPr>
      </w:pPr>
      <w:r>
        <w:rPr>
          <w:sz w:val="4"/>
          <w:szCs w:val="4"/>
        </w:rPr>
      </w:r>
      <w:bookmarkStart w:id="1450" w:name="Tc_oQwuxZE-ZEuonGXCxPFrhg_14_0"/>
      <w:bookmarkStart w:id="1451" w:name="Tc_CYGXK7Zb8E6p_FM1mLjJIQ_13_2"/>
      <w:bookmarkStart w:id="1452" w:name="Tc_Tm6RNkqf7Ee1rUo5Ar2h2w_13_0"/>
      <w:bookmarkStart w:id="1453" w:name="Tc_w6Qfn69EmUuOTkj5vfZXiQ_12_0"/>
      <w:bookmarkStart w:id="1454" w:name="Tc_Q7I6yZdQL0aKjOkpIh4GcQ_11_0"/>
      <w:bookmarkStart w:id="1455" w:name="Tc_Z7PaBFuJD0-aFQ-8LiclIg_10_0"/>
      <w:bookmarkStart w:id="1456" w:name="Tc_mybHwKB5kEKMpQgBA2GeSA_9_0"/>
      <w:bookmarkStart w:id="1457" w:name="Tc_IH-tyo1TyUKzLlmT1_peog_8_0"/>
      <w:bookmarkStart w:id="1458" w:name="Tc_0S218aIHlUCv2IpZaDXy4Q_7_0"/>
      <w:bookmarkStart w:id="1459" w:name="Tc_mL9OcwmAxEyKFr2-XccgKg_6_0"/>
      <w:bookmarkStart w:id="1460" w:name="Tc_KbZMO1Ioh0a4G2_VOVadoQ_5_0"/>
      <w:bookmarkStart w:id="1461" w:name="Tc_u-8Z4QYqJEmPSYgAfLP-Hw_4_4"/>
      <w:bookmarkStart w:id="1462" w:name="Tc_RrazF3dtRkSUx_1ZsVx5wQ_4_0"/>
      <w:bookmarkStart w:id="1463" w:name="Tc_ggMdMkzuU0GHoX_PqIVN1A_3_4"/>
      <w:bookmarkStart w:id="1464" w:name="Tc_-wxNaccBfUCGN8-CePT50g_3_2"/>
      <w:bookmarkStart w:id="1465" w:name="Tc_RY8kO15nGEeb6hUnzvZsgg_2_4"/>
      <w:bookmarkStart w:id="1466" w:name="Tc_oD66qEzQwUeez83-xbJZlQ_2_2"/>
      <w:bookmarkStart w:id="1467" w:name="Tc_MhA8spdKP0OhWijfTYGMAA_1_4"/>
      <w:bookmarkStart w:id="1468" w:name="Tc_FdslTO0Ix0Chd1iM1r-MiA_1_2"/>
      <w:bookmarkStart w:id="1469" w:name="_cd018b20_ff54_4f18_961c_e90e7744a19c"/>
      <w:bookmarkStart w:id="1470" w:name="Tc_oQwuxZE-ZEuonGXCxPFrhg_14_0"/>
      <w:bookmarkStart w:id="1471" w:name="Tc_CYGXK7Zb8E6p_FM1mLjJIQ_13_2"/>
      <w:bookmarkStart w:id="1472" w:name="Tc_Tm6RNkqf7Ee1rUo5Ar2h2w_13_0"/>
      <w:bookmarkStart w:id="1473" w:name="Tc_w6Qfn69EmUuOTkj5vfZXiQ_12_0"/>
      <w:bookmarkStart w:id="1474" w:name="Tc_Q7I6yZdQL0aKjOkpIh4GcQ_11_0"/>
      <w:bookmarkStart w:id="1475" w:name="Tc_Z7PaBFuJD0-aFQ-8LiclIg_10_0"/>
      <w:bookmarkStart w:id="1476" w:name="Tc_mybHwKB5kEKMpQgBA2GeSA_9_0"/>
      <w:bookmarkStart w:id="1477" w:name="Tc_IH-tyo1TyUKzLlmT1_peog_8_0"/>
      <w:bookmarkStart w:id="1478" w:name="Tc_0S218aIHlUCv2IpZaDXy4Q_7_0"/>
      <w:bookmarkStart w:id="1479" w:name="Tc_mL9OcwmAxEyKFr2-XccgKg_6_0"/>
      <w:bookmarkStart w:id="1480" w:name="Tc_KbZMO1Ioh0a4G2_VOVadoQ_5_0"/>
      <w:bookmarkStart w:id="1481" w:name="Tc_u-8Z4QYqJEmPSYgAfLP-Hw_4_4"/>
      <w:bookmarkStart w:id="1482" w:name="Tc_RrazF3dtRkSUx_1ZsVx5wQ_4_0"/>
      <w:bookmarkStart w:id="1483" w:name="Tc_ggMdMkzuU0GHoX_PqIVN1A_3_4"/>
      <w:bookmarkStart w:id="1484" w:name="Tc_-wxNaccBfUCGN8-CePT50g_3_2"/>
      <w:bookmarkStart w:id="1485" w:name="Tc_RY8kO15nGEeb6hUnzvZsgg_2_4"/>
      <w:bookmarkStart w:id="1486" w:name="Tc_oD66qEzQwUeez83-xbJZlQ_2_2"/>
      <w:bookmarkStart w:id="1487" w:name="Tc_MhA8spdKP0OhWijfTYGMAA_1_4"/>
      <w:bookmarkStart w:id="1488" w:name="Tc_FdslTO0Ix0Chd1iM1r-MiA_1_2"/>
      <w:bookmarkStart w:id="1489" w:name="_cd018b20_ff54_4f18_961c_e90e7744a19c"/>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p>
    <w:tbl>
      <w:tblPr>
        <w:tblW w:w="3707" w:type="dxa"/>
        <w:jc w:val="left"/>
        <w:tblInd w:w="0" w:type="dxa"/>
        <w:tblLayout w:type="fixed"/>
        <w:tblCellMar>
          <w:top w:w="0" w:type="dxa"/>
          <w:left w:w="0" w:type="dxa"/>
          <w:bottom w:w="0" w:type="dxa"/>
          <w:right w:w="0" w:type="dxa"/>
        </w:tblCellMar>
      </w:tblPr>
      <w:tblGrid>
        <w:gridCol w:w="271"/>
        <w:gridCol w:w="3436"/>
      </w:tblGrid>
      <w:tr>
        <w:trPr/>
        <w:tc>
          <w:tcPr>
            <w:tcW w:w="27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6.</w:t>
            </w:r>
          </w:p>
        </w:tc>
        <w:tc>
          <w:tcPr>
            <w:tcW w:w="343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Prepayments and Other Current Assets</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is a summary of prepayments and other current assets (in thousands):</w:t>
      </w:r>
    </w:p>
    <w:p>
      <w:pPr>
        <w:pStyle w:val="TextBody"/>
        <w:bidi w:val="0"/>
        <w:spacing w:before="0" w:after="0"/>
        <w:ind w:left="0" w:right="0" w:hanging="0"/>
        <w:jc w:val="both"/>
        <w:rPr/>
      </w:pPr>
      <w:r>
        <w:rPr/>
        <w:t>​</w:t>
      </w:r>
    </w:p>
    <w:tbl>
      <w:tblPr>
        <w:tblW w:w="9160" w:type="dxa"/>
        <w:jc w:val="left"/>
        <w:tblInd w:w="0" w:type="dxa"/>
        <w:tblLayout w:type="fixed"/>
        <w:tblCellMar>
          <w:top w:w="0" w:type="dxa"/>
          <w:left w:w="0" w:type="dxa"/>
          <w:bottom w:w="0" w:type="dxa"/>
          <w:right w:w="0" w:type="dxa"/>
        </w:tblCellMar>
      </w:tblPr>
      <w:tblGrid>
        <w:gridCol w:w="6181"/>
        <w:gridCol w:w="326"/>
        <w:gridCol w:w="1141"/>
        <w:gridCol w:w="326"/>
        <w:gridCol w:w="1186"/>
      </w:tblGrid>
      <w:tr>
        <w:trPr/>
        <w:tc>
          <w:tcPr>
            <w:tcW w:w="6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3924935" cy="175260"/>
                      <wp:effectExtent l="0" t="0" r="0" b="0"/>
                      <wp:wrapNone/>
                      <wp:docPr id="409" name="Frame408"/>
                      <a:graphic xmlns:a="http://schemas.openxmlformats.org/drawingml/2006/main">
                        <a:graphicData uri="http://schemas.microsoft.com/office/word/2010/wordprocessingShape">
                          <wps:wsp>
                            <wps:cNvSpPr txBox="1"/>
                            <wps:spPr>
                              <a:xfrm>
                                <a:off x="0" y="0"/>
                                <a:ext cx="392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207010" cy="175260"/>
                      <wp:effectExtent l="0" t="0" r="0" b="0"/>
                      <wp:wrapNone/>
                      <wp:docPr id="410" name="Frame4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724535" cy="175260"/>
                      <wp:effectExtent l="0" t="0" r="0" b="0"/>
                      <wp:wrapNone/>
                      <wp:docPr id="411" name="Frame410"/>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207010" cy="175260"/>
                      <wp:effectExtent l="0" t="0" r="0" b="0"/>
                      <wp:wrapNone/>
                      <wp:docPr id="412" name="Frame4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753110" cy="175260"/>
                      <wp:effectExtent l="0" t="0" r="0" b="0"/>
                      <wp:wrapNone/>
                      <wp:docPr id="413" name="Frame412"/>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1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61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61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61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Guarantee payment made to Blizzard - royalty fees</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634,909</w:t>
            </w:r>
          </w:p>
        </w:tc>
        <w:tc>
          <w:tcPr>
            <w:tcW w:w="32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pPr>
            <w:r>
              <w:rPr/>
              <w:t>—</w:t>
            </w:r>
          </w:p>
        </w:tc>
      </w:tr>
      <w:tr>
        <w:trPr/>
        <w:tc>
          <w:tcPr>
            <w:tcW w:w="61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Prepayment for royalties, revenue sharing cost </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1,787,638</w:t>
            </w:r>
          </w:p>
        </w:tc>
        <w:tc>
          <w:tcPr>
            <w:tcW w:w="32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1,729,241</w:t>
            </w:r>
          </w:p>
        </w:tc>
      </w:tr>
      <w:tr>
        <w:trPr/>
        <w:tc>
          <w:tcPr>
            <w:tcW w:w="61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receivable</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1,373,854</w:t>
            </w:r>
          </w:p>
        </w:tc>
        <w:tc>
          <w:tcPr>
            <w:tcW w:w="32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2,271,944</w:t>
            </w:r>
          </w:p>
        </w:tc>
      </w:tr>
      <w:tr>
        <w:trPr/>
        <w:tc>
          <w:tcPr>
            <w:tcW w:w="61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Prepayments of content and marketing cost and other operational expenses</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725,183</w:t>
            </w:r>
          </w:p>
        </w:tc>
        <w:tc>
          <w:tcPr>
            <w:tcW w:w="32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638,697</w:t>
            </w:r>
          </w:p>
        </w:tc>
      </w:tr>
      <w:tr>
        <w:trPr/>
        <w:tc>
          <w:tcPr>
            <w:tcW w:w="61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Prepayment for deductible value added tax and refundable subsidy </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492,552</w:t>
            </w:r>
          </w:p>
        </w:tc>
        <w:tc>
          <w:tcPr>
            <w:tcW w:w="32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581,228</w:t>
            </w:r>
          </w:p>
        </w:tc>
      </w:tr>
      <w:tr>
        <w:trPr/>
        <w:tc>
          <w:tcPr>
            <w:tcW w:w="61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Bridge loans in connection with ongoing investments</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43,313</w:t>
            </w:r>
          </w:p>
        </w:tc>
        <w:tc>
          <w:tcPr>
            <w:tcW w:w="32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27,369</w:t>
            </w:r>
          </w:p>
        </w:tc>
      </w:tr>
      <w:tr>
        <w:trPr/>
        <w:tc>
          <w:tcPr>
            <w:tcW w:w="61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Deposits </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68,285</w:t>
            </w:r>
          </w:p>
        </w:tc>
        <w:tc>
          <w:tcPr>
            <w:tcW w:w="32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81,712</w:t>
            </w:r>
          </w:p>
        </w:tc>
      </w:tr>
      <w:tr>
        <w:trPr/>
        <w:tc>
          <w:tcPr>
            <w:tcW w:w="61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advances</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61,480</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57,949</w:t>
            </w:r>
          </w:p>
        </w:tc>
      </w:tr>
      <w:tr>
        <w:trPr/>
        <w:tc>
          <w:tcPr>
            <w:tcW w:w="61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Advance to suppliers</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105,903</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43,820</w:t>
            </w:r>
          </w:p>
        </w:tc>
      </w:tr>
      <w:tr>
        <w:trPr/>
        <w:tc>
          <w:tcPr>
            <w:tcW w:w="61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Receivable within one - year related to disposal of investments </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512,367</w:t>
            </w:r>
          </w:p>
        </w:tc>
      </w:tr>
      <w:tr>
        <w:trPr/>
        <w:tc>
          <w:tcPr>
            <w:tcW w:w="61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155,167</w:t>
            </w:r>
          </w:p>
        </w:tc>
        <w:tc>
          <w:tcPr>
            <w:tcW w:w="326" w:type="dxa"/>
            <w:tcBorders/>
            <w:shd w:fill="CCEEFF" w:val="clear"/>
            <w:vAlign w:val="center"/>
          </w:tcPr>
          <w:p>
            <w:pPr>
              <w:pStyle w:val="TableContents"/>
              <w:bidi w:val="0"/>
              <w:spacing w:before="0" w:after="0"/>
              <w:ind w:left="0" w:right="0" w:hanging="0"/>
              <w:jc w:val="left"/>
              <w:rPr/>
            </w:pPr>
            <w:r>
              <w:rPr/>
              <w:t> </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132,268</w:t>
            </w:r>
          </w:p>
        </w:tc>
      </w:tr>
      <w:tr>
        <w:trPr/>
        <w:tc>
          <w:tcPr>
            <w:tcW w:w="61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5,448,284</w:t>
            </w:r>
          </w:p>
        </w:tc>
        <w:tc>
          <w:tcPr>
            <w:tcW w:w="326" w:type="dxa"/>
            <w:tcBorders/>
            <w:vAlign w:val="center"/>
          </w:tcPr>
          <w:p>
            <w:pPr>
              <w:pStyle w:val="TableContents"/>
              <w:bidi w:val="0"/>
              <w:spacing w:before="0" w:after="0"/>
              <w:ind w:left="0" w:right="0" w:hanging="0"/>
              <w:jc w:val="left"/>
              <w:rPr/>
            </w:pPr>
            <w:r>
              <w:rPr/>
              <w:t> </w:t>
            </w:r>
          </w:p>
        </w:tc>
        <w:tc>
          <w:tcPr>
            <w:tcW w:w="11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6,076,595</w:t>
            </w:r>
          </w:p>
        </w:tc>
      </w:tr>
    </w:tbl>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2022 and 2023, prepayments for royalties and revenue sharing cost mainly represented prepaid royalties or revenue sharing cost related to game distribution and operations of online games.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amount of employee advances listed above included staff housing loan balances of RMB22.7 million and RMB18.2 million repayable within 12 months from December 31, 2022 and 2023 respectively (see Note 12). No advances were made directly or indirectly to the Group’s executive officers for their personal benefit for the years ended December 31, 2022 and 2023.</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1490" w:name="_30bfd659_6213_4e24_95ab_53836b435141_3"/>
      <w:bookmarkStart w:id="1491" w:name="_30bfd659_6213_4e24_95ab_53836b435141_2"/>
      <w:bookmarkStart w:id="1492" w:name="_30bfd659_6213_4e24_95ab_53836b435141"/>
      <w:bookmarkStart w:id="1493" w:name="_6538da40_5294_4b1c_a944_fa3e503b50ed_3"/>
      <w:bookmarkStart w:id="1494" w:name="_6538da40_5294_4b1c_a944_fa3e503b50ed_2"/>
      <w:bookmarkStart w:id="1495" w:name="_6538da40_5294_4b1c_a944_fa3e503b50ed"/>
      <w:bookmarkStart w:id="1496" w:name="_30bfd659_6213_4e24_95ab_53836b435141_3"/>
      <w:bookmarkStart w:id="1497" w:name="_30bfd659_6213_4e24_95ab_53836b435141_2"/>
      <w:bookmarkStart w:id="1498" w:name="_30bfd659_6213_4e24_95ab_53836b435141"/>
      <w:bookmarkStart w:id="1499" w:name="_6538da40_5294_4b1c_a944_fa3e503b50ed_3"/>
      <w:bookmarkStart w:id="1500" w:name="_6538da40_5294_4b1c_a944_fa3e503b50ed_2"/>
      <w:bookmarkStart w:id="1501" w:name="_6538da40_5294_4b1c_a944_fa3e503b50ed"/>
      <w:bookmarkEnd w:id="1496"/>
      <w:bookmarkEnd w:id="1497"/>
      <w:bookmarkEnd w:id="1498"/>
      <w:bookmarkEnd w:id="1499"/>
      <w:bookmarkEnd w:id="1500"/>
      <w:bookmarkEnd w:id="1501"/>
    </w:p>
    <w:tbl>
      <w:tblPr>
        <w:tblW w:w="2402" w:type="dxa"/>
        <w:jc w:val="left"/>
        <w:tblInd w:w="0" w:type="dxa"/>
        <w:tblLayout w:type="fixed"/>
        <w:tblCellMar>
          <w:top w:w="0" w:type="dxa"/>
          <w:left w:w="0" w:type="dxa"/>
          <w:bottom w:w="0" w:type="dxa"/>
          <w:right w:w="0" w:type="dxa"/>
        </w:tblCellMar>
      </w:tblPr>
      <w:tblGrid>
        <w:gridCol w:w="271"/>
        <w:gridCol w:w="2131"/>
      </w:tblGrid>
      <w:tr>
        <w:trPr/>
        <w:tc>
          <w:tcPr>
            <w:tcW w:w="27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7.</w:t>
            </w:r>
          </w:p>
        </w:tc>
        <w:tc>
          <w:tcPr>
            <w:tcW w:w="213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0"/>
              </w:rPr>
              <w:t>Short-term</w:t>
            </w:r>
            <w:r>
              <w:rPr>
                <w:rFonts w:ascii="Times New Roman;Times;serif" w:hAnsi="Times New Roman;Times;serif"/>
                <w:sz w:val="20"/>
              </w:rPr>
              <w:t xml:space="preserve"> </w:t>
            </w:r>
            <w:r>
              <w:rPr>
                <w:rFonts w:ascii="Times New Roman;Times;serif" w:hAnsi="Times New Roman;Times;serif"/>
                <w:b/>
                <w:sz w:val="20"/>
              </w:rPr>
              <w:t>Investments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2022 and 2023, the Group’s short-term investments mainly consisted of financial products issued by commercial banks in China with a variable interest rate indexed to the performance of underlying assets and a maturity date within one year when purchased. As of December 31, 2023, the effective yields of short-term investments ranged from 1.85% to 8.31% per annum (2022: 1.72% to 5.00% per annum).</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1502" w:name="Tc_MMcQs9lp7UihecFVV6gsVQ_4_6"/>
      <w:bookmarkStart w:id="1503" w:name="Tc_21IL70s5_0e2SpLipvTCLg_4_4"/>
      <w:bookmarkStart w:id="1504" w:name="Tc_7JEt5X_gv0e6cCPd7CQaUQ_4_2"/>
      <w:bookmarkStart w:id="1505" w:name="Tc_AxdgtT2B40iV_GGeiqC0vQ_3_6"/>
      <w:bookmarkStart w:id="1506" w:name="Tc_dRXNOVPQLUiwIJs6tukGMg_3_4"/>
      <w:bookmarkStart w:id="1507" w:name="Tc_EhtLMfKs9kuW7TNg1T03Xw_3_2"/>
      <w:bookmarkStart w:id="1508" w:name="Tc_TG16Ya3bzk25Fa4q5Idl5g_2_6"/>
      <w:bookmarkStart w:id="1509" w:name="Tc_XrapuGJctUm9QZm1daNXSw_2_4"/>
      <w:bookmarkStart w:id="1510" w:name="Tc_LvOkH5th8kiVG8KX18ITAg_1_2"/>
      <w:bookmarkStart w:id="1511" w:name="_bea41097_162d_41c7_a2be_d09f8b45a382"/>
      <w:bookmarkStart w:id="1512" w:name="Tc_vyKdOSOqlUqfZQ9hdP6ilg_4_6"/>
      <w:bookmarkStart w:id="1513" w:name="Tc_z6BeEbFFMkKTvGZUXlR2mg_4_4"/>
      <w:bookmarkStart w:id="1514" w:name="Tc_mzoPzbdc60qWshWUbm1jjQ_4_2"/>
      <w:bookmarkStart w:id="1515" w:name="Tc_hHiVAHoZ702VL_6QT4pyhg_3_6"/>
      <w:bookmarkStart w:id="1516" w:name="Tc_R2i74P4iuESqQZFeSw1Hsg_3_4"/>
      <w:bookmarkStart w:id="1517" w:name="Tc_G-2J31XlH0mt_wN7ox8mCA_3_2"/>
      <w:bookmarkStart w:id="1518" w:name="Tc_4tTjOauJZEu-BA7ofM2wpw_2_6"/>
      <w:bookmarkStart w:id="1519" w:name="Tc_xQTCtJmQOU2YMhJeAaBslA_2_4"/>
      <w:bookmarkStart w:id="1520" w:name="Tc_rUOyXBXMVU61IavNVz7s9w_1_2"/>
      <w:bookmarkStart w:id="1521" w:name="_d43a7375_565d_4539_a90a_a1d96c0963c9"/>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r>
        <w:rPr>
          <w:rFonts w:ascii="Times New Roman;Times;serif" w:hAnsi="Times New Roman;Times;serif"/>
          <w:sz w:val="20"/>
        </w:rPr>
        <w:t>The following is a summary of short-term investments (in thousands):</w:t>
      </w:r>
    </w:p>
    <w:p>
      <w:pPr>
        <w:pStyle w:val="TextBody"/>
        <w:bidi w:val="0"/>
        <w:spacing w:before="0" w:after="0"/>
        <w:ind w:left="0" w:right="0" w:hanging="0"/>
        <w:jc w:val="both"/>
        <w:rPr/>
      </w:pPr>
      <w:r>
        <w:rPr/>
        <w:t>​</w:t>
      </w:r>
    </w:p>
    <w:tbl>
      <w:tblPr>
        <w:tblW w:w="5827" w:type="dxa"/>
        <w:jc w:val="left"/>
        <w:tblInd w:w="0" w:type="dxa"/>
        <w:tblLayout w:type="fixed"/>
        <w:tblCellMar>
          <w:top w:w="0" w:type="dxa"/>
          <w:left w:w="0" w:type="dxa"/>
          <w:bottom w:w="0" w:type="dxa"/>
          <w:right w:w="0" w:type="dxa"/>
        </w:tblCellMar>
      </w:tblPr>
      <w:tblGrid>
        <w:gridCol w:w="1996"/>
        <w:gridCol w:w="326"/>
        <w:gridCol w:w="931"/>
        <w:gridCol w:w="326"/>
        <w:gridCol w:w="886"/>
        <w:gridCol w:w="326"/>
        <w:gridCol w:w="1036"/>
      </w:tblGrid>
      <w:tr>
        <w:trPr/>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1267460" cy="175260"/>
                      <wp:effectExtent l="0" t="0" r="0" b="0"/>
                      <wp:wrapNone/>
                      <wp:docPr id="414" name="Frame413"/>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207010" cy="175260"/>
                      <wp:effectExtent l="0" t="0" r="0" b="0"/>
                      <wp:wrapNone/>
                      <wp:docPr id="415" name="Frame4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591185" cy="175260"/>
                      <wp:effectExtent l="0" t="0" r="0" b="0"/>
                      <wp:wrapNone/>
                      <wp:docPr id="416" name="Frame41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207010" cy="175260"/>
                      <wp:effectExtent l="0" t="0" r="0" b="0"/>
                      <wp:wrapNone/>
                      <wp:docPr id="417" name="Frame4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562610" cy="175260"/>
                      <wp:effectExtent l="0" t="0" r="0" b="0"/>
                      <wp:wrapNone/>
                      <wp:docPr id="418" name="Frame41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207010" cy="175260"/>
                      <wp:effectExtent l="0" t="0" r="0" b="0"/>
                      <wp:wrapNone/>
                      <wp:docPr id="419" name="Frame4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657860" cy="175260"/>
                      <wp:effectExtent l="0" t="0" r="0" b="0"/>
                      <wp:wrapNone/>
                      <wp:docPr id="420" name="Frame41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5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19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w:t>
            </w:r>
          </w:p>
        </w:tc>
      </w:tr>
      <w:tr>
        <w:trPr/>
        <w:tc>
          <w:tcPr>
            <w:tcW w:w="19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19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investments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7,563,805</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58,868</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7,622,673</w:t>
            </w:r>
          </w:p>
        </w:tc>
      </w:tr>
    </w:tbl>
    <w:p>
      <w:pPr>
        <w:pStyle w:val="TextBody"/>
        <w:bidi w:val="0"/>
        <w:spacing w:before="0" w:after="0"/>
        <w:ind w:left="0" w:right="0" w:hanging="0"/>
        <w:jc w:val="both"/>
        <w:rPr/>
      </w:pPr>
      <w:r>
        <w:rPr/>
        <w:t>​</w:t>
      </w:r>
    </w:p>
    <w:tbl>
      <w:tblPr>
        <w:tblW w:w="5827" w:type="dxa"/>
        <w:jc w:val="left"/>
        <w:tblInd w:w="0" w:type="dxa"/>
        <w:tblLayout w:type="fixed"/>
        <w:tblCellMar>
          <w:top w:w="0" w:type="dxa"/>
          <w:left w:w="0" w:type="dxa"/>
          <w:bottom w:w="0" w:type="dxa"/>
          <w:right w:w="0" w:type="dxa"/>
        </w:tblCellMar>
      </w:tblPr>
      <w:tblGrid>
        <w:gridCol w:w="1996"/>
        <w:gridCol w:w="326"/>
        <w:gridCol w:w="931"/>
        <w:gridCol w:w="326"/>
        <w:gridCol w:w="886"/>
        <w:gridCol w:w="326"/>
        <w:gridCol w:w="1036"/>
      </w:tblGrid>
      <w:tr>
        <w:trPr/>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1267460" cy="175260"/>
                      <wp:effectExtent l="0" t="0" r="0" b="0"/>
                      <wp:wrapNone/>
                      <wp:docPr id="421" name="Frame420"/>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207010" cy="175260"/>
                      <wp:effectExtent l="0" t="0" r="0" b="0"/>
                      <wp:wrapNone/>
                      <wp:docPr id="422" name="Frame4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591185" cy="175260"/>
                      <wp:effectExtent l="0" t="0" r="0" b="0"/>
                      <wp:wrapNone/>
                      <wp:docPr id="423" name="Frame42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207010" cy="175260"/>
                      <wp:effectExtent l="0" t="0" r="0" b="0"/>
                      <wp:wrapNone/>
                      <wp:docPr id="424" name="Frame4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562610" cy="175260"/>
                      <wp:effectExtent l="0" t="0" r="0" b="0"/>
                      <wp:wrapNone/>
                      <wp:docPr id="425" name="Frame42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207010" cy="175260"/>
                      <wp:effectExtent l="0" t="0" r="0" b="0"/>
                      <wp:wrapNone/>
                      <wp:docPr id="426" name="Frame4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657860" cy="175260"/>
                      <wp:effectExtent l="0" t="0" r="0" b="0"/>
                      <wp:wrapNone/>
                      <wp:docPr id="427" name="Frame42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5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19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w:t>
            </w:r>
          </w:p>
        </w:tc>
      </w:tr>
      <w:tr>
        <w:trPr/>
        <w:tc>
          <w:tcPr>
            <w:tcW w:w="19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19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4,275,329</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160,728</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4,436,057</w:t>
            </w:r>
          </w:p>
        </w:tc>
      </w:tr>
    </w:tbl>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years ended December 31, 2021, 2022 and 2023, the Group recorded investment income related to short-term investments of RMB639.8 million, RMB342.6 million and RMB414.2 million in the consolidated statements of operations and comprehensive income, respectively.</w:t>
      </w:r>
    </w:p>
    <w:p>
      <w:pPr>
        <w:pStyle w:val="Normal"/>
        <w:bidi w:val="0"/>
        <w:spacing w:before="0" w:after="0"/>
        <w:jc w:val="left"/>
        <w:rPr>
          <w:sz w:val="4"/>
          <w:szCs w:val="4"/>
        </w:rPr>
      </w:pPr>
      <w:r>
        <w:rPr>
          <w:sz w:val="4"/>
          <w:szCs w:val="4"/>
        </w:rPr>
      </w:r>
      <w:bookmarkStart w:id="1522" w:name="Tc_NaBe47IEVUCIcZXjsFQsXA_15_0"/>
      <w:bookmarkStart w:id="1523" w:name="Tc_b-hGZ_SAy0eR85meKKOufA_14_2"/>
      <w:bookmarkStart w:id="1524" w:name="Tc_RM_ZIzZaykeXW0Lw2IwdwA_14_0"/>
      <w:bookmarkStart w:id="1525" w:name="Tc_zuxZw32iAEyWUyDMj_-7JA_13_0"/>
      <w:bookmarkStart w:id="1526" w:name="Tc_ikdt58gasU6eXaA5Gw-tcg_10_0"/>
      <w:bookmarkStart w:id="1527" w:name="Tc_uL6vt8rxQE-yIyzaMuWR9Q_9_0"/>
      <w:bookmarkStart w:id="1528" w:name="Tc_vs5MoqU0d0-s7Cm-LjTJpA_8_0"/>
      <w:bookmarkStart w:id="1529" w:name="Tc_NdGdVT6nb0CEFhsO4Uu03w_7_0"/>
      <w:bookmarkStart w:id="1530" w:name="Tc_EnAYmhKTDEyfpGX_Q7xbdw_6_0"/>
      <w:bookmarkStart w:id="1531" w:name="Tc_fs6KQ58m6EW_ENOA481tvw_5_0"/>
      <w:bookmarkStart w:id="1532" w:name="Tc_MYgi_DAha062bDbb86EUig_4_0"/>
      <w:bookmarkStart w:id="1533" w:name="Tc_z4jFl5jgJUqyDw2OPN5Nog_3_4"/>
      <w:bookmarkStart w:id="1534" w:name="Tc_vrXj-TqIrUqaB2JpZgZbpQ_3_2"/>
      <w:bookmarkStart w:id="1535" w:name="Tc_kZO03yixsUm92GGyuIWr6A_2_4"/>
      <w:bookmarkStart w:id="1536" w:name="Tc_jmGAfx1QVU6h6IV57rQhtg_2_2"/>
      <w:bookmarkStart w:id="1537" w:name="Tc_sUgbUkJlH0m2y3HD4tff8w_1_4"/>
      <w:bookmarkStart w:id="1538" w:name="Tc_fqc1_I04_UaXw314dpOf0g_1_2"/>
      <w:bookmarkStart w:id="1539" w:name="_39bb21b0_36b1_4fa0_85f6_c45ca12f3a2c"/>
      <w:bookmarkStart w:id="1540" w:name="Tc_NaBe47IEVUCIcZXjsFQsXA_15_0"/>
      <w:bookmarkStart w:id="1541" w:name="Tc_b-hGZ_SAy0eR85meKKOufA_14_2"/>
      <w:bookmarkStart w:id="1542" w:name="Tc_RM_ZIzZaykeXW0Lw2IwdwA_14_0"/>
      <w:bookmarkStart w:id="1543" w:name="Tc_zuxZw32iAEyWUyDMj_-7JA_13_0"/>
      <w:bookmarkStart w:id="1544" w:name="Tc_ikdt58gasU6eXaA5Gw-tcg_10_0"/>
      <w:bookmarkStart w:id="1545" w:name="Tc_uL6vt8rxQE-yIyzaMuWR9Q_9_0"/>
      <w:bookmarkStart w:id="1546" w:name="Tc_vs5MoqU0d0-s7Cm-LjTJpA_8_0"/>
      <w:bookmarkStart w:id="1547" w:name="Tc_NdGdVT6nb0CEFhsO4Uu03w_7_0"/>
      <w:bookmarkStart w:id="1548" w:name="Tc_EnAYmhKTDEyfpGX_Q7xbdw_6_0"/>
      <w:bookmarkStart w:id="1549" w:name="Tc_fs6KQ58m6EW_ENOA481tvw_5_0"/>
      <w:bookmarkStart w:id="1550" w:name="Tc_MYgi_DAha062bDbb86EUig_4_0"/>
      <w:bookmarkStart w:id="1551" w:name="Tc_z4jFl5jgJUqyDw2OPN5Nog_3_4"/>
      <w:bookmarkStart w:id="1552" w:name="Tc_vrXj-TqIrUqaB2JpZgZbpQ_3_2"/>
      <w:bookmarkStart w:id="1553" w:name="Tc_kZO03yixsUm92GGyuIWr6A_2_4"/>
      <w:bookmarkStart w:id="1554" w:name="Tc_jmGAfx1QVU6h6IV57rQhtg_2_2"/>
      <w:bookmarkStart w:id="1555" w:name="Tc_sUgbUkJlH0m2y3HD4tff8w_1_4"/>
      <w:bookmarkStart w:id="1556" w:name="Tc_fqc1_I04_UaXw314dpOf0g_1_2"/>
      <w:bookmarkStart w:id="1557" w:name="_39bb21b0_36b1_4fa0_85f6_c45ca12f3a2c"/>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p>
    <w:tbl>
      <w:tblPr>
        <w:tblW w:w="3707" w:type="dxa"/>
        <w:jc w:val="left"/>
        <w:tblInd w:w="0" w:type="dxa"/>
        <w:tblLayout w:type="fixed"/>
        <w:tblCellMar>
          <w:top w:w="0" w:type="dxa"/>
          <w:left w:w="0" w:type="dxa"/>
          <w:bottom w:w="0" w:type="dxa"/>
          <w:right w:w="0" w:type="dxa"/>
        </w:tblCellMar>
      </w:tblPr>
      <w:tblGrid>
        <w:gridCol w:w="271"/>
        <w:gridCol w:w="3436"/>
      </w:tblGrid>
      <w:tr>
        <w:trPr/>
        <w:tc>
          <w:tcPr>
            <w:tcW w:w="27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8.</w:t>
            </w:r>
          </w:p>
        </w:tc>
        <w:tc>
          <w:tcPr>
            <w:tcW w:w="343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Property, Equipment and Software, net</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is a summary of property, equipment and software (in thousands):</w:t>
      </w:r>
    </w:p>
    <w:p>
      <w:pPr>
        <w:pStyle w:val="TextBody"/>
        <w:bidi w:val="0"/>
        <w:spacing w:before="0" w:after="0"/>
        <w:ind w:left="0" w:right="0" w:hanging="0"/>
        <w:jc w:val="both"/>
        <w:rPr/>
      </w:pPr>
      <w:r>
        <w:rPr/>
        <w:t>​</w:t>
      </w:r>
    </w:p>
    <w:tbl>
      <w:tblPr>
        <w:tblW w:w="6835" w:type="dxa"/>
        <w:jc w:val="left"/>
        <w:tblInd w:w="0" w:type="dxa"/>
        <w:tblLayout w:type="fixed"/>
        <w:tblCellMar>
          <w:top w:w="0" w:type="dxa"/>
          <w:left w:w="0" w:type="dxa"/>
          <w:bottom w:w="0" w:type="dxa"/>
          <w:right w:w="0" w:type="dxa"/>
        </w:tblCellMar>
      </w:tblPr>
      <w:tblGrid>
        <w:gridCol w:w="3856"/>
        <w:gridCol w:w="326"/>
        <w:gridCol w:w="1141"/>
        <w:gridCol w:w="326"/>
        <w:gridCol w:w="1186"/>
      </w:tblGrid>
      <w:tr>
        <w:trPr/>
        <w:tc>
          <w:tcPr>
            <w:tcW w:w="3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2448560" cy="175260"/>
                      <wp:effectExtent l="0" t="0" r="0" b="0"/>
                      <wp:wrapNone/>
                      <wp:docPr id="428" name="Frame427"/>
                      <a:graphic xmlns:a="http://schemas.openxmlformats.org/drawingml/2006/main">
                        <a:graphicData uri="http://schemas.microsoft.com/office/word/2010/wordprocessingShape">
                          <wps:wsp>
                            <wps:cNvSpPr txBox="1"/>
                            <wps:spPr>
                              <a:xfrm>
                                <a:off x="0" y="0"/>
                                <a:ext cx="2448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207010" cy="175260"/>
                      <wp:effectExtent l="0" t="0" r="0" b="0"/>
                      <wp:wrapNone/>
                      <wp:docPr id="429" name="Frame4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724535" cy="175260"/>
                      <wp:effectExtent l="0" t="0" r="0" b="0"/>
                      <wp:wrapNone/>
                      <wp:docPr id="430" name="Frame429"/>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207010" cy="175260"/>
                      <wp:effectExtent l="0" t="0" r="0" b="0"/>
                      <wp:wrapNone/>
                      <wp:docPr id="431" name="Frame4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753110" cy="175260"/>
                      <wp:effectExtent l="0" t="0" r="0" b="0"/>
                      <wp:wrapNone/>
                      <wp:docPr id="432" name="Frame431"/>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 and decoration</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3,875,063</w:t>
            </w:r>
          </w:p>
        </w:tc>
        <w:tc>
          <w:tcPr>
            <w:tcW w:w="32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4,063,468</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304,365</w:t>
            </w:r>
          </w:p>
        </w:tc>
        <w:tc>
          <w:tcPr>
            <w:tcW w:w="32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311,156</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fixtures, office and other equipment</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379,938</w:t>
            </w:r>
          </w:p>
        </w:tc>
        <w:tc>
          <w:tcPr>
            <w:tcW w:w="32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508,185</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Vehicles</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102,823</w:t>
            </w:r>
          </w:p>
        </w:tc>
        <w:tc>
          <w:tcPr>
            <w:tcW w:w="32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106,027</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Servers and computers</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6,018,709</w:t>
            </w:r>
          </w:p>
        </w:tc>
        <w:tc>
          <w:tcPr>
            <w:tcW w:w="32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6,144,176</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Software</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344,410</w:t>
            </w:r>
          </w:p>
        </w:tc>
        <w:tc>
          <w:tcPr>
            <w:tcW w:w="32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367,472</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1,587,413</w:t>
            </w:r>
          </w:p>
        </w:tc>
        <w:tc>
          <w:tcPr>
            <w:tcW w:w="326" w:type="dxa"/>
            <w:tcBorders/>
            <w:shd w:fill="CCEEFF" w:val="clear"/>
            <w:vAlign w:val="center"/>
          </w:tcPr>
          <w:p>
            <w:pPr>
              <w:pStyle w:val="TableContents"/>
              <w:bidi w:val="0"/>
              <w:spacing w:before="0" w:after="0"/>
              <w:ind w:left="0" w:right="0" w:hanging="0"/>
              <w:jc w:val="left"/>
              <w:rPr/>
            </w:pPr>
            <w:r>
              <w:rPr/>
              <w:t> </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3,675,879</w:t>
            </w:r>
          </w:p>
        </w:tc>
      </w:tr>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12,612,721</w:t>
            </w:r>
          </w:p>
        </w:tc>
        <w:tc>
          <w:tcPr>
            <w:tcW w:w="32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15,176,363</w:t>
            </w:r>
          </w:p>
        </w:tc>
      </w:tr>
      <w:tr>
        <w:trPr/>
        <w:tc>
          <w:tcPr>
            <w:tcW w:w="385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(6,270,391)</w:t>
            </w:r>
          </w:p>
        </w:tc>
        <w:tc>
          <w:tcPr>
            <w:tcW w:w="32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(6,923,618)</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impairment</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(177,701)</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book value</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6,342,330</w:t>
            </w:r>
          </w:p>
        </w:tc>
        <w:tc>
          <w:tcPr>
            <w:tcW w:w="326" w:type="dxa"/>
            <w:tcBorders/>
            <w:vAlign w:val="center"/>
          </w:tcPr>
          <w:p>
            <w:pPr>
              <w:pStyle w:val="TableContents"/>
              <w:bidi w:val="0"/>
              <w:spacing w:before="0" w:after="0"/>
              <w:ind w:left="0" w:right="0" w:hanging="0"/>
              <w:jc w:val="left"/>
              <w:rPr/>
            </w:pPr>
            <w:r>
              <w:rPr/>
              <w:t> </w:t>
            </w:r>
          </w:p>
        </w:tc>
        <w:tc>
          <w:tcPr>
            <w:tcW w:w="11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8,075,044</w:t>
            </w:r>
          </w:p>
        </w:tc>
      </w:tr>
    </w:tbl>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Depreciation expense was RMB928.5 million, RMB1,127.2 million and RMB769.7 million for the years ended December 31, 2021, 2022 and 2023, respectively.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December 31, 2022 and 2023, the construction in progress balance were mainly comprised of construction of buildings in Shanghai and Hangzhou that have not yet been placed in service for the Group’s intended use. All the related cost is capitalized in construction in progress to the extent it is incurred for the purposes of bringing the construction development to a usable state.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558" w:name="Tc_ehd3R-YepUGd9BI_-8y1xw_8_0"/>
      <w:bookmarkStart w:id="1559" w:name="Tc_lgTIBxlY7UyTgbVhf7LkSg_7_2"/>
      <w:bookmarkStart w:id="1560" w:name="Tc_QOJvPu9wE0ODA6HMp-cIRw_7_0"/>
      <w:bookmarkStart w:id="1561" w:name="Tc_qPUSpqpEo0ecX6bo666BAQ_6_0"/>
      <w:bookmarkStart w:id="1562" w:name="Tc_ah7T4rpeGEuSsvyAPzdE8Q_5_0"/>
      <w:bookmarkStart w:id="1563" w:name="Tc_VY9HK-VHcUyEdBlz99c90g_4_0"/>
      <w:bookmarkStart w:id="1564" w:name="Tc_CuKSF7nrl0KC5bpUsc9fZg_3_4"/>
      <w:bookmarkStart w:id="1565" w:name="Tc_5hgkuQHzZUewhEjuDx6qvw_3_2"/>
      <w:bookmarkStart w:id="1566" w:name="Tc_RsCizEnsLU2xAGr4VTwx-Q_2_4"/>
      <w:bookmarkStart w:id="1567" w:name="Tc_w5UIKnt7BUKThPpqjPcbIQ_2_2"/>
      <w:bookmarkStart w:id="1568" w:name="Tc_JJL1B0I7tkSVtKjI-rQ4Wg_1_4"/>
      <w:bookmarkStart w:id="1569" w:name="Tc_erjHUnWUXUSz-VTvuqC7fw_1_2"/>
      <w:bookmarkStart w:id="1570" w:name="Tc_ehd3R-YepUGd9BI_-8y1xw_8_0"/>
      <w:bookmarkStart w:id="1571" w:name="Tc_lgTIBxlY7UyTgbVhf7LkSg_7_2"/>
      <w:bookmarkStart w:id="1572" w:name="Tc_QOJvPu9wE0ODA6HMp-cIRw_7_0"/>
      <w:bookmarkStart w:id="1573" w:name="Tc_qPUSpqpEo0ecX6bo666BAQ_6_0"/>
      <w:bookmarkStart w:id="1574" w:name="Tc_ah7T4rpeGEuSsvyAPzdE8Q_5_0"/>
      <w:bookmarkStart w:id="1575" w:name="Tc_VY9HK-VHcUyEdBlz99c90g_4_0"/>
      <w:bookmarkStart w:id="1576" w:name="Tc_CuKSF7nrl0KC5bpUsc9fZg_3_4"/>
      <w:bookmarkStart w:id="1577" w:name="Tc_5hgkuQHzZUewhEjuDx6qvw_3_2"/>
      <w:bookmarkStart w:id="1578" w:name="Tc_RsCizEnsLU2xAGr4VTwx-Q_2_4"/>
      <w:bookmarkStart w:id="1579" w:name="Tc_w5UIKnt7BUKThPpqjPcbIQ_2_2"/>
      <w:bookmarkStart w:id="1580" w:name="Tc_JJL1B0I7tkSVtKjI-rQ4Wg_1_4"/>
      <w:bookmarkStart w:id="1581" w:name="Tc_erjHUnWUXUSz-VTvuqC7fw_1_2"/>
      <w:bookmarkEnd w:id="1570"/>
      <w:bookmarkEnd w:id="1571"/>
      <w:bookmarkEnd w:id="1572"/>
      <w:bookmarkEnd w:id="1573"/>
      <w:bookmarkEnd w:id="1574"/>
      <w:bookmarkEnd w:id="1575"/>
      <w:bookmarkEnd w:id="1576"/>
      <w:bookmarkEnd w:id="1577"/>
      <w:bookmarkEnd w:id="1578"/>
      <w:bookmarkEnd w:id="1579"/>
      <w:bookmarkEnd w:id="1580"/>
      <w:bookmarkEnd w:id="1581"/>
    </w:p>
    <w:tbl>
      <w:tblPr>
        <w:tblW w:w="2147" w:type="dxa"/>
        <w:jc w:val="left"/>
        <w:tblInd w:w="0" w:type="dxa"/>
        <w:tblLayout w:type="fixed"/>
        <w:tblCellMar>
          <w:top w:w="0" w:type="dxa"/>
          <w:left w:w="0" w:type="dxa"/>
          <w:bottom w:w="0" w:type="dxa"/>
          <w:right w:w="0" w:type="dxa"/>
        </w:tblCellMar>
      </w:tblPr>
      <w:tblGrid>
        <w:gridCol w:w="271"/>
        <w:gridCol w:w="1876"/>
      </w:tblGrid>
      <w:tr>
        <w:trPr/>
        <w:tc>
          <w:tcPr>
            <w:tcW w:w="271"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9.</w:t>
            </w:r>
          </w:p>
        </w:tc>
        <w:tc>
          <w:tcPr>
            <w:tcW w:w="1876"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Land Use Rights, net</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Land use rights represent acquired right to use the land on which the Group’s offices and warehouses are built. In 2022 and 2023, the Group obtained the land use rights from the local authorities, including in Guangzhou and Guian. Amortization of the land use right is made over the remaining term of the land use right period from the date when the land was made available for use by the Group. The land use rights are summarized as follows (in thousands):</w:t>
      </w:r>
    </w:p>
    <w:p>
      <w:pPr>
        <w:pStyle w:val="TextBody"/>
        <w:bidi w:val="0"/>
        <w:spacing w:before="0" w:after="0"/>
        <w:ind w:left="0" w:right="0" w:hanging="0"/>
        <w:jc w:val="left"/>
        <w:rPr/>
      </w:pPr>
      <w:r>
        <w:rPr/>
        <w:t>​</w:t>
      </w:r>
    </w:p>
    <w:tbl>
      <w:tblPr>
        <w:tblW w:w="6505" w:type="dxa"/>
        <w:jc w:val="left"/>
        <w:tblInd w:w="0" w:type="dxa"/>
        <w:tblLayout w:type="fixed"/>
        <w:tblCellMar>
          <w:top w:w="0" w:type="dxa"/>
          <w:left w:w="0" w:type="dxa"/>
          <w:bottom w:w="0" w:type="dxa"/>
          <w:right w:w="0" w:type="dxa"/>
        </w:tblCellMar>
      </w:tblPr>
      <w:tblGrid>
        <w:gridCol w:w="3526"/>
        <w:gridCol w:w="326"/>
        <w:gridCol w:w="1141"/>
        <w:gridCol w:w="326"/>
        <w:gridCol w:w="1186"/>
      </w:tblGrid>
      <w:tr>
        <w:trPr/>
        <w:tc>
          <w:tcPr>
            <w:tcW w:w="3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2239010" cy="175260"/>
                      <wp:effectExtent l="0" t="0" r="0" b="0"/>
                      <wp:wrapNone/>
                      <wp:docPr id="433" name="Frame432"/>
                      <a:graphic xmlns:a="http://schemas.openxmlformats.org/drawingml/2006/main">
                        <a:graphicData uri="http://schemas.microsoft.com/office/word/2010/wordprocessingShape">
                          <wps:wsp>
                            <wps:cNvSpPr txBox="1"/>
                            <wps:spPr>
                              <a:xfrm>
                                <a:off x="0" y="0"/>
                                <a:ext cx="2239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207010" cy="175260"/>
                      <wp:effectExtent l="0" t="0" r="0" b="0"/>
                      <wp:wrapNone/>
                      <wp:docPr id="434" name="Frame4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724535" cy="175260"/>
                      <wp:effectExtent l="0" t="0" r="0" b="0"/>
                      <wp:wrapNone/>
                      <wp:docPr id="435" name="Frame434"/>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207010" cy="175260"/>
                      <wp:effectExtent l="0" t="0" r="0" b="0"/>
                      <wp:wrapNone/>
                      <wp:docPr id="436" name="Frame4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753110" cy="175260"/>
                      <wp:effectExtent l="0" t="0" r="0" b="0"/>
                      <wp:wrapNone/>
                      <wp:docPr id="437" name="Frame436"/>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5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5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4,521,308</w:t>
            </w:r>
          </w:p>
        </w:tc>
        <w:tc>
          <w:tcPr>
            <w:tcW w:w="32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4,590,902</w:t>
            </w:r>
          </w:p>
        </w:tc>
      </w:tr>
      <w:tr>
        <w:trPr/>
        <w:tc>
          <w:tcPr>
            <w:tcW w:w="3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Incentive payment from local government</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w:t>
            </w:r>
          </w:p>
        </w:tc>
        <w:tc>
          <w:tcPr>
            <w:tcW w:w="32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amortization</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(384,541)</w:t>
            </w:r>
          </w:p>
        </w:tc>
        <w:tc>
          <w:tcPr>
            <w:tcW w:w="32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(486,475)</w:t>
            </w:r>
          </w:p>
        </w:tc>
      </w:tr>
      <w:tr>
        <w:trPr/>
        <w:tc>
          <w:tcPr>
            <w:tcW w:w="3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(14,284)</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 use right, net</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4,121,767</w:t>
            </w:r>
          </w:p>
        </w:tc>
        <w:tc>
          <w:tcPr>
            <w:tcW w:w="326" w:type="dxa"/>
            <w:tcBorders/>
            <w:shd w:fill="CCEEFF" w:val="clear"/>
            <w:vAlign w:val="center"/>
          </w:tcPr>
          <w:p>
            <w:pPr>
              <w:pStyle w:val="TableContents"/>
              <w:bidi w:val="0"/>
              <w:spacing w:before="0" w:after="0"/>
              <w:ind w:left="0" w:right="0" w:hanging="0"/>
              <w:jc w:val="left"/>
              <w:rPr/>
            </w:pPr>
            <w:r>
              <w:rPr/>
              <w:t> </w:t>
            </w:r>
          </w:p>
        </w:tc>
        <w:tc>
          <w:tcPr>
            <w:tcW w:w="11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4,075,143</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total amortization expense for each of the years ended December 31, 2021, 2022 and 2023 amounted to approximately RMB87.4 million, RMB91.8 million and RMB101.9 million, respectively.</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sz w:val="20"/>
        </w:rPr>
      </w:pPr>
      <w:bookmarkStart w:id="1582" w:name="Tc_OP_2WpJi-0mebpJiMAWa_g_4_5"/>
      <w:bookmarkStart w:id="1583" w:name="Tc_-snrypYHoUKZ9ZXss1FyXg_4_3"/>
      <w:bookmarkStart w:id="1584" w:name="Tc_gHXeRCkaVUeukY5x_yFYRA_4_0"/>
      <w:bookmarkStart w:id="1585" w:name="Tc_alnd_k99D0GUVPuS_KNHrA_3_4"/>
      <w:bookmarkStart w:id="1586" w:name="Tc_kXKStii_j0KZBs3MylDm9w_3_2"/>
      <w:bookmarkStart w:id="1587" w:name="Tc_g6psTiRSWUGxB9p82BF1QA_3_0"/>
      <w:bookmarkStart w:id="1588" w:name="Tc_NcWKA2xTIEeDcO74Eh-QtQ_2_4"/>
      <w:bookmarkStart w:id="1589" w:name="Tc_UzhzVH66IUukJIkqHjBR3g_2_2"/>
      <w:bookmarkStart w:id="1590" w:name="Tc_gIgzOVDpQE-DxqpnZK2mWw_1_4"/>
      <w:bookmarkStart w:id="1591" w:name="Tc_uSuFnfiAm0iUOSyY8X_0wg_1_2"/>
      <w:bookmarkStart w:id="1592" w:name="_1ff7f5a8_9001_4ff0_b23a_0744ed9d40c9"/>
      <w:bookmarkStart w:id="1593" w:name="Tc_W1AB24WXB06FU_FLFgB9nA_6_0"/>
      <w:bookmarkStart w:id="1594" w:name="Tc_UNHhYG9_rEWOecdZDOsUqQ_5_0"/>
      <w:bookmarkStart w:id="1595" w:name="Tc_lEI0thY_lEuspOkAzUbGIA_4_0"/>
      <w:bookmarkStart w:id="1596" w:name="Tc_rvcCsoj5OE2rVItujbMjxA_3_6"/>
      <w:bookmarkStart w:id="1597" w:name="Tc_JFVDOd9mAEqUd8aXkCg4ow_3_4"/>
      <w:bookmarkStart w:id="1598" w:name="Tc_HwJQWancLkq2esq4MyMdWQ_3_2"/>
      <w:bookmarkStart w:id="1599" w:name="Tc_CO1Nhf7za0iXx7KxM7_7gg_2_6"/>
      <w:bookmarkStart w:id="1600" w:name="Tc_jS0RWrK1pkCoenMsfiAf0A_2_4"/>
      <w:bookmarkStart w:id="1601" w:name="Tc_L6pyv3_6X0irvuNBPexdzA_2_2"/>
      <w:bookmarkStart w:id="1602" w:name="Tc_KIsa6_YMVkaxyYXeGvfNcA_1_2"/>
      <w:bookmarkStart w:id="1603" w:name="_b518a911_9bba_4506_9413_eb9d18ca311e"/>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r>
        <w:rPr>
          <w:rFonts w:ascii="Times New Roman;Times;serif" w:hAnsi="Times New Roman;Times;serif"/>
          <w:b/>
          <w:i w:val="false"/>
          <w:caps w:val="false"/>
          <w:smallCaps w:val="false"/>
          <w:sz w:val="20"/>
        </w:rPr>
        <w:t>10.</w:t>
      </w:r>
      <w:r>
        <w:rPr>
          <w:rFonts w:ascii="Times New Roman;Times;serif" w:hAnsi="Times New Roman;Times;serif"/>
          <w:b/>
          <w:sz w:val="20"/>
        </w:rPr>
        <w:t>Leases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 has operating leases for corporate offices, warehouses and retail stores. In addition, upon the adoption of ASC 842, land use rights with total carrying amount of RMB4.1 billion each (Note 9) were identified as operating lease right-of-use assets as of December 31, 2022 and 2023,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Group’s leases have remaining lease terms of 1 month to 67 years, some of which include options to terminate the leases within certain periods. The Group considers these options in determining the classification and measurement of the leases when it is reasonably certain that the Group will exercise that option.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provides information related to the Group’s operating leases (in thousands):</w:t>
      </w:r>
    </w:p>
    <w:p>
      <w:pPr>
        <w:pStyle w:val="TextBody"/>
        <w:bidi w:val="0"/>
        <w:spacing w:before="0" w:after="0"/>
        <w:ind w:left="0" w:right="0" w:hanging="0"/>
        <w:jc w:val="both"/>
        <w:rPr/>
      </w:pPr>
      <w:r>
        <w:rPr/>
        <w:t>​</w:t>
      </w:r>
    </w:p>
    <w:tbl>
      <w:tblPr>
        <w:tblW w:w="10057" w:type="dxa"/>
        <w:jc w:val="left"/>
        <w:tblInd w:w="0" w:type="dxa"/>
        <w:tblLayout w:type="fixed"/>
        <w:tblCellMar>
          <w:top w:w="0" w:type="dxa"/>
          <w:left w:w="0" w:type="dxa"/>
          <w:bottom w:w="0" w:type="dxa"/>
          <w:right w:w="0" w:type="dxa"/>
        </w:tblCellMar>
      </w:tblPr>
      <w:tblGrid>
        <w:gridCol w:w="6631"/>
        <w:gridCol w:w="326"/>
        <w:gridCol w:w="781"/>
        <w:gridCol w:w="326"/>
        <w:gridCol w:w="781"/>
        <w:gridCol w:w="326"/>
        <w:gridCol w:w="886"/>
      </w:tblGrid>
      <w:tr>
        <w:trPr/>
        <w:tc>
          <w:tcPr>
            <w:tcW w:w="6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4210685" cy="175260"/>
                      <wp:effectExtent l="0" t="0" r="0" b="0"/>
                      <wp:wrapNone/>
                      <wp:docPr id="438" name="Frame437"/>
                      <a:graphic xmlns:a="http://schemas.openxmlformats.org/drawingml/2006/main">
                        <a:graphicData uri="http://schemas.microsoft.com/office/word/2010/wordprocessingShape">
                          <wps:wsp>
                            <wps:cNvSpPr txBox="1"/>
                            <wps:spPr>
                              <a:xfrm>
                                <a:off x="0" y="0"/>
                                <a:ext cx="421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207010" cy="175260"/>
                      <wp:effectExtent l="0" t="0" r="0" b="0"/>
                      <wp:wrapNone/>
                      <wp:docPr id="439" name="Frame4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495935" cy="175260"/>
                      <wp:effectExtent l="0" t="0" r="0" b="0"/>
                      <wp:wrapNone/>
                      <wp:docPr id="440" name="Frame43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207010" cy="175260"/>
                      <wp:effectExtent l="0" t="0" r="0" b="0"/>
                      <wp:wrapNone/>
                      <wp:docPr id="441" name="Frame4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495935" cy="175260"/>
                      <wp:effectExtent l="0" t="0" r="0" b="0"/>
                      <wp:wrapNone/>
                      <wp:docPr id="442" name="Frame44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207010" cy="175260"/>
                      <wp:effectExtent l="0" t="0" r="0" b="0"/>
                      <wp:wrapNone/>
                      <wp:docPr id="443" name="Frame4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562610" cy="175260"/>
                      <wp:effectExtent l="0" t="0" r="0" b="0"/>
                      <wp:wrapNone/>
                      <wp:docPr id="444" name="Frame44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6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1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66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66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66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Operating lease cost </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461,542</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409,196</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344,606</w:t>
            </w:r>
          </w:p>
        </w:tc>
      </w:tr>
      <w:tr>
        <w:trPr/>
        <w:tc>
          <w:tcPr>
            <w:tcW w:w="6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amounts included in the measurement of operating lease liabilities</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503,127</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471,214</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331,579</w:t>
            </w:r>
          </w:p>
        </w:tc>
      </w:tr>
      <w:tr>
        <w:trPr/>
        <w:tc>
          <w:tcPr>
            <w:tcW w:w="66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 obtained in exchange for operating lease obligations</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763,919</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336,381</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215,209</w:t>
            </w:r>
          </w:p>
        </w:tc>
      </w:tr>
    </w:tbl>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Additionally, the short-term lease cost was RMB31.4 million, RMB27.4 million and RMB42.3 million for the year ended December 31, 2021, 2022 and 2023,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provides a summary of the Group’s operating lease terms and discount rates, which excludes the land use rights, as of December 31, 2022 and 2023:</w:t>
      </w:r>
    </w:p>
    <w:p>
      <w:pPr>
        <w:pStyle w:val="TextBody"/>
        <w:bidi w:val="0"/>
        <w:spacing w:before="0" w:after="0"/>
        <w:ind w:left="0" w:right="0" w:hanging="0"/>
        <w:jc w:val="left"/>
        <w:rPr/>
      </w:pPr>
      <w:r>
        <w:rPr/>
        <w:t>​</w:t>
      </w:r>
    </w:p>
    <w:tbl>
      <w:tblPr>
        <w:tblW w:w="6511" w:type="dxa"/>
        <w:jc w:val="left"/>
        <w:tblInd w:w="0" w:type="dxa"/>
        <w:tblLayout w:type="fixed"/>
        <w:tblCellMar>
          <w:top w:w="0" w:type="dxa"/>
          <w:left w:w="0" w:type="dxa"/>
          <w:bottom w:w="0" w:type="dxa"/>
          <w:right w:w="0" w:type="dxa"/>
        </w:tblCellMar>
      </w:tblPr>
      <w:tblGrid>
        <w:gridCol w:w="3316"/>
        <w:gridCol w:w="326"/>
        <w:gridCol w:w="1096"/>
        <w:gridCol w:w="361"/>
        <w:gridCol w:w="1096"/>
        <w:gridCol w:w="316"/>
      </w:tblGrid>
      <w:tr>
        <w:trPr/>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2105660" cy="175260"/>
                      <wp:effectExtent l="0" t="0" r="0" b="0"/>
                      <wp:wrapNone/>
                      <wp:docPr id="445" name="Frame444"/>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207010" cy="175260"/>
                      <wp:effectExtent l="0" t="0" r="0" b="0"/>
                      <wp:wrapNone/>
                      <wp:docPr id="446" name="Frame4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695960" cy="175260"/>
                      <wp:effectExtent l="0" t="0" r="0" b="0"/>
                      <wp:wrapNone/>
                      <wp:docPr id="447" name="Frame446"/>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229235" cy="175260"/>
                      <wp:effectExtent l="0" t="0" r="0" b="0"/>
                      <wp:wrapNone/>
                      <wp:docPr id="448" name="Frame44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695960" cy="175260"/>
                      <wp:effectExtent l="0" t="0" r="0" b="0"/>
                      <wp:wrapNone/>
                      <wp:docPr id="449" name="Frame448"/>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200660" cy="175260"/>
                      <wp:effectExtent l="0" t="0" r="0" b="0"/>
                      <wp:wrapNone/>
                      <wp:docPr id="450" name="Frame44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61"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16" w:type="dxa"/>
            <w:tcBorders/>
            <w:vAlign w:val="center"/>
          </w:tcPr>
          <w:p>
            <w:pPr>
              <w:pStyle w:val="TableContents"/>
              <w:bidi w:val="0"/>
              <w:spacing w:before="0" w:after="0"/>
              <w:ind w:left="0" w:right="0" w:hanging="0"/>
              <w:jc w:val="center"/>
              <w:rPr/>
            </w:pPr>
            <w:r>
              <w:rPr/>
              <w:t> </w:t>
            </w:r>
          </w:p>
        </w:tc>
      </w:tr>
      <w:tr>
        <w:trPr/>
        <w:tc>
          <w:tcPr>
            <w:tcW w:w="3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61" w:type="dxa"/>
            <w:tcBorders/>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16" w:type="dxa"/>
            <w:tcBorders/>
            <w:vAlign w:val="center"/>
          </w:tcPr>
          <w:p>
            <w:pPr>
              <w:pStyle w:val="TableContents"/>
              <w:bidi w:val="0"/>
              <w:spacing w:before="0" w:after="0"/>
              <w:ind w:left="0" w:right="0" w:hanging="0"/>
              <w:jc w:val="center"/>
              <w:rPr/>
            </w:pPr>
            <w:r>
              <w:rPr/>
              <w:t> </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remaining lease term</w:t>
            </w:r>
          </w:p>
        </w:tc>
        <w:tc>
          <w:tcPr>
            <w:tcW w:w="32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 years</w:t>
            </w:r>
          </w:p>
        </w:tc>
        <w:tc>
          <w:tcPr>
            <w:tcW w:w="361"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 years</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discount rate</w:t>
            </w:r>
          </w:p>
        </w:tc>
        <w:tc>
          <w:tcPr>
            <w:tcW w:w="32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1604" w:name="Tc_-mQeUT8yo02_PwyOclupmQ_10_0"/>
      <w:bookmarkStart w:id="1605" w:name="Tc_jUpH-PdnwUOtNw56BdxnQg_9_0"/>
      <w:bookmarkStart w:id="1606" w:name="Tc_SUF8eTGlrEimSAmct9v5BQ_8_0"/>
      <w:bookmarkStart w:id="1607" w:name="Tc_i-qYQcCU8UidNj51d36x7w_7_0"/>
      <w:bookmarkStart w:id="1608" w:name="Tc_wwZTt01h5E-j3d88bBlBEw_6_0"/>
      <w:bookmarkStart w:id="1609" w:name="Tc_aFPuImU8UkSRZl_SqObbMg_5_0"/>
      <w:bookmarkStart w:id="1610" w:name="Tc_QIRn4XOS7EKYVUpJ6W_cRA_4_0"/>
      <w:bookmarkStart w:id="1611" w:name="Tc_Cj9fP1lDF0GVOABV0CYVnw_3_0"/>
      <w:bookmarkStart w:id="1612" w:name="Tc_o8DgIW60gUufp_NNSrPdsw_2_0"/>
      <w:bookmarkStart w:id="1613" w:name="Tc_3tVx1xBs-06B4Dub7OBwzw_1_2"/>
      <w:bookmarkStart w:id="1614" w:name="_4716e93d_c99a_4566_9f13_0d9bb12882f5"/>
      <w:bookmarkEnd w:id="1604"/>
      <w:bookmarkEnd w:id="1605"/>
      <w:bookmarkEnd w:id="1606"/>
      <w:bookmarkEnd w:id="1607"/>
      <w:bookmarkEnd w:id="1608"/>
      <w:bookmarkEnd w:id="1609"/>
      <w:bookmarkEnd w:id="1610"/>
      <w:bookmarkEnd w:id="1611"/>
      <w:bookmarkEnd w:id="1612"/>
      <w:bookmarkEnd w:id="1613"/>
      <w:bookmarkEnd w:id="1614"/>
      <w:r>
        <w:rPr>
          <w:rFonts w:ascii="Times New Roman;Times;serif" w:hAnsi="Times New Roman;Times;serif"/>
          <w:sz w:val="20"/>
        </w:rPr>
        <w:t>Maturities of operating lease liabilities as of December 31, 2023 were as follows (in thousands):</w:t>
      </w:r>
    </w:p>
    <w:p>
      <w:pPr>
        <w:pStyle w:val="TextBody"/>
        <w:bidi w:val="0"/>
        <w:spacing w:before="0" w:after="0"/>
        <w:ind w:left="0" w:right="0" w:hanging="0"/>
        <w:jc w:val="both"/>
        <w:rPr/>
      </w:pPr>
      <w:r>
        <w:rPr/>
        <w:t>​</w:t>
      </w:r>
    </w:p>
    <w:tbl>
      <w:tblPr>
        <w:tblW w:w="3868" w:type="dxa"/>
        <w:jc w:val="left"/>
        <w:tblInd w:w="0" w:type="dxa"/>
        <w:tblLayout w:type="fixed"/>
        <w:tblCellMar>
          <w:top w:w="0" w:type="dxa"/>
          <w:left w:w="0" w:type="dxa"/>
          <w:bottom w:w="0" w:type="dxa"/>
          <w:right w:w="0" w:type="dxa"/>
        </w:tblCellMar>
      </w:tblPr>
      <w:tblGrid>
        <w:gridCol w:w="2656"/>
        <w:gridCol w:w="326"/>
        <w:gridCol w:w="886"/>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1686560" cy="175260"/>
                      <wp:effectExtent l="0" t="0" r="0" b="0"/>
                      <wp:wrapNone/>
                      <wp:docPr id="451" name="Frame450"/>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207010" cy="175260"/>
                      <wp:effectExtent l="0" t="0" r="0" b="0"/>
                      <wp:wrapNone/>
                      <wp:docPr id="452" name="Frame4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562610" cy="175260"/>
                      <wp:effectExtent l="0" t="0" r="0" b="0"/>
                      <wp:wrapNone/>
                      <wp:docPr id="453" name="Frame45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284,976</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193,875</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132,049</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85,279</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83,947</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106,998</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lease payments</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887,124</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(71,802)</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815,322</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1615" w:name="Tc_GObfOR280Eq0HFEQEI6hKA_8_0"/>
      <w:bookmarkStart w:id="1616" w:name="Tc_Har8SNQIXE-oaBLCZXcOtQ_7_0"/>
      <w:bookmarkStart w:id="1617" w:name="Tc_K45mUno3r0ePH1tyygPpvQ_6_0"/>
      <w:bookmarkStart w:id="1618" w:name="Tc_XD-buGwp-0ShGJYg1va59g_5_0"/>
      <w:bookmarkStart w:id="1619" w:name="Tc_LLS3VGqM1kaX1ljCWxgzMQ_4_0"/>
      <w:bookmarkStart w:id="1620" w:name="Tc_gfp1aMv55k2-ilGiEAqrwQ_3_4"/>
      <w:bookmarkStart w:id="1621" w:name="Tc_Cf8_dIkeGUqMUi6oiOmNiA_3_2"/>
      <w:bookmarkStart w:id="1622" w:name="Tc_SEM9ASicOUuz7xYuo4E_jw_2_4"/>
      <w:bookmarkStart w:id="1623" w:name="Tc_TtOcKVW7qE-kD6jAbsOyQA_2_2"/>
      <w:bookmarkStart w:id="1624" w:name="Tc_niV6mmH-X0C0Yn52gbM6_w_1_4"/>
      <w:bookmarkStart w:id="1625" w:name="Tc_OcdVY-Ipp0-1UwYz-TKTlA_1_2"/>
      <w:bookmarkStart w:id="1626" w:name="_0accf0ec_f37f_46bf_8f80_1bc04f5c60a4"/>
      <w:bookmarkStart w:id="1627" w:name="Tc_GObfOR280Eq0HFEQEI6hKA_8_0"/>
      <w:bookmarkStart w:id="1628" w:name="Tc_Har8SNQIXE-oaBLCZXcOtQ_7_0"/>
      <w:bookmarkStart w:id="1629" w:name="Tc_K45mUno3r0ePH1tyygPpvQ_6_0"/>
      <w:bookmarkStart w:id="1630" w:name="Tc_XD-buGwp-0ShGJYg1va59g_5_0"/>
      <w:bookmarkStart w:id="1631" w:name="Tc_LLS3VGqM1kaX1ljCWxgzMQ_4_0"/>
      <w:bookmarkStart w:id="1632" w:name="Tc_gfp1aMv55k2-ilGiEAqrwQ_3_4"/>
      <w:bookmarkStart w:id="1633" w:name="Tc_Cf8_dIkeGUqMUi6oiOmNiA_3_2"/>
      <w:bookmarkStart w:id="1634" w:name="Tc_SEM9ASicOUuz7xYuo4E_jw_2_4"/>
      <w:bookmarkStart w:id="1635" w:name="Tc_TtOcKVW7qE-kD6jAbsOyQA_2_2"/>
      <w:bookmarkStart w:id="1636" w:name="Tc_niV6mmH-X0C0Yn52gbM6_w_1_4"/>
      <w:bookmarkStart w:id="1637" w:name="Tc_OcdVY-Ipp0-1UwYz-TKTlA_1_2"/>
      <w:bookmarkStart w:id="1638" w:name="_0accf0ec_f37f_46bf_8f80_1bc04f5c60a4"/>
      <w:bookmarkEnd w:id="1627"/>
      <w:bookmarkEnd w:id="1628"/>
      <w:bookmarkEnd w:id="1629"/>
      <w:bookmarkEnd w:id="1630"/>
      <w:bookmarkEnd w:id="1631"/>
      <w:bookmarkEnd w:id="1632"/>
      <w:bookmarkEnd w:id="1633"/>
      <w:bookmarkEnd w:id="1634"/>
      <w:bookmarkEnd w:id="1635"/>
      <w:bookmarkEnd w:id="1636"/>
      <w:bookmarkEnd w:id="1637"/>
      <w:bookmarkEnd w:id="1638"/>
    </w:p>
    <w:tbl>
      <w:tblPr>
        <w:tblW w:w="2492" w:type="dxa"/>
        <w:jc w:val="left"/>
        <w:tblInd w:w="0" w:type="dxa"/>
        <w:tblLayout w:type="fixed"/>
        <w:tblCellMar>
          <w:top w:w="0" w:type="dxa"/>
          <w:left w:w="0" w:type="dxa"/>
          <w:bottom w:w="0" w:type="dxa"/>
          <w:right w:w="0" w:type="dxa"/>
        </w:tblCellMar>
      </w:tblPr>
      <w:tblGrid>
        <w:gridCol w:w="376"/>
        <w:gridCol w:w="2116"/>
      </w:tblGrid>
      <w:tr>
        <w:trPr/>
        <w:tc>
          <w:tcPr>
            <w:tcW w:w="37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11.</w:t>
            </w:r>
          </w:p>
        </w:tc>
        <w:tc>
          <w:tcPr>
            <w:tcW w:w="211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Long-term Investments</w:t>
            </w:r>
          </w:p>
        </w:tc>
      </w:tr>
    </w:tbl>
    <w:p>
      <w:pPr>
        <w:pStyle w:val="TextBody"/>
        <w:pBdr/>
        <w:bidi w:val="0"/>
        <w:spacing w:before="0" w:after="0"/>
        <w:ind w:left="0" w:right="0" w:hanging="504"/>
        <w:jc w:val="both"/>
        <w:rPr>
          <w:rFonts w:ascii="Times New Roman;Times;serif" w:hAnsi="Times New Roman;Times;serif"/>
          <w:sz w:val="20"/>
        </w:rPr>
      </w:pPr>
      <w:r>
        <w:rPr>
          <w:rFonts w:ascii="Times New Roman;Times;serif" w:hAnsi="Times New Roman;Times;serif"/>
          <w:sz w:val="20"/>
        </w:rPr>
        <w:t>The following is a summary of long-term investments (in thousands):</w:t>
      </w:r>
    </w:p>
    <w:p>
      <w:pPr>
        <w:pStyle w:val="TextBody"/>
        <w:pBdr/>
        <w:bidi w:val="0"/>
        <w:spacing w:before="0" w:after="0"/>
        <w:ind w:left="0" w:right="0" w:hanging="504"/>
        <w:jc w:val="both"/>
        <w:rPr/>
      </w:pPr>
      <w:r>
        <w:rPr/>
        <w:t>​</w:t>
      </w:r>
    </w:p>
    <w:tbl>
      <w:tblPr>
        <w:tblW w:w="7960" w:type="dxa"/>
        <w:jc w:val="left"/>
        <w:tblInd w:w="0" w:type="dxa"/>
        <w:tblLayout w:type="fixed"/>
        <w:tblCellMar>
          <w:top w:w="0" w:type="dxa"/>
          <w:left w:w="0" w:type="dxa"/>
          <w:bottom w:w="0" w:type="dxa"/>
          <w:right w:w="0" w:type="dxa"/>
        </w:tblCellMar>
      </w:tblPr>
      <w:tblGrid>
        <w:gridCol w:w="4981"/>
        <w:gridCol w:w="326"/>
        <w:gridCol w:w="1141"/>
        <w:gridCol w:w="326"/>
        <w:gridCol w:w="1186"/>
      </w:tblGrid>
      <w:tr>
        <w:trPr/>
        <w:tc>
          <w:tcPr>
            <w:tcW w:w="4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3162935" cy="175260"/>
                      <wp:effectExtent l="0" t="0" r="0" b="0"/>
                      <wp:wrapNone/>
                      <wp:docPr id="454" name="Frame453"/>
                      <a:graphic xmlns:a="http://schemas.openxmlformats.org/drawingml/2006/main">
                        <a:graphicData uri="http://schemas.microsoft.com/office/word/2010/wordprocessingShape">
                          <wps:wsp>
                            <wps:cNvSpPr txBox="1"/>
                            <wps:spPr>
                              <a:xfrm>
                                <a:off x="0" y="0"/>
                                <a:ext cx="3162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207010" cy="175260"/>
                      <wp:effectExtent l="0" t="0" r="0" b="0"/>
                      <wp:wrapNone/>
                      <wp:docPr id="455" name="Frame4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724535" cy="175260"/>
                      <wp:effectExtent l="0" t="0" r="0" b="0"/>
                      <wp:wrapNone/>
                      <wp:docPr id="456" name="Frame455"/>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207010" cy="175260"/>
                      <wp:effectExtent l="0" t="0" r="0" b="0"/>
                      <wp:wrapNone/>
                      <wp:docPr id="457" name="Frame4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753110" cy="175260"/>
                      <wp:effectExtent l="0" t="0" r="0" b="0"/>
                      <wp:wrapNone/>
                      <wp:docPr id="458" name="Frame457"/>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9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9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 in equity method investees</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5,239,242</w:t>
            </w:r>
          </w:p>
        </w:tc>
        <w:tc>
          <w:tcPr>
            <w:tcW w:w="32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6,109,240</w:t>
            </w:r>
          </w:p>
        </w:tc>
      </w:tr>
      <w:tr>
        <w:trPr/>
        <w:tc>
          <w:tcPr>
            <w:tcW w:w="4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investments with readily determinable fair values</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2,567,268</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3,107,266</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investments without readily determinable fair values</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10,463,304</w:t>
            </w:r>
          </w:p>
        </w:tc>
        <w:tc>
          <w:tcPr>
            <w:tcW w:w="32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12,021,518</w:t>
            </w:r>
          </w:p>
        </w:tc>
      </w:tr>
      <w:tr>
        <w:trPr/>
        <w:tc>
          <w:tcPr>
            <w:tcW w:w="4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 accounted for at fair values</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246,073</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490,781</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Debt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28,471</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54,382</w:t>
            </w:r>
          </w:p>
        </w:tc>
      </w:tr>
      <w:tr>
        <w:trPr/>
        <w:tc>
          <w:tcPr>
            <w:tcW w:w="49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18,544,358</w:t>
            </w:r>
          </w:p>
        </w:tc>
        <w:tc>
          <w:tcPr>
            <w:tcW w:w="326" w:type="dxa"/>
            <w:tcBorders/>
            <w:vAlign w:val="center"/>
          </w:tcPr>
          <w:p>
            <w:pPr>
              <w:pStyle w:val="TableContents"/>
              <w:bidi w:val="0"/>
              <w:spacing w:before="0" w:after="0"/>
              <w:ind w:left="0" w:right="0" w:hanging="0"/>
              <w:jc w:val="left"/>
              <w:rPr/>
            </w:pPr>
            <w:r>
              <w:rPr/>
              <w:t> </w:t>
            </w:r>
          </w:p>
        </w:tc>
        <w:tc>
          <w:tcPr>
            <w:tcW w:w="11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21,783,187</w:t>
            </w:r>
          </w:p>
        </w:tc>
      </w:tr>
    </w:tbl>
    <w:p>
      <w:pPr>
        <w:pStyle w:val="TextBody"/>
        <w:bidi w:val="0"/>
        <w:spacing w:before="0" w:after="0"/>
        <w:ind w:left="0" w:right="0" w:hanging="0"/>
        <w:jc w:val="both"/>
        <w:rPr/>
      </w:pPr>
      <w:r>
        <w:rPr/>
        <w:t>​</w:t>
      </w:r>
    </w:p>
    <w:tbl>
      <w:tblPr>
        <w:tblW w:w="3752" w:type="dxa"/>
        <w:jc w:val="left"/>
        <w:tblInd w:w="0" w:type="dxa"/>
        <w:tblLayout w:type="fixed"/>
        <w:tblCellMar>
          <w:top w:w="0" w:type="dxa"/>
          <w:left w:w="0" w:type="dxa"/>
          <w:bottom w:w="0" w:type="dxa"/>
          <w:right w:w="0" w:type="dxa"/>
        </w:tblCellMar>
      </w:tblPr>
      <w:tblGrid>
        <w:gridCol w:w="346"/>
        <w:gridCol w:w="3406"/>
      </w:tblGrid>
      <w:tr>
        <w:trPr/>
        <w:tc>
          <w:tcPr>
            <w:tcW w:w="34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(a)</w:t>
            </w:r>
          </w:p>
        </w:tc>
        <w:tc>
          <w:tcPr>
            <w:tcW w:w="340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Investments in equity method investees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 recorded equity share of earnings of RMB1.6 billion, RMB1.3 billion and RMB473.9 million for the years ended December 31, 2021, 2022, and 2023, respectively, which was included in “Investment income, net” in the consolidated statements of operations and comprehensive income. Significant equity method investments are summarized as follows.</w:t>
      </w:r>
    </w:p>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0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As of December 31, 2022, the Group invested an aggregated cash consideration of RMB1.9</w:t>
            </w:r>
            <w:r>
              <w:rPr>
                <w:caps w:val="false"/>
                <w:smallCaps w:val="false"/>
              </w:rPr>
              <w:t xml:space="preserve"> </w:t>
            </w:r>
            <w:r>
              <w:rPr>
                <w:rFonts w:ascii="Times New Roman;Times;serif" w:hAnsi="Times New Roman;Times;serif"/>
                <w:b w:val="false"/>
                <w:i w:val="false"/>
                <w:caps w:val="false"/>
                <w:smallCaps w:val="false"/>
                <w:sz w:val="20"/>
              </w:rPr>
              <w:t>billion in five</w:t>
            </w:r>
            <w:r>
              <w:rPr>
                <w:caps w:val="false"/>
                <w:smallCaps w:val="false"/>
              </w:rPr>
              <w:t xml:space="preserve"> </w:t>
            </w:r>
            <w:r>
              <w:rPr>
                <w:rFonts w:ascii="Times New Roman;Times;serif" w:hAnsi="Times New Roman;Times;serif"/>
                <w:b w:val="false"/>
                <w:i w:val="false"/>
                <w:caps w:val="false"/>
                <w:smallCaps w:val="false"/>
                <w:sz w:val="20"/>
              </w:rPr>
              <w:t>limited partnerships as a limited partner, and in 2023, the Group further contributed totally RMB128.2</w:t>
            </w:r>
            <w:r>
              <w:rPr>
                <w:caps w:val="false"/>
                <w:smallCaps w:val="false"/>
              </w:rPr>
              <w:t xml:space="preserve"> </w:t>
            </w:r>
            <w:r>
              <w:rPr>
                <w:rFonts w:ascii="Times New Roman;Times;serif" w:hAnsi="Times New Roman;Times;serif"/>
                <w:b w:val="false"/>
                <w:i w:val="false"/>
                <w:caps w:val="false"/>
                <w:smallCaps w:val="false"/>
                <w:sz w:val="20"/>
              </w:rPr>
              <w:t>million cash in three</w:t>
            </w:r>
            <w:r>
              <w:rPr>
                <w:caps w:val="false"/>
                <w:smallCaps w:val="false"/>
              </w:rPr>
              <w:t xml:space="preserve"> </w:t>
            </w:r>
            <w:r>
              <w:rPr>
                <w:rFonts w:ascii="Times New Roman;Times;serif" w:hAnsi="Times New Roman;Times;serif"/>
                <w:b w:val="false"/>
                <w:i w:val="false"/>
                <w:caps w:val="false"/>
                <w:smallCaps w:val="false"/>
                <w:sz w:val="20"/>
              </w:rPr>
              <w:t>of them. The objectives of these limited partnerships are to engage in investment in online game business. The Group accounted such investments under the equity method.</w:t>
            </w:r>
          </w:p>
        </w:tc>
      </w:tr>
    </w:tbl>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1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In August 2013, the Group established a joint venture with China Telecom Corp. Ltd. (“China Telecom”),</w:t>
            </w:r>
            <w:r>
              <w:rPr>
                <w:caps w:val="false"/>
                <w:smallCaps w:val="false"/>
              </w:rPr>
              <w:t xml:space="preserve"> </w:t>
            </w:r>
            <w:r>
              <w:rPr>
                <w:rFonts w:ascii="Times New Roman;Times;serif" w:hAnsi="Times New Roman;Times;serif"/>
                <w:b w:val="false"/>
                <w:i w:val="false"/>
                <w:caps w:val="false"/>
                <w:smallCaps w:val="false"/>
                <w:sz w:val="20"/>
              </w:rPr>
              <w:t>Zhejiang Yixin Technology Co., Ltd. (formerly known as Hangzhou Yixin Technology Co., Ltd.) (“Yixin”) to launch “YiChat”, a proprietary social instant messaging application for smart phones. The Group contributed RMB200.0</w:t>
            </w:r>
            <w:r>
              <w:rPr>
                <w:caps w:val="false"/>
                <w:smallCaps w:val="false"/>
              </w:rPr>
              <w:t xml:space="preserve"> </w:t>
            </w:r>
            <w:r>
              <w:rPr>
                <w:rFonts w:ascii="Times New Roman;Times;serif" w:hAnsi="Times New Roman;Times;serif"/>
                <w:b w:val="false"/>
                <w:i w:val="false"/>
                <w:caps w:val="false"/>
                <w:smallCaps w:val="false"/>
                <w:sz w:val="20"/>
              </w:rPr>
              <w:t>million cash</w:t>
            </w:r>
            <w:r>
              <w:rPr>
                <w:caps w:val="false"/>
                <w:smallCaps w:val="false"/>
              </w:rPr>
              <w:t xml:space="preserve"> </w:t>
            </w:r>
            <w:r>
              <w:rPr>
                <w:rFonts w:ascii="Times New Roman;Times;serif" w:hAnsi="Times New Roman;Times;serif"/>
                <w:b w:val="false"/>
                <w:i w:val="false"/>
                <w:caps w:val="false"/>
                <w:smallCaps w:val="false"/>
                <w:sz w:val="20"/>
              </w:rPr>
              <w:t>in exchange for a 27.0%</w:t>
            </w:r>
            <w:r>
              <w:rPr>
                <w:caps w:val="false"/>
                <w:smallCaps w:val="false"/>
              </w:rPr>
              <w:t xml:space="preserve"> </w:t>
            </w:r>
            <w:r>
              <w:rPr>
                <w:rFonts w:ascii="Times New Roman;Times;serif" w:hAnsi="Times New Roman;Times;serif"/>
                <w:b w:val="false"/>
                <w:i w:val="false"/>
                <w:caps w:val="false"/>
                <w:smallCaps w:val="false"/>
                <w:sz w:val="20"/>
              </w:rPr>
              <w:t>equity interest in Yixin. In July 2015, the Group increased its equity shares in Yixin to 35.0%</w:t>
            </w:r>
            <w:r>
              <w:rPr>
                <w:caps w:val="false"/>
                <w:smallCaps w:val="false"/>
              </w:rPr>
              <w:t xml:space="preserve"> </w:t>
            </w:r>
            <w:r>
              <w:rPr>
                <w:rFonts w:ascii="Times New Roman;Times;serif" w:hAnsi="Times New Roman;Times;serif"/>
                <w:b w:val="false"/>
                <w:i w:val="false"/>
                <w:caps w:val="false"/>
                <w:smallCaps w:val="false"/>
                <w:sz w:val="20"/>
              </w:rPr>
              <w:t>with a cash consideration of approximately RMB127.5</w:t>
            </w:r>
            <w:r>
              <w:rPr>
                <w:caps w:val="false"/>
                <w:smallCaps w:val="false"/>
              </w:rPr>
              <w:t xml:space="preserve"> </w:t>
            </w:r>
            <w:r>
              <w:rPr>
                <w:rFonts w:ascii="Times New Roman;Times;serif" w:hAnsi="Times New Roman;Times;serif"/>
                <w:b w:val="false"/>
                <w:i w:val="false"/>
                <w:caps w:val="false"/>
                <w:smallCaps w:val="false"/>
                <w:sz w:val="20"/>
              </w:rPr>
              <w:t>million.</w:t>
            </w:r>
            <w:r>
              <w:rPr>
                <w:caps w:val="false"/>
                <w:smallCaps w:val="false"/>
              </w:rPr>
              <w:t xml:space="preserve"> </w:t>
            </w:r>
            <w:r>
              <w:rPr>
                <w:rFonts w:ascii="Times New Roman;Times;serif" w:hAnsi="Times New Roman;Times;serif"/>
                <w:b w:val="false"/>
                <w:i w:val="false"/>
                <w:caps w:val="false"/>
                <w:smallCaps w:val="false"/>
                <w:sz w:val="20"/>
              </w:rPr>
              <w:t>Full impairment amounted to RMB197.7</w:t>
            </w:r>
            <w:r>
              <w:rPr>
                <w:caps w:val="false"/>
                <w:smallCaps w:val="false"/>
              </w:rPr>
              <w:t xml:space="preserve"> </w:t>
            </w:r>
            <w:r>
              <w:rPr>
                <w:rFonts w:ascii="Times New Roman;Times;serif" w:hAnsi="Times New Roman;Times;serif"/>
                <w:b w:val="false"/>
                <w:i w:val="false"/>
                <w:caps w:val="false"/>
                <w:smallCaps w:val="false"/>
                <w:sz w:val="20"/>
              </w:rPr>
              <w:t>million was made for this investment due to the investee not performing to expectation for the year ended December 31, 2022.</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5282" w:type="dxa"/>
        <w:jc w:val="left"/>
        <w:tblInd w:w="0" w:type="dxa"/>
        <w:tblLayout w:type="fixed"/>
        <w:tblCellMar>
          <w:top w:w="0" w:type="dxa"/>
          <w:left w:w="0" w:type="dxa"/>
          <w:bottom w:w="0" w:type="dxa"/>
          <w:right w:w="0" w:type="dxa"/>
        </w:tblCellMar>
      </w:tblPr>
      <w:tblGrid>
        <w:gridCol w:w="346"/>
        <w:gridCol w:w="4936"/>
      </w:tblGrid>
      <w:tr>
        <w:trPr/>
        <w:tc>
          <w:tcPr>
            <w:tcW w:w="34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(b)</w:t>
            </w:r>
          </w:p>
        </w:tc>
        <w:tc>
          <w:tcPr>
            <w:tcW w:w="493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Equity investments with readily determinable fair values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2023, equity investments with readily determinable fair values mainly included RMB991.6 million invested in shares of AppLovin Corporation, RMB983.4 million invested in shares of Alibaba Group Holding Limited, RMB493.0 million invested in shares of Shenzhen Transsion Holding Limited, RMB419.0 million invested in shares of Huatai Securities Company Limited and RMB152.9 million invested in shares of Embracer Group AB (publ). The Group recorded fair value gain of RMB91.1 million, fair value loss of RMB3.4 billion and fair value gain of RMB535.3 million related to the equity investments with readily determinable fair value for the year ended December 31, 2021, 2022 and 2023,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 also recorded cash dividend income of RMB18.9 million, RMB26.5 million and RMB51.0 million from these investments for the years ended December 31, 2021, 2022 and 2023, respectively.</w:t>
      </w:r>
    </w:p>
    <w:tbl>
      <w:tblPr>
        <w:tblW w:w="5462" w:type="dxa"/>
        <w:jc w:val="left"/>
        <w:tblInd w:w="0" w:type="dxa"/>
        <w:tblLayout w:type="fixed"/>
        <w:tblCellMar>
          <w:top w:w="0" w:type="dxa"/>
          <w:left w:w="0" w:type="dxa"/>
          <w:bottom w:w="0" w:type="dxa"/>
          <w:right w:w="0" w:type="dxa"/>
        </w:tblCellMar>
      </w:tblPr>
      <w:tblGrid>
        <w:gridCol w:w="331"/>
        <w:gridCol w:w="5131"/>
      </w:tblGrid>
      <w:tr>
        <w:trPr/>
        <w:tc>
          <w:tcPr>
            <w:tcW w:w="33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(c)</w:t>
            </w:r>
          </w:p>
        </w:tc>
        <w:tc>
          <w:tcPr>
            <w:tcW w:w="513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Equity investments without readily determinable fair value</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Equity investments without readily determinable fair value represent investments in privately held companies with no readily determinable fair value. The Group does not have significant influence on these investees, or the investments are not common stock or in substance common stock. These investments are classified as equity investments without readily determinable fair value, and are carried at cost less impairment, plus or minus changes resulting from observable price changes in orderly transactions for the identical or a similar investment of the same issuer. For the year ended December 31, 2021, 2022 and 2023, RMB380.8 million, nil and nil upward adjustments to the carrying value of equity securities without readily determinable fair value resulted from such transactions were recognized as “Investment income, net” in the consolidated statements of operations and comprehensive income,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 recognized a gain of RMB172.5 million, RMB1,784.9 million and RMB22.3 million related to the disposal of the Group’s investments in equity securities without readily determinable fair value as “Investment income, net” in the consolidated statements of operations and comprehensive income for the years ended December 31, 2021, 2022 and 2023, respectively.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Group recognized impairment provision of RMB19.2 million, RMB85.2 million and RMB274.2 million related to certain of the equity investments without readily determinable fair value as “Investment income, net” in the consolidated statements of operations and comprehensive income for the years ended December 31, 2021, 2022 and 2023, respectively. </w:t>
      </w:r>
    </w:p>
    <w:p>
      <w:pPr>
        <w:pStyle w:val="TextBody"/>
        <w:bidi w:val="0"/>
        <w:spacing w:before="0" w:after="0"/>
        <w:ind w:left="0" w:right="0" w:hanging="0"/>
        <w:jc w:val="both"/>
        <w:rPr/>
      </w:pPr>
      <w:r>
        <w:rPr/>
        <w:t>​</w:t>
      </w:r>
    </w:p>
    <w:p>
      <w:pPr>
        <w:pStyle w:val="TextBody"/>
        <w:bidi w:val="0"/>
        <w:spacing w:before="0" w:after="0"/>
        <w:ind w:left="720" w:right="0" w:hanging="0"/>
        <w:jc w:val="both"/>
        <w:rPr/>
      </w:pPr>
      <w:r>
        <w:rPr/>
        <w:t>​</w:t>
      </w:r>
    </w:p>
    <w:p>
      <w:pPr>
        <w:pStyle w:val="Normal"/>
        <w:bidi w:val="0"/>
        <w:spacing w:before="0" w:after="0"/>
        <w:jc w:val="left"/>
        <w:rPr>
          <w:sz w:val="4"/>
          <w:szCs w:val="4"/>
        </w:rPr>
      </w:pPr>
      <w:r>
        <w:rPr>
          <w:sz w:val="4"/>
          <w:szCs w:val="4"/>
        </w:rPr>
      </w:r>
      <w:bookmarkStart w:id="1639" w:name="Tc_c25WJuV3rkCM3Y5gg7ePoA_10_0"/>
      <w:bookmarkStart w:id="1640" w:name="Tc_dgaNomZ0eU65us4pKvKmTA_9_0"/>
      <w:bookmarkStart w:id="1641" w:name="Tc_LYiXx83hxEen0-iovlGyfg_8_0"/>
      <w:bookmarkStart w:id="1642" w:name="Tc_J1QoQXWLYUKIQeu6qo23nA_7_0"/>
      <w:bookmarkStart w:id="1643" w:name="Tc_NtPKuuZqfEmmdjeIdwMU1g_6_0"/>
      <w:bookmarkStart w:id="1644" w:name="Tc_r34loWvTzE6g6Hw6MSJP0w_5_0"/>
      <w:bookmarkStart w:id="1645" w:name="Tc_EdFqEq7yhUiHftTkN1QaDQ_4_0"/>
      <w:bookmarkStart w:id="1646" w:name="Tc_HmqpZ4JXLUWyKAMVGmjiyA_3_4"/>
      <w:bookmarkStart w:id="1647" w:name="Tc_gnh0NsA9SkK3T8NLZqA5sA_3_2"/>
      <w:bookmarkStart w:id="1648" w:name="Tc_RwcIeChvE0O3S1LiIkvWQA_2_4"/>
      <w:bookmarkStart w:id="1649" w:name="Tc_Ei-OxsQMJk6sY04lQ8wx3w_2_2"/>
      <w:bookmarkStart w:id="1650" w:name="Tc_yHlQOoqFoEeUV6PcVfKKRg_1_4"/>
      <w:bookmarkStart w:id="1651" w:name="Tc_LmKOEfH4wUSiOfvTsXxIDQ_1_2"/>
      <w:bookmarkStart w:id="1652" w:name="_4444197e_c498_4272_9f02_88f636774a75"/>
      <w:bookmarkStart w:id="1653" w:name="Tc_c25WJuV3rkCM3Y5gg7ePoA_10_0"/>
      <w:bookmarkStart w:id="1654" w:name="Tc_dgaNomZ0eU65us4pKvKmTA_9_0"/>
      <w:bookmarkStart w:id="1655" w:name="Tc_LYiXx83hxEen0-iovlGyfg_8_0"/>
      <w:bookmarkStart w:id="1656" w:name="Tc_J1QoQXWLYUKIQeu6qo23nA_7_0"/>
      <w:bookmarkStart w:id="1657" w:name="Tc_NtPKuuZqfEmmdjeIdwMU1g_6_0"/>
      <w:bookmarkStart w:id="1658" w:name="Tc_r34loWvTzE6g6Hw6MSJP0w_5_0"/>
      <w:bookmarkStart w:id="1659" w:name="Tc_EdFqEq7yhUiHftTkN1QaDQ_4_0"/>
      <w:bookmarkStart w:id="1660" w:name="Tc_HmqpZ4JXLUWyKAMVGmjiyA_3_4"/>
      <w:bookmarkStart w:id="1661" w:name="Tc_gnh0NsA9SkK3T8NLZqA5sA_3_2"/>
      <w:bookmarkStart w:id="1662" w:name="Tc_RwcIeChvE0O3S1LiIkvWQA_2_4"/>
      <w:bookmarkStart w:id="1663" w:name="Tc_Ei-OxsQMJk6sY04lQ8wx3w_2_2"/>
      <w:bookmarkStart w:id="1664" w:name="Tc_yHlQOoqFoEeUV6PcVfKKRg_1_4"/>
      <w:bookmarkStart w:id="1665" w:name="Tc_LmKOEfH4wUSiOfvTsXxIDQ_1_2"/>
      <w:bookmarkStart w:id="1666" w:name="_4444197e_c498_4272_9f02_88f636774a75"/>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p>
    <w:tbl>
      <w:tblPr>
        <w:tblW w:w="2537" w:type="dxa"/>
        <w:jc w:val="left"/>
        <w:tblInd w:w="0" w:type="dxa"/>
        <w:tblLayout w:type="fixed"/>
        <w:tblCellMar>
          <w:top w:w="0" w:type="dxa"/>
          <w:left w:w="0" w:type="dxa"/>
          <w:bottom w:w="0" w:type="dxa"/>
          <w:right w:w="0" w:type="dxa"/>
        </w:tblCellMar>
      </w:tblPr>
      <w:tblGrid>
        <w:gridCol w:w="376"/>
        <w:gridCol w:w="2161"/>
      </w:tblGrid>
      <w:tr>
        <w:trPr/>
        <w:tc>
          <w:tcPr>
            <w:tcW w:w="37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12.</w:t>
            </w:r>
          </w:p>
        </w:tc>
        <w:tc>
          <w:tcPr>
            <w:tcW w:w="216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Other Long-term Assets</w:t>
            </w:r>
          </w:p>
        </w:tc>
      </w:tr>
    </w:tbl>
    <w:p>
      <w:pPr>
        <w:pStyle w:val="TextBody"/>
        <w:pBdr/>
        <w:bidi w:val="0"/>
        <w:spacing w:before="0" w:after="0"/>
        <w:ind w:left="0" w:right="0" w:hanging="360"/>
        <w:jc w:val="both"/>
        <w:rPr>
          <w:rFonts w:ascii="Times New Roman;Times;serif" w:hAnsi="Times New Roman;Times;serif"/>
          <w:sz w:val="20"/>
        </w:rPr>
      </w:pPr>
      <w:r>
        <w:rPr>
          <w:rFonts w:ascii="Times New Roman;Times;serif" w:hAnsi="Times New Roman;Times;serif"/>
          <w:sz w:val="20"/>
        </w:rPr>
        <w:t>The following is a summary of other long-term assets (in thousands):</w:t>
      </w:r>
    </w:p>
    <w:p>
      <w:pPr>
        <w:pStyle w:val="TextBody"/>
        <w:pBdr/>
        <w:bidi w:val="0"/>
        <w:spacing w:before="0" w:after="0"/>
        <w:ind w:left="0" w:right="0" w:hanging="360"/>
        <w:jc w:val="both"/>
        <w:rPr/>
      </w:pPr>
      <w:r>
        <w:rPr/>
        <w:t>​</w:t>
      </w:r>
    </w:p>
    <w:tbl>
      <w:tblPr>
        <w:tblW w:w="8230" w:type="dxa"/>
        <w:jc w:val="left"/>
        <w:tblInd w:w="0" w:type="dxa"/>
        <w:tblLayout w:type="fixed"/>
        <w:tblCellMar>
          <w:top w:w="0" w:type="dxa"/>
          <w:left w:w="0" w:type="dxa"/>
          <w:bottom w:w="0" w:type="dxa"/>
          <w:right w:w="0" w:type="dxa"/>
        </w:tblCellMar>
      </w:tblPr>
      <w:tblGrid>
        <w:gridCol w:w="5251"/>
        <w:gridCol w:w="326"/>
        <w:gridCol w:w="1141"/>
        <w:gridCol w:w="326"/>
        <w:gridCol w:w="1186"/>
      </w:tblGrid>
      <w:tr>
        <w:trPr/>
        <w:tc>
          <w:tcPr>
            <w:tcW w:w="5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3334385" cy="175260"/>
                      <wp:effectExtent l="0" t="0" r="0" b="0"/>
                      <wp:wrapNone/>
                      <wp:docPr id="459" name="Frame458"/>
                      <a:graphic xmlns:a="http://schemas.openxmlformats.org/drawingml/2006/main">
                        <a:graphicData uri="http://schemas.microsoft.com/office/word/2010/wordprocessingShape">
                          <wps:wsp>
                            <wps:cNvSpPr txBox="1"/>
                            <wps:spPr>
                              <a:xfrm>
                                <a:off x="0" y="0"/>
                                <a:ext cx="3334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207010" cy="175260"/>
                      <wp:effectExtent l="0" t="0" r="0" b="0"/>
                      <wp:wrapNone/>
                      <wp:docPr id="460" name="Frame4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724535" cy="175260"/>
                      <wp:effectExtent l="0" t="0" r="0" b="0"/>
                      <wp:wrapNone/>
                      <wp:docPr id="461" name="Frame460"/>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207010" cy="175260"/>
                      <wp:effectExtent l="0" t="0" r="0" b="0"/>
                      <wp:wrapNone/>
                      <wp:docPr id="462" name="Frame4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753110" cy="175260"/>
                      <wp:effectExtent l="0" t="0" r="0" b="0"/>
                      <wp:wrapNone/>
                      <wp:docPr id="463" name="Frame462"/>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52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2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52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Copyrights, licenses, domain names, trademark and technology</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2,117,688</w:t>
            </w:r>
          </w:p>
        </w:tc>
        <w:tc>
          <w:tcPr>
            <w:tcW w:w="32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1,884,603</w:t>
            </w:r>
          </w:p>
        </w:tc>
      </w:tr>
      <w:tr>
        <w:trPr/>
        <w:tc>
          <w:tcPr>
            <w:tcW w:w="52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Goodwill </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2,166,486</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1,855,394</w:t>
            </w:r>
          </w:p>
        </w:tc>
      </w:tr>
      <w:tr>
        <w:trPr/>
        <w:tc>
          <w:tcPr>
            <w:tcW w:w="52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receivable</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1,638,572</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1,500,100</w:t>
            </w:r>
          </w:p>
        </w:tc>
      </w:tr>
      <w:tr>
        <w:trPr/>
        <w:tc>
          <w:tcPr>
            <w:tcW w:w="52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Non-current deposits </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174,357</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179,399</w:t>
            </w:r>
          </w:p>
        </w:tc>
      </w:tr>
      <w:tr>
        <w:trPr/>
        <w:tc>
          <w:tcPr>
            <w:tcW w:w="52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interest receivables</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100,397</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38,174</w:t>
            </w:r>
          </w:p>
        </w:tc>
      </w:tr>
      <w:tr>
        <w:trPr/>
        <w:tc>
          <w:tcPr>
            <w:tcW w:w="52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Staff housing loans</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39,228</w:t>
            </w:r>
          </w:p>
        </w:tc>
        <w:tc>
          <w:tcPr>
            <w:tcW w:w="32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34,690</w:t>
            </w:r>
          </w:p>
        </w:tc>
      </w:tr>
      <w:tr>
        <w:trPr/>
        <w:tc>
          <w:tcPr>
            <w:tcW w:w="52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569,727</w:t>
            </w:r>
          </w:p>
        </w:tc>
        <w:tc>
          <w:tcPr>
            <w:tcW w:w="326" w:type="dxa"/>
            <w:tcBorders/>
            <w:shd w:fill="CCEEFF" w:val="clear"/>
            <w:vAlign w:val="center"/>
          </w:tcPr>
          <w:p>
            <w:pPr>
              <w:pStyle w:val="TableContents"/>
              <w:bidi w:val="0"/>
              <w:spacing w:before="0" w:after="0"/>
              <w:ind w:left="0" w:right="0" w:hanging="0"/>
              <w:jc w:val="left"/>
              <w:rPr/>
            </w:pPr>
            <w:r>
              <w:rPr/>
              <w:t> </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446,746</w:t>
            </w:r>
          </w:p>
        </w:tc>
      </w:tr>
      <w:tr>
        <w:trPr/>
        <w:tc>
          <w:tcPr>
            <w:tcW w:w="52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6,806,455</w:t>
            </w:r>
          </w:p>
        </w:tc>
        <w:tc>
          <w:tcPr>
            <w:tcW w:w="326" w:type="dxa"/>
            <w:tcBorders/>
            <w:vAlign w:val="center"/>
          </w:tcPr>
          <w:p>
            <w:pPr>
              <w:pStyle w:val="TableContents"/>
              <w:bidi w:val="0"/>
              <w:spacing w:before="0" w:after="0"/>
              <w:ind w:left="0" w:right="0" w:hanging="0"/>
              <w:jc w:val="left"/>
              <w:rPr/>
            </w:pPr>
            <w:r>
              <w:rPr/>
              <w:t> </w:t>
            </w:r>
          </w:p>
        </w:tc>
        <w:tc>
          <w:tcPr>
            <w:tcW w:w="11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5,939,106</w:t>
            </w:r>
          </w:p>
        </w:tc>
      </w:tr>
    </w:tbl>
    <w:p>
      <w:pPr>
        <w:pStyle w:val="TextBody"/>
        <w:pBdr/>
        <w:bidi w:val="0"/>
        <w:spacing w:before="0" w:after="0"/>
        <w:ind w:left="0" w:right="0" w:hanging="36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Balances of copyrights and licenses represents prepaid minimum royalties for exploitation of related intellectual properties, which was amortized over the term of the respective licensing agreements or estimated amortization periods.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bookmarkStart w:id="1667" w:name="Tc_TUDqo5SLckqX15QR5H0-Fw_7_0"/>
      <w:bookmarkStart w:id="1668" w:name="Tc_ADBIwZyD9kiKf16OpagNWg_6_2"/>
      <w:bookmarkStart w:id="1669" w:name="Tc_3TXOcMQgcUCfhrALR1pz6w_6_0"/>
      <w:bookmarkStart w:id="1670" w:name="Tc_hMgPxMPlJ0WVEmmSbCWpYg_5_4"/>
      <w:bookmarkStart w:id="1671" w:name="Tc_aLY6q16RHUG-OJo32mHcTg_5_0"/>
      <w:bookmarkStart w:id="1672" w:name="Tc_nSNt0ZNhaUm-fkidTFvx7w_4_0"/>
      <w:bookmarkStart w:id="1673" w:name="Tc_QIzWZi_wrEe_2C3v-kpMBw_3_4"/>
      <w:bookmarkStart w:id="1674" w:name="Tc_iF4Mx1jZGEuH_ebt5rfCGw_3_2"/>
      <w:bookmarkStart w:id="1675" w:name="Tc__2kWIKT_h0izVvRT0zeTUw_2_4"/>
      <w:bookmarkStart w:id="1676" w:name="Tc_Tncx3EtYgU6Hw_edbLMD7A_2_2"/>
      <w:bookmarkStart w:id="1677" w:name="Tc_nFRNdoTtn0SDNTvxqwPPFg_1_4"/>
      <w:bookmarkStart w:id="1678" w:name="Tc_wmKZJnHCYkWa-7ueoophjA_1_2"/>
      <w:bookmarkEnd w:id="1667"/>
      <w:bookmarkEnd w:id="1668"/>
      <w:bookmarkEnd w:id="1669"/>
      <w:bookmarkEnd w:id="1670"/>
      <w:bookmarkEnd w:id="1671"/>
      <w:bookmarkEnd w:id="1672"/>
      <w:bookmarkEnd w:id="1673"/>
      <w:bookmarkEnd w:id="1674"/>
      <w:bookmarkEnd w:id="1675"/>
      <w:bookmarkEnd w:id="1676"/>
      <w:bookmarkEnd w:id="1677"/>
      <w:bookmarkEnd w:id="1678"/>
      <w:r>
        <w:rPr>
          <w:rFonts w:ascii="Times New Roman;Times;serif" w:hAnsi="Times New Roman;Times;serif"/>
          <w:i/>
          <w:sz w:val="20"/>
        </w:rPr>
        <w:t>Goodwill</w:t>
      </w:r>
    </w:p>
    <w:p>
      <w:pPr>
        <w:pStyle w:val="TextBody"/>
        <w:bidi w:val="0"/>
        <w:spacing w:before="0" w:after="0"/>
        <w:ind w:left="0" w:right="0" w:hanging="0"/>
        <w:jc w:val="left"/>
        <w:rPr/>
      </w:pPr>
      <w:r>
        <w:rPr/>
        <w:t>​</w:t>
      </w:r>
    </w:p>
    <w:tbl>
      <w:tblPr>
        <w:tblW w:w="4555" w:type="dxa"/>
        <w:jc w:val="left"/>
        <w:tblInd w:w="0" w:type="dxa"/>
        <w:tblLayout w:type="fixed"/>
        <w:tblCellMar>
          <w:top w:w="0" w:type="dxa"/>
          <w:left w:w="0" w:type="dxa"/>
          <w:bottom w:w="0" w:type="dxa"/>
          <w:right w:w="0" w:type="dxa"/>
        </w:tblCellMar>
      </w:tblPr>
      <w:tblGrid>
        <w:gridCol w:w="1666"/>
        <w:gridCol w:w="326"/>
        <w:gridCol w:w="1096"/>
        <w:gridCol w:w="326"/>
        <w:gridCol w:w="1141"/>
      </w:tblGrid>
      <w:tr>
        <w:trPr/>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1057910" cy="175260"/>
                      <wp:effectExtent l="0" t="0" r="0" b="0"/>
                      <wp:wrapNone/>
                      <wp:docPr id="464" name="Frame463"/>
                      <a:graphic xmlns:a="http://schemas.openxmlformats.org/drawingml/2006/main">
                        <a:graphicData uri="http://schemas.microsoft.com/office/word/2010/wordprocessingShape">
                          <wps:wsp>
                            <wps:cNvSpPr txBox="1"/>
                            <wps:spPr>
                              <a:xfrm>
                                <a:off x="0" y="0"/>
                                <a:ext cx="1057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207010" cy="175260"/>
                      <wp:effectExtent l="0" t="0" r="0" b="0"/>
                      <wp:wrapNone/>
                      <wp:docPr id="465" name="Frame4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695960" cy="175260"/>
                      <wp:effectExtent l="0" t="0" r="0" b="0"/>
                      <wp:wrapNone/>
                      <wp:docPr id="466" name="Frame465"/>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207010" cy="175260"/>
                      <wp:effectExtent l="0" t="0" r="0" b="0"/>
                      <wp:wrapNone/>
                      <wp:docPr id="467" name="Frame4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724535" cy="175260"/>
                      <wp:effectExtent l="0" t="0" r="0" b="0"/>
                      <wp:wrapNone/>
                      <wp:docPr id="468" name="Frame467"/>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16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6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balance</w:t>
            </w:r>
          </w:p>
        </w:tc>
        <w:tc>
          <w:tcPr>
            <w:tcW w:w="32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595,280</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2,166,486</w: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w:t>
            </w:r>
          </w:p>
        </w:tc>
        <w:tc>
          <w:tcPr>
            <w:tcW w:w="32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1,571,206</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r>
      <w:tr>
        <w:trPr/>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Disposal</w:t>
            </w:r>
          </w:p>
        </w:tc>
        <w:tc>
          <w:tcPr>
            <w:tcW w:w="326" w:type="dxa"/>
            <w:tcBorders/>
            <w:shd w:fill="CCEEFF" w:val="clear"/>
            <w:vAlign w:val="center"/>
          </w:tcPr>
          <w:p>
            <w:pPr>
              <w:pStyle w:val="TableContents"/>
              <w:bidi w:val="0"/>
              <w:spacing w:before="0" w:after="0"/>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(311,092)</w: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Ending balance</w:t>
            </w:r>
          </w:p>
        </w:tc>
        <w:tc>
          <w:tcPr>
            <w:tcW w:w="326" w:type="dxa"/>
            <w:tcBorders/>
            <w:vAlign w:val="center"/>
          </w:tcPr>
          <w:p>
            <w:pPr>
              <w:pStyle w:val="TableContents"/>
              <w:bidi w:val="0"/>
              <w:spacing w:before="0" w:after="0"/>
              <w:ind w:left="0" w:right="0" w:hanging="0"/>
              <w:jc w:val="left"/>
              <w:rPr/>
            </w:pPr>
            <w:r>
              <w:rPr/>
              <w:t> </w:t>
            </w:r>
          </w:p>
        </w:tc>
        <w:tc>
          <w:tcPr>
            <w:tcW w:w="10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2,166,486</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1,855,394</w:t>
            </w:r>
          </w:p>
        </w:tc>
      </w:tr>
    </w:tbl>
    <w:p>
      <w:pPr>
        <w:pStyle w:val="TextBody"/>
        <w:pBdr/>
        <w:bidi w:val="0"/>
        <w:spacing w:before="0" w:after="0"/>
        <w:ind w:left="0" w:right="0" w:hanging="36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years ended December 31, 2022 and 2023, the carrying value of goodwill was mainly recorded under the games and related value-added services segment.The Group performed impairment tests using the qualitative and quantitative method and concluded that the goodwill was not impaired as at December 31, 2022 and 2023, therefore, no provision was recorded.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Group made housing loans to its employees (excluding executive officers) for house purchases via a third-party commercial bank in China. Each individual staff housing loan is collateralized either by the property for which the loan is extended or by approved personal guarantees for the loan amount granted. The repayment term is five years from the date of drawdown. The interest rate is fixed varying from 2.1% to 4.75% per annum both for the years ended December 31, 2022 and 2023, respectively. The outstanding portion of the staff housing loans repayable within 12 months as of December 31, 2022 and 2023 amounted to approximately RMB22.7 million and RMB18.2 million, respectively. The amounts are reported under “Prepayments and other current assets” in the consolidated balance sheets (see Note 6).</w:t>
      </w:r>
    </w:p>
    <w:p>
      <w:pPr>
        <w:pStyle w:val="TextBody"/>
        <w:bidi w:val="0"/>
        <w:spacing w:before="0" w:after="0"/>
        <w:ind w:left="0" w:right="0" w:hanging="0"/>
        <w:jc w:val="both"/>
        <w:rPr/>
      </w:pPr>
      <w:r>
        <w:rPr/>
        <w:t>​</w:t>
      </w:r>
    </w:p>
    <w:p>
      <w:pPr>
        <w:pStyle w:val="TextBody"/>
        <w:pBdr/>
        <w:bidi w:val="0"/>
        <w:spacing w:before="0" w:after="0"/>
        <w:ind w:left="0" w:right="0" w:hanging="360"/>
        <w:jc w:val="both"/>
        <w:rPr/>
      </w:pPr>
      <w:r>
        <w:rPr/>
        <w:t>​</w:t>
      </w:r>
    </w:p>
    <w:tbl>
      <w:tblPr>
        <w:tblW w:w="1307" w:type="dxa"/>
        <w:jc w:val="left"/>
        <w:tblInd w:w="0" w:type="dxa"/>
        <w:tblLayout w:type="fixed"/>
        <w:tblCellMar>
          <w:top w:w="0" w:type="dxa"/>
          <w:left w:w="0" w:type="dxa"/>
          <w:bottom w:w="0" w:type="dxa"/>
          <w:right w:w="0" w:type="dxa"/>
        </w:tblCellMar>
      </w:tblPr>
      <w:tblGrid>
        <w:gridCol w:w="376"/>
        <w:gridCol w:w="931"/>
      </w:tblGrid>
      <w:tr>
        <w:trPr/>
        <w:tc>
          <w:tcPr>
            <w:tcW w:w="37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13.</w:t>
            </w:r>
          </w:p>
        </w:tc>
        <w:tc>
          <w:tcPr>
            <w:tcW w:w="93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Taxation</w:t>
            </w:r>
          </w:p>
        </w:tc>
      </w:tr>
    </w:tbl>
    <w:tbl>
      <w:tblPr>
        <w:tblW w:w="1607" w:type="dxa"/>
        <w:jc w:val="left"/>
        <w:tblInd w:w="0" w:type="dxa"/>
        <w:tblLayout w:type="fixed"/>
        <w:tblCellMar>
          <w:top w:w="0" w:type="dxa"/>
          <w:left w:w="0" w:type="dxa"/>
          <w:bottom w:w="0" w:type="dxa"/>
          <w:right w:w="0" w:type="dxa"/>
        </w:tblCellMar>
      </w:tblPr>
      <w:tblGrid>
        <w:gridCol w:w="346"/>
        <w:gridCol w:w="1261"/>
      </w:tblGrid>
      <w:tr>
        <w:trPr/>
        <w:tc>
          <w:tcPr>
            <w:tcW w:w="34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(a)</w:t>
            </w:r>
          </w:p>
        </w:tc>
        <w:tc>
          <w:tcPr>
            <w:tcW w:w="126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Income taxes</w:t>
            </w:r>
          </w:p>
        </w:tc>
      </w:tr>
    </w:tbl>
    <w:p>
      <w:pPr>
        <w:pStyle w:val="TextBody"/>
        <w:pBdr/>
        <w:bidi w:val="0"/>
        <w:spacing w:before="0" w:after="240"/>
        <w:ind w:left="0" w:right="0" w:hanging="360"/>
        <w:jc w:val="both"/>
        <w:rPr>
          <w:rFonts w:ascii="Times New Roman;Times;serif" w:hAnsi="Times New Roman;Times;serif"/>
          <w:i/>
          <w:sz w:val="20"/>
        </w:rPr>
      </w:pPr>
      <w:r>
        <w:rPr>
          <w:rFonts w:ascii="Times New Roman;Times;serif" w:hAnsi="Times New Roman;Times;serif"/>
          <w:i/>
          <w:sz w:val="20"/>
        </w:rPr>
        <w:t>Cayman Islands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the current laws of the Cayman Islands, the Company, and its intermediate holding companies in the Cayman Islands are not subject to tax on income or capital gain. Additionally, upon payments of dividends by the Company or its subsidiaries in the Cayman Islands to their shareholders, no Cayman Islands withholding tax will be imposed.</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British Virgin Islands (“BVI”)</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Subsidiaries in the BVI are exempted from income tax on its foreign-derived income in the BVI. There are no withholding taxes in the BVI.</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Hong Kong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Subsidiaries in Hong Kong are subject to 16.5% income tax on their taxable income generated from operations in Hong Kong. For the years ended December 31, 2021, 2022 and 2023, the first HK$2 million of profits earned by one of the Company’s subsidiaries incorporated in Hong Kong is taxed at half the current tax rate (i.e., 8.25%) while the remaining profits will continue to be taxed at the existing 16.5% tax rate. The payments of dividends by these companies to their shareholders are not subject to any Hong Kong withholding tax.</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China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the EIT Law, Foreign Invested Enterprises (“FIEs”) and domestic companies would be subject to EIT at a uniform rate of 25%. Preferential tax treatments will continue to be granted to FIEs or domestic companies which conduct businesses in certain encouraged sectors and to entities otherwise classified as “Software Enterprises”, “Key Software Enterprises” and/or “High and New Technology Enterprises” (“HNTEs”). The EIT Law became effective on January 1, 2008.</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679" w:name="Tc_mVqx5Nne8UiZpXCJ9KF9SQ_10_0"/>
      <w:bookmarkStart w:id="1680" w:name="Tc_3htCMPPNikS4gvCuFB8eAA_9_0"/>
      <w:bookmarkStart w:id="1681" w:name="Tc_vryhofl3OUSknHxChSlwGA_8_0"/>
      <w:bookmarkStart w:id="1682" w:name="Tc_4-Ekmyqa-EO9CzJySoJYJw_7_0"/>
      <w:bookmarkStart w:id="1683" w:name="Tc_MbQWjtT5Sk-fThueITEiww_6_0"/>
      <w:bookmarkStart w:id="1684" w:name="Tc_E4PGPIRO6UGv77YQNNwJlQ_5_0"/>
      <w:bookmarkStart w:id="1685" w:name="Tc_GIqUm-Shj0aSU_PRd7aJxg_4_0"/>
      <w:bookmarkStart w:id="1686" w:name="Tc_ompwuMQrQ0-A6EQrWOCESw_3_6"/>
      <w:bookmarkStart w:id="1687" w:name="Tc_SclPZN4x6UqjQUqZfGYnZA_3_4"/>
      <w:bookmarkStart w:id="1688" w:name="Tc_yhZpKCAk9EW_1WqbdaAHMQ_3_2"/>
      <w:bookmarkStart w:id="1689" w:name="Tc_h3PUmXYQCUqh1dVvYqf-EQ_2_6"/>
      <w:bookmarkStart w:id="1690" w:name="Tc_k5ezYLpjlEmlC1GNpJ5t6A_2_4"/>
      <w:bookmarkStart w:id="1691" w:name="Tc_-HP3aoMNuE2xkoq-Gh-aBQ_2_2"/>
      <w:bookmarkStart w:id="1692" w:name="Tc_SAAAICXqMEGCR3jdoaWM2g_1_2"/>
      <w:bookmarkStart w:id="1693" w:name="_04ce4e7a_59c8_44fb_ab6d_723d11b9ac01"/>
      <w:bookmarkStart w:id="1694" w:name="Tc_v4x8Nrakv0iB2pPQtqebxQ_6_0"/>
      <w:bookmarkStart w:id="1695" w:name="Tc_lzaHZkV62Em-4c49ulhE0A_5_0"/>
      <w:bookmarkStart w:id="1696" w:name="Tc_WZHDfMYgGE26NRRqFwwlxA_4_0"/>
      <w:bookmarkStart w:id="1697" w:name="Tc_ud7hVigHsUq2sKrwakuZag_3_6"/>
      <w:bookmarkStart w:id="1698" w:name="Tc_QN7_FVtbKk2-juKClzcGQA_3_4"/>
      <w:bookmarkStart w:id="1699" w:name="Tc_eetYHe69cUuYC-3sY7ybrw_3_2"/>
      <w:bookmarkStart w:id="1700" w:name="Tc_6x76q5FKeE2c2c7xvI7irA_2_6"/>
      <w:bookmarkStart w:id="1701" w:name="Tc_CbAF4Y-px0-juLXYWoj0IQ_2_4"/>
      <w:bookmarkStart w:id="1702" w:name="Tc_gBS42z6DyEiWTlTJIxPxZA_2_2"/>
      <w:bookmarkStart w:id="1703" w:name="Tc_NJLjV-l1okKI2FyGq2UERg_1_2"/>
      <w:bookmarkStart w:id="1704" w:name="_bfbc79ae_16e4_43d3_8cc2_82cb294c55eb"/>
      <w:bookmarkStart w:id="1705" w:name="Tc__IbkKbMZ80Sdh-MkVH6bwg_6_0"/>
      <w:bookmarkStart w:id="1706" w:name="Tc_7ig_-IxtTUuz8cVQEV4rhQ_5_0"/>
      <w:bookmarkStart w:id="1707" w:name="Tc_3g89N3VJUEau23V7ipnwlA_4_0"/>
      <w:bookmarkStart w:id="1708" w:name="Tc_M8q1Lg2RGku2Y_1P3CKcVw_3_6"/>
      <w:bookmarkStart w:id="1709" w:name="Tc_7-Wz9zr8fUyEGOBOOPjZFg_3_4"/>
      <w:bookmarkStart w:id="1710" w:name="Tc_SQfBkTtZnkCejwITwTv50w_3_2"/>
      <w:bookmarkStart w:id="1711" w:name="Tc_wcRG9ESLB0S2sZf3a3VKQg_2_6"/>
      <w:bookmarkStart w:id="1712" w:name="Tc_4LmCUHcwDkuQ_IxgZ3TMyg_2_4"/>
      <w:bookmarkStart w:id="1713" w:name="Tc_QhiN19_9nUGNyNonjogjYA_2_2"/>
      <w:bookmarkStart w:id="1714" w:name="Tc_b0esyn-5CUGvJR8RrjKysg_1_2"/>
      <w:bookmarkStart w:id="1715" w:name="_f2433783_8458_43b0_8361_886efdb9d81a"/>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r>
        <w:rPr>
          <w:rFonts w:ascii="Times New Roman;Times;serif" w:hAnsi="Times New Roman;Times;serif"/>
          <w:sz w:val="20"/>
        </w:rPr>
        <w:t>Boguan, NetEase Hangzhou and certain other PRC subsidiaries were qualified as HNTEs and enjoyed a preferential tax rate of 15% for 2021, 2022 and 2023.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aforementioned preferential tax rates are subject to annual review by the relevant tax authorities in China.</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presents the combined effects of EIT exemptions and tax rate reductions enjoyed by the Group for the years ended December 31, 2021, 2022 and 2023 (in thousands except per share data):</w:t>
      </w:r>
    </w:p>
    <w:p>
      <w:pPr>
        <w:pStyle w:val="TextBody"/>
        <w:pBdr/>
        <w:bidi w:val="0"/>
        <w:spacing w:before="0" w:after="0"/>
        <w:ind w:left="0" w:right="0" w:hanging="357"/>
        <w:jc w:val="both"/>
        <w:rPr/>
      </w:pPr>
      <w:r>
        <w:rPr/>
        <w:t>​</w:t>
      </w:r>
    </w:p>
    <w:tbl>
      <w:tblPr>
        <w:tblW w:w="8872" w:type="dxa"/>
        <w:jc w:val="left"/>
        <w:tblInd w:w="0" w:type="dxa"/>
        <w:tblLayout w:type="fixed"/>
        <w:tblCellMar>
          <w:top w:w="0" w:type="dxa"/>
          <w:left w:w="0" w:type="dxa"/>
          <w:bottom w:w="0" w:type="dxa"/>
          <w:right w:w="0" w:type="dxa"/>
        </w:tblCellMar>
      </w:tblPr>
      <w:tblGrid>
        <w:gridCol w:w="5056"/>
        <w:gridCol w:w="326"/>
        <w:gridCol w:w="931"/>
        <w:gridCol w:w="326"/>
        <w:gridCol w:w="931"/>
        <w:gridCol w:w="326"/>
        <w:gridCol w:w="976"/>
      </w:tblGrid>
      <w:tr>
        <w:trPr/>
        <w:tc>
          <w:tcPr>
            <w:tcW w:w="5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3210560" cy="175260"/>
                      <wp:effectExtent l="0" t="0" r="0" b="0"/>
                      <wp:wrapNone/>
                      <wp:docPr id="469" name="Frame468"/>
                      <a:graphic xmlns:a="http://schemas.openxmlformats.org/drawingml/2006/main">
                        <a:graphicData uri="http://schemas.microsoft.com/office/word/2010/wordprocessingShape">
                          <wps:wsp>
                            <wps:cNvSpPr txBox="1"/>
                            <wps:spPr>
                              <a:xfrm>
                                <a:off x="0" y="0"/>
                                <a:ext cx="3210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207010" cy="175260"/>
                      <wp:effectExtent l="0" t="0" r="0" b="0"/>
                      <wp:wrapNone/>
                      <wp:docPr id="470" name="Frame4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591185" cy="175260"/>
                      <wp:effectExtent l="0" t="0" r="0" b="0"/>
                      <wp:wrapNone/>
                      <wp:docPr id="471" name="Frame47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207010" cy="175260"/>
                      <wp:effectExtent l="0" t="0" r="0" b="0"/>
                      <wp:wrapNone/>
                      <wp:docPr id="472" name="Frame4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591185" cy="175260"/>
                      <wp:effectExtent l="0" t="0" r="0" b="0"/>
                      <wp:wrapNone/>
                      <wp:docPr id="473" name="Frame47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207010" cy="175260"/>
                      <wp:effectExtent l="0" t="0" r="0" b="0"/>
                      <wp:wrapNone/>
                      <wp:docPr id="474" name="Frame4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619760" cy="175260"/>
                      <wp:effectExtent l="0" t="0" r="0" b="0"/>
                      <wp:wrapNone/>
                      <wp:docPr id="475" name="Frame474"/>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50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0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50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Aggregate amount of EIT exemptions and tax rate reductions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2,238,907</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2,631,764</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3,228,359</w:t>
            </w:r>
          </w:p>
        </w:tc>
      </w:tr>
      <w:tr>
        <w:trPr/>
        <w:tc>
          <w:tcPr>
            <w:tcW w:w="5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per share effect, basic</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0.67</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0.81</w:t>
            </w:r>
          </w:p>
        </w:tc>
        <w:tc>
          <w:tcPr>
            <w:tcW w:w="326" w:type="dxa"/>
            <w:tcBorders/>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50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per share effect, diluted</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0.66</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0.80</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0.99</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sets forth the component of income tax expenses of the Group for the years ended December 31, 2021, 2022 and 2023 (in thousands):</w:t>
      </w:r>
    </w:p>
    <w:p>
      <w:pPr>
        <w:pStyle w:val="TextBody"/>
        <w:bidi w:val="0"/>
        <w:spacing w:before="0" w:after="0"/>
        <w:ind w:left="0" w:right="0" w:hanging="0"/>
        <w:jc w:val="both"/>
        <w:rPr/>
      </w:pPr>
      <w:r>
        <w:rPr/>
        <w:t>​</w:t>
      </w:r>
    </w:p>
    <w:tbl>
      <w:tblPr>
        <w:tblW w:w="5692" w:type="dxa"/>
        <w:jc w:val="left"/>
        <w:tblInd w:w="0" w:type="dxa"/>
        <w:tblLayout w:type="fixed"/>
        <w:tblCellMar>
          <w:top w:w="0" w:type="dxa"/>
          <w:left w:w="0" w:type="dxa"/>
          <w:bottom w:w="0" w:type="dxa"/>
          <w:right w:w="0" w:type="dxa"/>
        </w:tblCellMar>
      </w:tblPr>
      <w:tblGrid>
        <w:gridCol w:w="1816"/>
        <w:gridCol w:w="326"/>
        <w:gridCol w:w="931"/>
        <w:gridCol w:w="326"/>
        <w:gridCol w:w="931"/>
        <w:gridCol w:w="326"/>
        <w:gridCol w:w="1036"/>
      </w:tblGrid>
      <w:tr>
        <w:trPr/>
        <w:tc>
          <w:tcPr>
            <w:tcW w:w="1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1153160" cy="175260"/>
                      <wp:effectExtent l="0" t="0" r="0" b="0"/>
                      <wp:wrapNone/>
                      <wp:docPr id="476" name="Frame475"/>
                      <a:graphic xmlns:a="http://schemas.openxmlformats.org/drawingml/2006/main">
                        <a:graphicData uri="http://schemas.microsoft.com/office/word/2010/wordprocessingShape">
                          <wps:wsp>
                            <wps:cNvSpPr txBox="1"/>
                            <wps:spPr>
                              <a:xfrm>
                                <a:off x="0" y="0"/>
                                <a:ext cx="1153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207010" cy="175260"/>
                      <wp:effectExtent l="0" t="0" r="0" b="0"/>
                      <wp:wrapNone/>
                      <wp:docPr id="477" name="Frame4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591185" cy="175260"/>
                      <wp:effectExtent l="0" t="0" r="0" b="0"/>
                      <wp:wrapNone/>
                      <wp:docPr id="478" name="Frame47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207010" cy="175260"/>
                      <wp:effectExtent l="0" t="0" r="0" b="0"/>
                      <wp:wrapNone/>
                      <wp:docPr id="479" name="Frame4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591185" cy="175260"/>
                      <wp:effectExtent l="0" t="0" r="0" b="0"/>
                      <wp:wrapNone/>
                      <wp:docPr id="480" name="Frame47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207010" cy="175260"/>
                      <wp:effectExtent l="0" t="0" r="0" b="0"/>
                      <wp:wrapNone/>
                      <wp:docPr id="481" name="Frame4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657860" cy="175260"/>
                      <wp:effectExtent l="0" t="0" r="0" b="0"/>
                      <wp:wrapNone/>
                      <wp:docPr id="482" name="Frame48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5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18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8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1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tax expense</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3,720,321</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4,542,168</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4,568,267</w:t>
            </w:r>
          </w:p>
        </w:tc>
      </w:tr>
      <w:tr>
        <w:trPr/>
        <w:tc>
          <w:tcPr>
            <w:tcW w:w="1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expense</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407,948</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489,670</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131,437</w:t>
            </w:r>
          </w:p>
        </w:tc>
      </w:tr>
      <w:tr>
        <w:trPr/>
        <w:tc>
          <w:tcPr>
            <w:tcW w:w="1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4,128,269</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5,031,838</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4,699,704</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presents a reconciliation of the differences between the statutory income tax rate and the Group’s effective income tax rate for the years ended December 31, 2021, 2022 and 2023:</w:t>
      </w:r>
    </w:p>
    <w:p>
      <w:pPr>
        <w:pStyle w:val="TextBody"/>
        <w:bidi w:val="0"/>
        <w:spacing w:before="0" w:after="0"/>
        <w:ind w:left="0" w:right="0" w:hanging="0"/>
        <w:jc w:val="both"/>
        <w:rPr/>
      </w:pPr>
      <w:r>
        <w:rPr/>
        <w:t>​</w:t>
      </w:r>
    </w:p>
    <w:tbl>
      <w:tblPr>
        <w:tblW w:w="8035" w:type="dxa"/>
        <w:jc w:val="left"/>
        <w:tblInd w:w="0" w:type="dxa"/>
        <w:tblLayout w:type="fixed"/>
        <w:tblCellMar>
          <w:top w:w="0" w:type="dxa"/>
          <w:left w:w="0" w:type="dxa"/>
          <w:bottom w:w="0" w:type="dxa"/>
          <w:right w:w="0" w:type="dxa"/>
        </w:tblCellMar>
      </w:tblPr>
      <w:tblGrid>
        <w:gridCol w:w="5101"/>
        <w:gridCol w:w="326"/>
        <w:gridCol w:w="638"/>
        <w:gridCol w:w="355"/>
        <w:gridCol w:w="638"/>
        <w:gridCol w:w="355"/>
        <w:gridCol w:w="622"/>
      </w:tblGrid>
      <w:tr>
        <w:trPr/>
        <w:tc>
          <w:tcPr>
            <w:tcW w:w="5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3239135" cy="175260"/>
                      <wp:effectExtent l="0" t="0" r="0" b="0"/>
                      <wp:wrapNone/>
                      <wp:docPr id="483" name="Frame482"/>
                      <a:graphic xmlns:a="http://schemas.openxmlformats.org/drawingml/2006/main">
                        <a:graphicData uri="http://schemas.microsoft.com/office/word/2010/wordprocessingShape">
                          <wps:wsp>
                            <wps:cNvSpPr txBox="1"/>
                            <wps:spPr>
                              <a:xfrm>
                                <a:off x="0" y="0"/>
                                <a:ext cx="3239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207010" cy="175260"/>
                      <wp:effectExtent l="0" t="0" r="0" b="0"/>
                      <wp:wrapNone/>
                      <wp:docPr id="484" name="Frame4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405130" cy="175260"/>
                      <wp:effectExtent l="0" t="0" r="0" b="0"/>
                      <wp:wrapNone/>
                      <wp:docPr id="485" name="Frame484"/>
                      <a:graphic xmlns:a="http://schemas.openxmlformats.org/drawingml/2006/main">
                        <a:graphicData uri="http://schemas.microsoft.com/office/word/2010/wordprocessingShape">
                          <wps:wsp>
                            <wps:cNvSpPr txBox="1"/>
                            <wps:spPr>
                              <a:xfrm>
                                <a:off x="0" y="0"/>
                                <a:ext cx="405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225425" cy="175260"/>
                      <wp:effectExtent l="0" t="0" r="0" b="0"/>
                      <wp:wrapNone/>
                      <wp:docPr id="486" name="Frame485"/>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405130" cy="175260"/>
                      <wp:effectExtent l="0" t="0" r="0" b="0"/>
                      <wp:wrapNone/>
                      <wp:docPr id="487" name="Frame486"/>
                      <a:graphic xmlns:a="http://schemas.openxmlformats.org/drawingml/2006/main">
                        <a:graphicData uri="http://schemas.microsoft.com/office/word/2010/wordprocessingShape">
                          <wps:wsp>
                            <wps:cNvSpPr txBox="1"/>
                            <wps:spPr>
                              <a:xfrm>
                                <a:off x="0" y="0"/>
                                <a:ext cx="405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225425" cy="175260"/>
                      <wp:effectExtent l="0" t="0" r="0" b="0"/>
                      <wp:wrapNone/>
                      <wp:docPr id="488" name="Frame487"/>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394970" cy="175260"/>
                      <wp:effectExtent l="0" t="0" r="0" b="0"/>
                      <wp:wrapNone/>
                      <wp:docPr id="489" name="Frame488"/>
                      <a:graphic xmlns:a="http://schemas.openxmlformats.org/drawingml/2006/main">
                        <a:graphicData uri="http://schemas.microsoft.com/office/word/2010/wordprocessingShape">
                          <wps:wsp>
                            <wps:cNvSpPr txBox="1"/>
                            <wps:spPr>
                              <a:xfrm>
                                <a:off x="0" y="0"/>
                                <a:ext cx="394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0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5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3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55" w:type="dxa"/>
            <w:tcBorders/>
            <w:vAlign w:val="center"/>
          </w:tcPr>
          <w:p>
            <w:pPr>
              <w:pStyle w:val="TableContents"/>
              <w:bidi w:val="0"/>
              <w:spacing w:before="0" w:after="0"/>
              <w:ind w:left="0" w:right="0" w:hanging="0"/>
              <w:jc w:val="left"/>
              <w:rPr/>
            </w:pPr>
            <w:r>
              <w:rPr/>
              <w:t>    </w:t>
            </w:r>
          </w:p>
        </w:tc>
        <w:tc>
          <w:tcPr>
            <w:tcW w:w="63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55" w:type="dxa"/>
            <w:tcBorders/>
            <w:vAlign w:val="center"/>
          </w:tcPr>
          <w:p>
            <w:pPr>
              <w:pStyle w:val="TableContents"/>
              <w:bidi w:val="0"/>
              <w:spacing w:before="0" w:after="0"/>
              <w:ind w:left="0" w:right="0" w:hanging="0"/>
              <w:jc w:val="left"/>
              <w:rPr/>
            </w:pPr>
            <w:r>
              <w:rPr/>
              <w:t>    </w:t>
            </w:r>
          </w:p>
        </w:tc>
        <w:tc>
          <w:tcPr>
            <w:tcW w:w="62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55" w:type="dxa"/>
            <w:tcBorders/>
            <w:vAlign w:val="center"/>
          </w:tcPr>
          <w:p>
            <w:pPr>
              <w:pStyle w:val="TableContents"/>
              <w:bidi w:val="0"/>
              <w:spacing w:before="0" w:after="0"/>
              <w:ind w:left="0" w:right="0" w:hanging="0"/>
              <w:jc w:val="left"/>
              <w:rPr/>
            </w:pPr>
            <w:r>
              <w:rPr/>
              <w:t>​</w:t>
            </w:r>
          </w:p>
        </w:tc>
        <w:tc>
          <w:tcPr>
            <w:tcW w:w="63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55" w:type="dxa"/>
            <w:tcBorders/>
            <w:vAlign w:val="center"/>
          </w:tcPr>
          <w:p>
            <w:pPr>
              <w:pStyle w:val="TableContents"/>
              <w:bidi w:val="0"/>
              <w:spacing w:before="0" w:after="0"/>
              <w:ind w:left="0" w:right="0" w:hanging="0"/>
              <w:jc w:val="left"/>
              <w:rPr/>
            </w:pPr>
            <w:r>
              <w:rPr/>
              <w:t>​</w:t>
            </w:r>
          </w:p>
        </w:tc>
        <w:tc>
          <w:tcPr>
            <w:tcW w:w="62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r>
      <w:tr>
        <w:trPr/>
        <w:tc>
          <w:tcPr>
            <w:tcW w:w="51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Statutory income tax rate</w:t>
            </w:r>
          </w:p>
        </w:tc>
        <w:tc>
          <w:tcPr>
            <w:tcW w:w="326" w:type="dxa"/>
            <w:tcBorders/>
            <w:shd w:fill="CCEEFF" w:val="clear"/>
            <w:vAlign w:val="center"/>
          </w:tcPr>
          <w:p>
            <w:pPr>
              <w:pStyle w:val="TableContents"/>
              <w:bidi w:val="0"/>
              <w:spacing w:before="0" w:after="0"/>
              <w:ind w:left="0" w:right="0" w:hanging="0"/>
              <w:jc w:val="left"/>
              <w:rPr/>
            </w:pPr>
            <w:r>
              <w:rPr/>
              <w:t> </w:t>
            </w:r>
          </w:p>
        </w:tc>
        <w:tc>
          <w:tcPr>
            <w:tcW w:w="6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c>
          <w:tcPr>
            <w:tcW w:w="355" w:type="dxa"/>
            <w:tcBorders/>
            <w:shd w:fill="CCEEFF" w:val="clear"/>
            <w:vAlign w:val="center"/>
          </w:tcPr>
          <w:p>
            <w:pPr>
              <w:pStyle w:val="TableContents"/>
              <w:bidi w:val="0"/>
              <w:spacing w:before="0" w:after="0"/>
              <w:ind w:left="0" w:right="0" w:hanging="0"/>
              <w:jc w:val="left"/>
              <w:rPr/>
            </w:pPr>
            <w:r>
              <w:rPr/>
              <w:t> </w:t>
            </w:r>
          </w:p>
        </w:tc>
        <w:tc>
          <w:tcPr>
            <w:tcW w:w="6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c>
          <w:tcPr>
            <w:tcW w:w="355" w:type="dxa"/>
            <w:tcBorders/>
            <w:shd w:fill="CCEEFF" w:val="clear"/>
            <w:vAlign w:val="center"/>
          </w:tcPr>
          <w:p>
            <w:pPr>
              <w:pStyle w:val="TableContents"/>
              <w:bidi w:val="0"/>
              <w:spacing w:before="0" w:after="0"/>
              <w:ind w:left="0" w:right="0" w:hanging="0"/>
              <w:jc w:val="left"/>
              <w:rPr/>
            </w:pPr>
            <w:r>
              <w:rPr/>
              <w:t> </w:t>
            </w:r>
          </w:p>
        </w:tc>
        <w:tc>
          <w:tcPr>
            <w:tcW w:w="6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r>
      <w:tr>
        <w:trPr/>
        <w:tc>
          <w:tcPr>
            <w:tcW w:w="5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Permanent differences </w:t>
            </w:r>
          </w:p>
        </w:tc>
        <w:tc>
          <w:tcPr>
            <w:tcW w:w="326" w:type="dxa"/>
            <w:tcBorders/>
            <w:vAlign w:val="center"/>
          </w:tcPr>
          <w:p>
            <w:pPr>
              <w:pStyle w:val="TableContents"/>
              <w:bidi w:val="0"/>
              <w:spacing w:before="0" w:after="0"/>
              <w:ind w:left="0" w:right="0" w:hanging="0"/>
              <w:jc w:val="left"/>
              <w:rPr/>
            </w:pPr>
            <w:r>
              <w:rPr/>
              <w:t> </w:t>
            </w:r>
          </w:p>
        </w:tc>
        <w:tc>
          <w:tcPr>
            <w:tcW w:w="6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55" w:type="dxa"/>
            <w:tcBorders/>
            <w:vAlign w:val="center"/>
          </w:tcPr>
          <w:p>
            <w:pPr>
              <w:pStyle w:val="TableContents"/>
              <w:bidi w:val="0"/>
              <w:spacing w:before="0" w:after="0"/>
              <w:ind w:left="0" w:right="0" w:hanging="0"/>
              <w:jc w:val="left"/>
              <w:rPr/>
            </w:pPr>
            <w:r>
              <w:rPr/>
              <w:t> </w:t>
            </w:r>
          </w:p>
        </w:tc>
        <w:tc>
          <w:tcPr>
            <w:tcW w:w="6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55"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r>
      <w:tr>
        <w:trPr/>
        <w:tc>
          <w:tcPr>
            <w:tcW w:w="51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due to different tax rates applicable to overseas entities</w:t>
            </w:r>
          </w:p>
        </w:tc>
        <w:tc>
          <w:tcPr>
            <w:tcW w:w="326" w:type="dxa"/>
            <w:tcBorders/>
            <w:shd w:fill="CCEEFF" w:val="clear"/>
            <w:vAlign w:val="center"/>
          </w:tcPr>
          <w:p>
            <w:pPr>
              <w:pStyle w:val="TableContents"/>
              <w:bidi w:val="0"/>
              <w:spacing w:before="0" w:after="0"/>
              <w:ind w:left="0" w:right="0" w:hanging="0"/>
              <w:jc w:val="left"/>
              <w:rPr/>
            </w:pPr>
            <w:r>
              <w:rPr/>
              <w:t> </w:t>
            </w:r>
          </w:p>
        </w:tc>
        <w:tc>
          <w:tcPr>
            <w:tcW w:w="6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55" w:type="dxa"/>
            <w:tcBorders/>
            <w:shd w:fill="CCEEFF" w:val="clear"/>
            <w:vAlign w:val="center"/>
          </w:tcPr>
          <w:p>
            <w:pPr>
              <w:pStyle w:val="TableContents"/>
              <w:bidi w:val="0"/>
              <w:spacing w:before="0" w:after="0"/>
              <w:ind w:left="0" w:right="0" w:hanging="0"/>
              <w:jc w:val="left"/>
              <w:rPr/>
            </w:pPr>
            <w:r>
              <w:rPr/>
              <w:t> </w:t>
            </w:r>
          </w:p>
        </w:tc>
        <w:tc>
          <w:tcPr>
            <w:tcW w:w="6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55" w:type="dxa"/>
            <w:tcBorders/>
            <w:shd w:fill="CCEEFF" w:val="clear"/>
            <w:vAlign w:val="center"/>
          </w:tcPr>
          <w:p>
            <w:pPr>
              <w:pStyle w:val="TableContents"/>
              <w:bidi w:val="0"/>
              <w:spacing w:before="0" w:after="0"/>
              <w:ind w:left="0" w:right="0" w:hanging="0"/>
              <w:jc w:val="left"/>
              <w:rPr/>
            </w:pPr>
            <w:r>
              <w:rPr/>
              <w:t> </w:t>
            </w:r>
          </w:p>
        </w:tc>
        <w:tc>
          <w:tcPr>
            <w:tcW w:w="6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r>
      <w:tr>
        <w:trPr/>
        <w:tc>
          <w:tcPr>
            <w:tcW w:w="5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lower tax rate applicable to HNTEs</w:t>
            </w:r>
          </w:p>
        </w:tc>
        <w:tc>
          <w:tcPr>
            <w:tcW w:w="326" w:type="dxa"/>
            <w:tcBorders/>
            <w:vAlign w:val="center"/>
          </w:tcPr>
          <w:p>
            <w:pPr>
              <w:pStyle w:val="TableContents"/>
              <w:bidi w:val="0"/>
              <w:spacing w:before="0" w:after="0"/>
              <w:ind w:left="0" w:right="0" w:hanging="0"/>
              <w:jc w:val="left"/>
              <w:rPr/>
            </w:pPr>
            <w:r>
              <w:rPr/>
              <w:t> </w:t>
            </w:r>
          </w:p>
        </w:tc>
        <w:tc>
          <w:tcPr>
            <w:tcW w:w="6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55" w:type="dxa"/>
            <w:tcBorders/>
            <w:vAlign w:val="center"/>
          </w:tcPr>
          <w:p>
            <w:pPr>
              <w:pStyle w:val="TableContents"/>
              <w:bidi w:val="0"/>
              <w:spacing w:before="0" w:after="0"/>
              <w:ind w:left="0" w:right="0" w:hanging="0"/>
              <w:jc w:val="left"/>
              <w:rPr/>
            </w:pPr>
            <w:r>
              <w:rPr/>
              <w:t> </w:t>
            </w:r>
          </w:p>
        </w:tc>
        <w:tc>
          <w:tcPr>
            <w:tcW w:w="6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55"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r>
      <w:tr>
        <w:trPr/>
        <w:tc>
          <w:tcPr>
            <w:tcW w:w="51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valuation allowance</w:t>
            </w:r>
          </w:p>
        </w:tc>
        <w:tc>
          <w:tcPr>
            <w:tcW w:w="326" w:type="dxa"/>
            <w:tcBorders/>
            <w:shd w:fill="CCEEFF" w:val="clear"/>
            <w:vAlign w:val="center"/>
          </w:tcPr>
          <w:p>
            <w:pPr>
              <w:pStyle w:val="TableContents"/>
              <w:bidi w:val="0"/>
              <w:spacing w:before="0" w:after="0"/>
              <w:ind w:left="0" w:right="0" w:hanging="0"/>
              <w:jc w:val="left"/>
              <w:rPr/>
            </w:pPr>
            <w:r>
              <w:rPr/>
              <w:t> </w:t>
            </w:r>
          </w:p>
        </w:tc>
        <w:tc>
          <w:tcPr>
            <w:tcW w:w="6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55" w:type="dxa"/>
            <w:tcBorders/>
            <w:shd w:fill="CCEEFF" w:val="clear"/>
            <w:vAlign w:val="center"/>
          </w:tcPr>
          <w:p>
            <w:pPr>
              <w:pStyle w:val="TableContents"/>
              <w:bidi w:val="0"/>
              <w:spacing w:before="0" w:after="0"/>
              <w:ind w:left="0" w:right="0" w:hanging="0"/>
              <w:jc w:val="left"/>
              <w:rPr/>
            </w:pPr>
            <w:r>
              <w:rPr/>
              <w:t> </w:t>
            </w:r>
          </w:p>
        </w:tc>
        <w:tc>
          <w:tcPr>
            <w:tcW w:w="6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55" w:type="dxa"/>
            <w:tcBorders/>
            <w:shd w:fill="CCEEFF" w:val="clear"/>
            <w:vAlign w:val="center"/>
          </w:tcPr>
          <w:p>
            <w:pPr>
              <w:pStyle w:val="TableContents"/>
              <w:bidi w:val="0"/>
              <w:spacing w:before="0" w:after="0"/>
              <w:ind w:left="0" w:right="0" w:hanging="0"/>
              <w:jc w:val="left"/>
              <w:rPr/>
            </w:pPr>
            <w:r>
              <w:rPr/>
              <w:t> </w:t>
            </w:r>
          </w:p>
        </w:tc>
        <w:tc>
          <w:tcPr>
            <w:tcW w:w="6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r>
      <w:tr>
        <w:trPr/>
        <w:tc>
          <w:tcPr>
            <w:tcW w:w="510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Effect of withholding income tax </w:t>
            </w:r>
            <w:r>
              <w:rPr>
                <w:rFonts w:ascii="Times New Roman;Times;serif" w:hAnsi="Times New Roman;Times;serif"/>
                <w:sz w:val="15"/>
              </w:rPr>
              <w:t>(d)</w:t>
            </w:r>
          </w:p>
        </w:tc>
        <w:tc>
          <w:tcPr>
            <w:tcW w:w="326" w:type="dxa"/>
            <w:tcBorders/>
            <w:vAlign w:val="center"/>
          </w:tcPr>
          <w:p>
            <w:pPr>
              <w:pStyle w:val="TableContents"/>
              <w:bidi w:val="0"/>
              <w:spacing w:before="0" w:after="0"/>
              <w:ind w:left="0" w:right="0" w:hanging="0"/>
              <w:jc w:val="left"/>
              <w:rPr/>
            </w:pPr>
            <w:r>
              <w:rPr/>
              <w:t> </w:t>
            </w:r>
          </w:p>
        </w:tc>
        <w:tc>
          <w:tcPr>
            <w:tcW w:w="6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55" w:type="dxa"/>
            <w:tcBorders/>
            <w:vAlign w:val="center"/>
          </w:tcPr>
          <w:p>
            <w:pPr>
              <w:pStyle w:val="TableContents"/>
              <w:bidi w:val="0"/>
              <w:spacing w:before="0" w:after="0"/>
              <w:ind w:left="0" w:right="0" w:hanging="0"/>
              <w:jc w:val="left"/>
              <w:rPr/>
            </w:pPr>
            <w:r>
              <w:rPr/>
              <w:t> </w:t>
            </w:r>
          </w:p>
        </w:tc>
        <w:tc>
          <w:tcPr>
            <w:tcW w:w="6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355" w:type="dxa"/>
            <w:tcBorders/>
            <w:vAlign w:val="center"/>
          </w:tcPr>
          <w:p>
            <w:pPr>
              <w:pStyle w:val="TableContents"/>
              <w:bidi w:val="0"/>
              <w:spacing w:before="0" w:after="0"/>
              <w:ind w:left="0" w:right="0" w:hanging="0"/>
              <w:jc w:val="left"/>
              <w:rPr/>
            </w:pPr>
            <w:r>
              <w:rPr/>
              <w:t> </w:t>
            </w:r>
          </w:p>
        </w:tc>
        <w:tc>
          <w:tcPr>
            <w:tcW w:w="6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51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Effective income tax rate</w:t>
            </w:r>
          </w:p>
        </w:tc>
        <w:tc>
          <w:tcPr>
            <w:tcW w:w="326" w:type="dxa"/>
            <w:tcBorders/>
            <w:shd w:fill="CCEEFF" w:val="clear"/>
            <w:vAlign w:val="center"/>
          </w:tcPr>
          <w:p>
            <w:pPr>
              <w:pStyle w:val="TableContents"/>
              <w:bidi w:val="0"/>
              <w:spacing w:before="0" w:after="0"/>
              <w:ind w:left="0" w:right="0" w:hanging="0"/>
              <w:jc w:val="left"/>
              <w:rPr/>
            </w:pPr>
            <w:r>
              <w:rPr/>
              <w:t> </w:t>
            </w:r>
          </w:p>
        </w:tc>
        <w:tc>
          <w:tcPr>
            <w:tcW w:w="63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w:t>
            </w:r>
          </w:p>
        </w:tc>
        <w:tc>
          <w:tcPr>
            <w:tcW w:w="355" w:type="dxa"/>
            <w:tcBorders/>
            <w:shd w:fill="CCEEFF" w:val="clear"/>
            <w:vAlign w:val="center"/>
          </w:tcPr>
          <w:p>
            <w:pPr>
              <w:pStyle w:val="TableContents"/>
              <w:bidi w:val="0"/>
              <w:spacing w:before="0" w:after="0"/>
              <w:ind w:left="0" w:right="0" w:hanging="0"/>
              <w:jc w:val="left"/>
              <w:rPr/>
            </w:pPr>
            <w:r>
              <w:rPr/>
              <w:t> </w:t>
            </w:r>
          </w:p>
        </w:tc>
        <w:tc>
          <w:tcPr>
            <w:tcW w:w="63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w:t>
            </w:r>
          </w:p>
        </w:tc>
        <w:tc>
          <w:tcPr>
            <w:tcW w:w="355" w:type="dxa"/>
            <w:tcBorders/>
            <w:shd w:fill="CCEEFF" w:val="clear"/>
            <w:vAlign w:val="center"/>
          </w:tcPr>
          <w:p>
            <w:pPr>
              <w:pStyle w:val="TableContents"/>
              <w:bidi w:val="0"/>
              <w:spacing w:before="0" w:after="0"/>
              <w:ind w:left="0" w:right="0" w:hanging="0"/>
              <w:jc w:val="left"/>
              <w:rPr/>
            </w:pPr>
            <w:r>
              <w:rPr/>
              <w:t> </w:t>
            </w:r>
          </w:p>
        </w:tc>
        <w:tc>
          <w:tcPr>
            <w:tcW w:w="62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13.8</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December 31, 2023, certain entities of the Group had net operating tax loss carry forwards of RMB20.7 billion, which is mainly from its PRC subsidiaries and VIEs with expiration period from 2024 to 2033.</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Full valuation allowance was provided on the related deferred tax assets as the Group’s management does not believe that sufficient positive evidence exists to conclude that recoverability of such deferred tax assets is more likely than not to be realized.</w:t>
      </w:r>
    </w:p>
    <w:tbl>
      <w:tblPr>
        <w:tblW w:w="1292" w:type="dxa"/>
        <w:jc w:val="left"/>
        <w:tblInd w:w="0" w:type="dxa"/>
        <w:tblLayout w:type="fixed"/>
        <w:tblCellMar>
          <w:top w:w="0" w:type="dxa"/>
          <w:left w:w="0" w:type="dxa"/>
          <w:bottom w:w="0" w:type="dxa"/>
          <w:right w:w="0" w:type="dxa"/>
        </w:tblCellMar>
      </w:tblPr>
      <w:tblGrid>
        <w:gridCol w:w="346"/>
        <w:gridCol w:w="946"/>
      </w:tblGrid>
      <w:tr>
        <w:trPr/>
        <w:tc>
          <w:tcPr>
            <w:tcW w:w="34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(b)</w:t>
            </w:r>
          </w:p>
        </w:tc>
        <w:tc>
          <w:tcPr>
            <w:tcW w:w="94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 xml:space="preserve">Sales tax </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provision regulation of the PRC on VAT and its implementation rules, the Company’s subsidiaries and the VIEs are generally subject to VAT at a rate of 6% from revenues earned from services provided or 16% from sales of general goods, which was reduced to 13% effective from 1 April, 2019.</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716" w:name="Tc_ZC1rn4CcC0WacnUeUhQ2FQ_6_0"/>
      <w:bookmarkStart w:id="1717" w:name="Tc_oZBgLZrvIkWvooD5VQi_5A_5_0"/>
      <w:bookmarkStart w:id="1718" w:name="Tc_ejhzv-FihUSVBCeIYYx8mQ_4_0"/>
      <w:bookmarkStart w:id="1719" w:name="Tc_-8g_pBff-EetsekMGRsGDw_3_6"/>
      <w:bookmarkStart w:id="1720" w:name="Tc_mKt0bk4t3kKOXCMBWJ5CpA_3_4"/>
      <w:bookmarkStart w:id="1721" w:name="Tc_v1K-ok6wEU-_xFD556Hdrg_3_2"/>
      <w:bookmarkStart w:id="1722" w:name="Tc_WqU62ZtJpUOWFLozjH75gA_2_6"/>
      <w:bookmarkStart w:id="1723" w:name="Tc_-OMdJ19CuUuRM4ClzqrPiQ_2_4"/>
      <w:bookmarkStart w:id="1724" w:name="Tc_rwLUpVLaFEmCB3TtLQmuXg_2_2"/>
      <w:bookmarkStart w:id="1725" w:name="Tc_1jqVpiCzw0OePoy6bnFqnw_1_6"/>
      <w:bookmarkStart w:id="1726" w:name="Tc_jF21gRYfU06i4Abp32P7SQ_1_4"/>
      <w:bookmarkStart w:id="1727" w:name="Tc_uyEc1ce59UWOQwh4xkVTZQ_1_2"/>
      <w:bookmarkStart w:id="1728" w:name="Tc_8BwJUErWUUmgIQ5Kl5PCTg_7_0"/>
      <w:bookmarkStart w:id="1729" w:name="Tc_HWy-L7qFZkCOodAJ3eaORw_6_0"/>
      <w:bookmarkStart w:id="1730" w:name="Tc__XuErPUi0USO8q8jOS0-dQ_5_0"/>
      <w:bookmarkStart w:id="1731" w:name="Tc_FPN5j1lh4UCdgJqjB0xWYw_4_0"/>
      <w:bookmarkStart w:id="1732" w:name="Tc_JbrqgyHDzUC_bHOAEpFqOg_3_4"/>
      <w:bookmarkStart w:id="1733" w:name="Tc_U99X1RlAyESEnSmZ_Txg8A_3_2"/>
      <w:bookmarkStart w:id="1734" w:name="Tc_JIvbY3YW9EuS8VBdRjV57w_2_4"/>
      <w:bookmarkStart w:id="1735" w:name="Tc_VV-FtWsF7Uigjkd7BVs3gA_2_2"/>
      <w:bookmarkStart w:id="1736" w:name="Tc_f0qcQjlKNkuVDydRrD_Wgw_1_4"/>
      <w:bookmarkStart w:id="1737" w:name="Tc_nYf9m4d690O57WJ4AM9zzA_1_2"/>
      <w:bookmarkStart w:id="1738" w:name="_1500c02c_f3b6_431d_b006_ce4bc3809a46"/>
      <w:bookmarkStart w:id="1739" w:name="Tc_zX3XyLNr_02SdE_FNu73lw_11_0"/>
      <w:bookmarkStart w:id="1740" w:name="Tc_DsU76GKeXEyS_qFx8jzQ1Q_10_0"/>
      <w:bookmarkStart w:id="1741" w:name="Tc_rsu1Jhd1kE6DDyzrI-53LA_8_0"/>
      <w:bookmarkStart w:id="1742" w:name="Tc_Dp7PRZRYjkuVn2GXSlopHA_7_0"/>
      <w:bookmarkStart w:id="1743" w:name="Tc_CKhlI6L3VEiocYr8KSlZvQ_6_0"/>
      <w:bookmarkStart w:id="1744" w:name="Tc_Hf8ZVfH5BUWQ2PvmJCK3GQ_5_0"/>
      <w:bookmarkStart w:id="1745" w:name="Tc_MUkMHqXwrUG_RrV3rHWShQ_4_0"/>
      <w:bookmarkStart w:id="1746" w:name="Tc_iNLLI6L19UqTBzN05wTRnQ_3_4"/>
      <w:bookmarkStart w:id="1747" w:name="Tc_mbxtQSTS2EuGhnjsXm9I6g_3_2"/>
      <w:bookmarkStart w:id="1748" w:name="Tc_-I8mL62mr0SOXBiz7jMWnA_2_4"/>
      <w:bookmarkStart w:id="1749" w:name="Tc_Pf2RywtKjkKYET5m17f1iw_2_2"/>
      <w:bookmarkStart w:id="1750" w:name="Tc_FgTknMth0kqAdM5G5H-4Og_1_4"/>
      <w:bookmarkStart w:id="1751" w:name="Tc_o93KsaqmQkyCrUjpx6ef0Q_1_2"/>
      <w:bookmarkStart w:id="1752" w:name="_0f72dd55_4ddd_4c48_86b7_4d94c3d24d75"/>
      <w:bookmarkStart w:id="1753" w:name="Tc_ZC1rn4CcC0WacnUeUhQ2FQ_6_0"/>
      <w:bookmarkStart w:id="1754" w:name="Tc_oZBgLZrvIkWvooD5VQi_5A_5_0"/>
      <w:bookmarkStart w:id="1755" w:name="Tc_ejhzv-FihUSVBCeIYYx8mQ_4_0"/>
      <w:bookmarkStart w:id="1756" w:name="Tc_-8g_pBff-EetsekMGRsGDw_3_6"/>
      <w:bookmarkStart w:id="1757" w:name="Tc_mKt0bk4t3kKOXCMBWJ5CpA_3_4"/>
      <w:bookmarkStart w:id="1758" w:name="Tc_v1K-ok6wEU-_xFD556Hdrg_3_2"/>
      <w:bookmarkStart w:id="1759" w:name="Tc_WqU62ZtJpUOWFLozjH75gA_2_6"/>
      <w:bookmarkStart w:id="1760" w:name="Tc_-OMdJ19CuUuRM4ClzqrPiQ_2_4"/>
      <w:bookmarkStart w:id="1761" w:name="Tc_rwLUpVLaFEmCB3TtLQmuXg_2_2"/>
      <w:bookmarkStart w:id="1762" w:name="Tc_1jqVpiCzw0OePoy6bnFqnw_1_6"/>
      <w:bookmarkStart w:id="1763" w:name="Tc_jF21gRYfU06i4Abp32P7SQ_1_4"/>
      <w:bookmarkStart w:id="1764" w:name="Tc_uyEc1ce59UWOQwh4xkVTZQ_1_2"/>
      <w:bookmarkStart w:id="1765" w:name="Tc_8BwJUErWUUmgIQ5Kl5PCTg_7_0"/>
      <w:bookmarkStart w:id="1766" w:name="Tc_HWy-L7qFZkCOodAJ3eaORw_6_0"/>
      <w:bookmarkStart w:id="1767" w:name="Tc__XuErPUi0USO8q8jOS0-dQ_5_0"/>
      <w:bookmarkStart w:id="1768" w:name="Tc_FPN5j1lh4UCdgJqjB0xWYw_4_0"/>
      <w:bookmarkStart w:id="1769" w:name="Tc_JbrqgyHDzUC_bHOAEpFqOg_3_4"/>
      <w:bookmarkStart w:id="1770" w:name="Tc_U99X1RlAyESEnSmZ_Txg8A_3_2"/>
      <w:bookmarkStart w:id="1771" w:name="Tc_JIvbY3YW9EuS8VBdRjV57w_2_4"/>
      <w:bookmarkStart w:id="1772" w:name="Tc_VV-FtWsF7Uigjkd7BVs3gA_2_2"/>
      <w:bookmarkStart w:id="1773" w:name="Tc_f0qcQjlKNkuVDydRrD_Wgw_1_4"/>
      <w:bookmarkStart w:id="1774" w:name="Tc_nYf9m4d690O57WJ4AM9zzA_1_2"/>
      <w:bookmarkStart w:id="1775" w:name="_1500c02c_f3b6_431d_b006_ce4bc3809a46"/>
      <w:bookmarkStart w:id="1776" w:name="Tc_zX3XyLNr_02SdE_FNu73lw_11_0"/>
      <w:bookmarkStart w:id="1777" w:name="Tc_DsU76GKeXEyS_qFx8jzQ1Q_10_0"/>
      <w:bookmarkStart w:id="1778" w:name="Tc_rsu1Jhd1kE6DDyzrI-53LA_8_0"/>
      <w:bookmarkStart w:id="1779" w:name="Tc_Dp7PRZRYjkuVn2GXSlopHA_7_0"/>
      <w:bookmarkStart w:id="1780" w:name="Tc_CKhlI6L3VEiocYr8KSlZvQ_6_0"/>
      <w:bookmarkStart w:id="1781" w:name="Tc_Hf8ZVfH5BUWQ2PvmJCK3GQ_5_0"/>
      <w:bookmarkStart w:id="1782" w:name="Tc_MUkMHqXwrUG_RrV3rHWShQ_4_0"/>
      <w:bookmarkStart w:id="1783" w:name="Tc_iNLLI6L19UqTBzN05wTRnQ_3_4"/>
      <w:bookmarkStart w:id="1784" w:name="Tc_mbxtQSTS2EuGhnjsXm9I6g_3_2"/>
      <w:bookmarkStart w:id="1785" w:name="Tc_-I8mL62mr0SOXBiz7jMWnA_2_4"/>
      <w:bookmarkStart w:id="1786" w:name="Tc_Pf2RywtKjkKYET5m17f1iw_2_2"/>
      <w:bookmarkStart w:id="1787" w:name="Tc_FgTknMth0kqAdM5G5H-4Og_1_4"/>
      <w:bookmarkStart w:id="1788" w:name="Tc_o93KsaqmQkyCrUjpx6ef0Q_1_2"/>
      <w:bookmarkStart w:id="1789" w:name="_0f72dd55_4ddd_4c48_86b7_4d94c3d24d75"/>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p>
    <w:tbl>
      <w:tblPr>
        <w:tblW w:w="3272" w:type="dxa"/>
        <w:jc w:val="left"/>
        <w:tblInd w:w="0" w:type="dxa"/>
        <w:tblLayout w:type="fixed"/>
        <w:tblCellMar>
          <w:top w:w="0" w:type="dxa"/>
          <w:left w:w="0" w:type="dxa"/>
          <w:bottom w:w="0" w:type="dxa"/>
          <w:right w:w="0" w:type="dxa"/>
        </w:tblCellMar>
      </w:tblPr>
      <w:tblGrid>
        <w:gridCol w:w="331"/>
        <w:gridCol w:w="2941"/>
      </w:tblGrid>
      <w:tr>
        <w:trPr/>
        <w:tc>
          <w:tcPr>
            <w:tcW w:w="33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(c)</w:t>
            </w:r>
          </w:p>
        </w:tc>
        <w:tc>
          <w:tcPr>
            <w:tcW w:w="294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Deferred tax assets and liabilities</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presents the tax impact of significant temporary differences that give rise to the deferred tax assets and liabilities as of December 31, 2022 and 2023 (in thousands):</w:t>
      </w:r>
    </w:p>
    <w:p>
      <w:pPr>
        <w:pStyle w:val="TextBody"/>
        <w:bidi w:val="0"/>
        <w:spacing w:before="0" w:after="0"/>
        <w:ind w:left="0" w:right="0" w:hanging="0"/>
        <w:jc w:val="both"/>
        <w:rPr/>
      </w:pPr>
      <w:r>
        <w:rPr/>
        <w:t>​</w:t>
      </w:r>
    </w:p>
    <w:tbl>
      <w:tblPr>
        <w:tblW w:w="9790" w:type="dxa"/>
        <w:jc w:val="left"/>
        <w:tblInd w:w="0" w:type="dxa"/>
        <w:tblLayout w:type="fixed"/>
        <w:tblCellMar>
          <w:top w:w="0" w:type="dxa"/>
          <w:left w:w="0" w:type="dxa"/>
          <w:bottom w:w="0" w:type="dxa"/>
          <w:right w:w="0" w:type="dxa"/>
        </w:tblCellMar>
      </w:tblPr>
      <w:tblGrid>
        <w:gridCol w:w="6811"/>
        <w:gridCol w:w="326"/>
        <w:gridCol w:w="1141"/>
        <w:gridCol w:w="326"/>
        <w:gridCol w:w="1186"/>
      </w:tblGrid>
      <w:tr>
        <w:trPr/>
        <w:tc>
          <w:tcPr>
            <w:tcW w:w="6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4324985" cy="175260"/>
                      <wp:effectExtent l="0" t="0" r="0" b="0"/>
                      <wp:wrapNone/>
                      <wp:docPr id="490" name="Frame489"/>
                      <a:graphic xmlns:a="http://schemas.openxmlformats.org/drawingml/2006/main">
                        <a:graphicData uri="http://schemas.microsoft.com/office/word/2010/wordprocessingShape">
                          <wps:wsp>
                            <wps:cNvSpPr txBox="1"/>
                            <wps:spPr>
                              <a:xfrm>
                                <a:off x="0" y="0"/>
                                <a:ext cx="432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207010" cy="175260"/>
                      <wp:effectExtent l="0" t="0" r="0" b="0"/>
                      <wp:wrapNone/>
                      <wp:docPr id="491" name="Frame4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724535" cy="175260"/>
                      <wp:effectExtent l="0" t="0" r="0" b="0"/>
                      <wp:wrapNone/>
                      <wp:docPr id="492" name="Frame491"/>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207010" cy="175260"/>
                      <wp:effectExtent l="0" t="0" r="0" b="0"/>
                      <wp:wrapNone/>
                      <wp:docPr id="493" name="Frame4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753110" cy="175260"/>
                      <wp:effectExtent l="0" t="0" r="0" b="0"/>
                      <wp:wrapNone/>
                      <wp:docPr id="494" name="Frame493"/>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6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6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68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pPr>
            <w:r>
              <w:rPr/>
              <w:t>​</w:t>
            </w:r>
          </w:p>
        </w:tc>
      </w:tr>
      <w:tr>
        <w:trPr/>
        <w:tc>
          <w:tcPr>
            <w:tcW w:w="6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liabilities, primarily for advanced payments from online games customers</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1,009,624</w:t>
            </w:r>
          </w:p>
        </w:tc>
        <w:tc>
          <w:tcPr>
            <w:tcW w:w="32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1,043,715</w:t>
            </w:r>
          </w:p>
        </w:tc>
      </w:tr>
      <w:tr>
        <w:trPr/>
        <w:tc>
          <w:tcPr>
            <w:tcW w:w="68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Accruals</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654,348</w:t>
            </w:r>
          </w:p>
        </w:tc>
        <w:tc>
          <w:tcPr>
            <w:tcW w:w="32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808,527</w:t>
            </w:r>
          </w:p>
        </w:tc>
      </w:tr>
      <w:tr>
        <w:trPr/>
        <w:tc>
          <w:tcPr>
            <w:tcW w:w="6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Depreciation and amortization </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7,100</w:t>
            </w:r>
          </w:p>
        </w:tc>
        <w:tc>
          <w:tcPr>
            <w:tcW w:w="32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2,180</w:t>
            </w:r>
          </w:p>
        </w:tc>
      </w:tr>
      <w:tr>
        <w:trPr/>
        <w:tc>
          <w:tcPr>
            <w:tcW w:w="68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operating tax loss carry forward</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3,781,233</w:t>
            </w:r>
          </w:p>
        </w:tc>
        <w:tc>
          <w:tcPr>
            <w:tcW w:w="326" w:type="dxa"/>
            <w:tcBorders/>
            <w:shd w:fill="CCEEFF" w:val="clear"/>
            <w:vAlign w:val="center"/>
          </w:tcPr>
          <w:p>
            <w:pPr>
              <w:pStyle w:val="TableContents"/>
              <w:bidi w:val="0"/>
              <w:spacing w:before="0" w:after="0"/>
              <w:ind w:left="0" w:right="0" w:hanging="0"/>
              <w:jc w:val="left"/>
              <w:rPr/>
            </w:pPr>
            <w:r>
              <w:rPr/>
              <w:t> </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3,424,344</w:t>
            </w:r>
          </w:p>
        </w:tc>
      </w:tr>
      <w:tr>
        <w:trPr/>
        <w:tc>
          <w:tcPr>
            <w:tcW w:w="6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5,452,305</w:t>
            </w:r>
          </w:p>
        </w:tc>
        <w:tc>
          <w:tcPr>
            <w:tcW w:w="32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5,278,766</w:t>
            </w:r>
          </w:p>
        </w:tc>
      </w:tr>
      <w:tr>
        <w:trPr/>
        <w:tc>
          <w:tcPr>
            <w:tcW w:w="68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valuation allowance</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(3,971,516)</w:t>
            </w:r>
          </w:p>
        </w:tc>
        <w:tc>
          <w:tcPr>
            <w:tcW w:w="326" w:type="dxa"/>
            <w:tcBorders/>
            <w:shd w:fill="CCEEFF" w:val="clear"/>
            <w:vAlign w:val="center"/>
          </w:tcPr>
          <w:p>
            <w:pPr>
              <w:pStyle w:val="TableContents"/>
              <w:bidi w:val="0"/>
              <w:spacing w:before="0" w:after="0"/>
              <w:ind w:left="0" w:right="0" w:hanging="0"/>
              <w:jc w:val="left"/>
              <w:rPr/>
            </w:pPr>
            <w:r>
              <w:rPr/>
              <w:t> </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(3,718,678)</w:t>
            </w:r>
          </w:p>
        </w:tc>
      </w:tr>
      <w:tr>
        <w:trPr/>
        <w:tc>
          <w:tcPr>
            <w:tcW w:w="6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1,480,789</w:t>
            </w:r>
          </w:p>
        </w:tc>
        <w:tc>
          <w:tcPr>
            <w:tcW w:w="326" w:type="dxa"/>
            <w:tcBorders/>
            <w:vAlign w:val="center"/>
          </w:tcPr>
          <w:p>
            <w:pPr>
              <w:pStyle w:val="TableContents"/>
              <w:bidi w:val="0"/>
              <w:spacing w:before="0" w:after="0"/>
              <w:ind w:left="0" w:right="0" w:hanging="0"/>
              <w:jc w:val="left"/>
              <w:rPr/>
            </w:pPr>
            <w:r>
              <w:rPr/>
              <w:t> </w:t>
            </w:r>
          </w:p>
        </w:tc>
        <w:tc>
          <w:tcPr>
            <w:tcW w:w="11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1,560,088</w:t>
            </w:r>
          </w:p>
        </w:tc>
      </w:tr>
    </w:tbl>
    <w:p>
      <w:pPr>
        <w:pStyle w:val="TextBody"/>
        <w:bidi w:val="0"/>
        <w:spacing w:before="0" w:after="0"/>
        <w:ind w:left="0" w:right="0" w:hanging="0"/>
        <w:jc w:val="both"/>
        <w:rPr/>
      </w:pPr>
      <w:r>
        <w:rPr/>
        <w:t>​</w:t>
      </w:r>
    </w:p>
    <w:tbl>
      <w:tblPr>
        <w:tblW w:w="5260" w:type="dxa"/>
        <w:jc w:val="left"/>
        <w:tblInd w:w="0" w:type="dxa"/>
        <w:tblLayout w:type="fixed"/>
        <w:tblCellMar>
          <w:top w:w="0" w:type="dxa"/>
          <w:left w:w="0" w:type="dxa"/>
          <w:bottom w:w="0" w:type="dxa"/>
          <w:right w:w="0" w:type="dxa"/>
        </w:tblCellMar>
      </w:tblPr>
      <w:tblGrid>
        <w:gridCol w:w="2281"/>
        <w:gridCol w:w="326"/>
        <w:gridCol w:w="1141"/>
        <w:gridCol w:w="326"/>
        <w:gridCol w:w="1186"/>
      </w:tblGrid>
      <w:tr>
        <w:trPr/>
        <w:tc>
          <w:tcPr>
            <w:tcW w:w="2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1448435" cy="175260"/>
                      <wp:effectExtent l="0" t="0" r="0" b="0"/>
                      <wp:wrapNone/>
                      <wp:docPr id="495" name="Frame494"/>
                      <a:graphic xmlns:a="http://schemas.openxmlformats.org/drawingml/2006/main">
                        <a:graphicData uri="http://schemas.microsoft.com/office/word/2010/wordprocessingShape">
                          <wps:wsp>
                            <wps:cNvSpPr txBox="1"/>
                            <wps:spPr>
                              <a:xfrm>
                                <a:off x="0" y="0"/>
                                <a:ext cx="144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207010" cy="175260"/>
                      <wp:effectExtent l="0" t="0" r="0" b="0"/>
                      <wp:wrapNone/>
                      <wp:docPr id="496" name="Frame4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724535" cy="175260"/>
                      <wp:effectExtent l="0" t="0" r="0" b="0"/>
                      <wp:wrapNone/>
                      <wp:docPr id="497" name="Frame496"/>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207010" cy="175260"/>
                      <wp:effectExtent l="0" t="0" r="0" b="0"/>
                      <wp:wrapNone/>
                      <wp:docPr id="498" name="Frame4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753110" cy="175260"/>
                      <wp:effectExtent l="0" t="0" r="0" b="0"/>
                      <wp:wrapNone/>
                      <wp:docPr id="499" name="Frame498"/>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2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2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2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pPr>
            <w:r>
              <w:rPr/>
              <w:t>​</w:t>
            </w:r>
          </w:p>
        </w:tc>
      </w:tr>
      <w:tr>
        <w:trPr/>
        <w:tc>
          <w:tcPr>
            <w:tcW w:w="228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Withholding income tax</w:t>
            </w:r>
            <w:r>
              <w:rPr>
                <w:rFonts w:ascii="Times New Roman;Times;serif" w:hAnsi="Times New Roman;Times;serif"/>
                <w:sz w:val="15"/>
              </w:rPr>
              <w:t>(d)</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1,947,190</w:t>
            </w:r>
          </w:p>
        </w:tc>
        <w:tc>
          <w:tcPr>
            <w:tcW w:w="32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2,165,573</w:t>
            </w:r>
          </w:p>
        </w:tc>
      </w:tr>
      <w:tr>
        <w:trPr/>
        <w:tc>
          <w:tcPr>
            <w:tcW w:w="2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178,930</w:t>
            </w:r>
          </w:p>
        </w:tc>
        <w:tc>
          <w:tcPr>
            <w:tcW w:w="326" w:type="dxa"/>
            <w:tcBorders/>
            <w:shd w:fill="CCEEFF" w:val="clear"/>
            <w:vAlign w:val="center"/>
          </w:tcPr>
          <w:p>
            <w:pPr>
              <w:pStyle w:val="TableContents"/>
              <w:bidi w:val="0"/>
              <w:spacing w:before="0" w:after="0"/>
              <w:ind w:left="0" w:right="0" w:hanging="0"/>
              <w:jc w:val="left"/>
              <w:rPr/>
            </w:pPr>
            <w:r>
              <w:rPr/>
              <w:t> </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133,730</w:t>
            </w:r>
          </w:p>
        </w:tc>
      </w:tr>
      <w:tr>
        <w:trPr/>
        <w:tc>
          <w:tcPr>
            <w:tcW w:w="2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2,126,120</w:t>
            </w:r>
          </w:p>
        </w:tc>
        <w:tc>
          <w:tcPr>
            <w:tcW w:w="326" w:type="dxa"/>
            <w:tcBorders/>
            <w:vAlign w:val="center"/>
          </w:tcPr>
          <w:p>
            <w:pPr>
              <w:pStyle w:val="TableContents"/>
              <w:bidi w:val="0"/>
              <w:spacing w:before="0" w:after="0"/>
              <w:ind w:left="0" w:right="0" w:hanging="0"/>
              <w:jc w:val="left"/>
              <w:rPr/>
            </w:pPr>
            <w:r>
              <w:rPr/>
              <w:t> </w:t>
            </w:r>
          </w:p>
        </w:tc>
        <w:tc>
          <w:tcPr>
            <w:tcW w:w="11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2,299,303</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Group does not believe that sufficient positive evidence exists to conclude that the recoverability of deferred tax assets of certain entities of the Group is more likely than not to be realized. Consequently, the Group has provided full valuation allowances for certain entities of the Group on the related deferred tax assets. The following table sets forth the movement of the aggregate valuation allowances for deferred tax assets for the periods presented (in thousands):</w:t>
      </w:r>
    </w:p>
    <w:p>
      <w:pPr>
        <w:pStyle w:val="TextBody"/>
        <w:bidi w:val="0"/>
        <w:spacing w:before="0" w:after="0"/>
        <w:ind w:left="0" w:right="0" w:hanging="0"/>
        <w:jc w:val="both"/>
        <w:rPr/>
      </w:pPr>
      <w:r>
        <w:rPr/>
        <w:t>​</w:t>
      </w:r>
    </w:p>
    <w:tbl>
      <w:tblPr>
        <w:tblW w:w="4522" w:type="dxa"/>
        <w:jc w:val="left"/>
        <w:tblInd w:w="0" w:type="dxa"/>
        <w:tblLayout w:type="fixed"/>
        <w:tblCellMar>
          <w:top w:w="0" w:type="dxa"/>
          <w:left w:w="0" w:type="dxa"/>
          <w:bottom w:w="0" w:type="dxa"/>
          <w:right w:w="0" w:type="dxa"/>
        </w:tblCellMar>
      </w:tblPr>
      <w:tblGrid>
        <w:gridCol w:w="541"/>
        <w:gridCol w:w="326"/>
        <w:gridCol w:w="931"/>
        <w:gridCol w:w="326"/>
        <w:gridCol w:w="976"/>
        <w:gridCol w:w="326"/>
        <w:gridCol w:w="1096"/>
      </w:tblGrid>
      <w:tr>
        <w:trPr/>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343535" cy="175260"/>
                      <wp:effectExtent l="0" t="0" r="0" b="0"/>
                      <wp:wrapNone/>
                      <wp:docPr id="500" name="Frame499"/>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207010" cy="175260"/>
                      <wp:effectExtent l="0" t="0" r="0" b="0"/>
                      <wp:wrapNone/>
                      <wp:docPr id="501" name="Frame5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591185" cy="175260"/>
                      <wp:effectExtent l="0" t="0" r="0" b="0"/>
                      <wp:wrapNone/>
                      <wp:docPr id="502" name="Frame50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207010" cy="175260"/>
                      <wp:effectExtent l="0" t="0" r="0" b="0"/>
                      <wp:wrapNone/>
                      <wp:docPr id="503" name="Frame5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619760" cy="175260"/>
                      <wp:effectExtent l="0" t="0" r="0" b="0"/>
                      <wp:wrapNone/>
                      <wp:docPr id="504" name="Frame503"/>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207010" cy="175260"/>
                      <wp:effectExtent l="0" t="0" r="0" b="0"/>
                      <wp:wrapNone/>
                      <wp:docPr id="505" name="Frame5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695960" cy="175260"/>
                      <wp:effectExtent l="0" t="0" r="0" b="0"/>
                      <wp:wrapNone/>
                      <wp:docPr id="506" name="Frame505"/>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 at</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change</w:t>
            </w:r>
          </w:p>
        </w:tc>
        <w:tc>
          <w:tcPr>
            <w:tcW w:w="32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 at</w:t>
            </w:r>
          </w:p>
        </w:tc>
      </w:tr>
      <w:tr>
        <w:trPr/>
        <w:tc>
          <w:tcPr>
            <w:tcW w:w="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1</w:t>
            </w:r>
          </w:p>
        </w:tc>
        <w:tc>
          <w:tcPr>
            <w:tcW w:w="326" w:type="dxa"/>
            <w:tcBorders/>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w:t>
            </w:r>
          </w:p>
        </w:tc>
        <w:tc>
          <w:tcPr>
            <w:tcW w:w="326" w:type="dxa"/>
            <w:tcBorders/>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2021</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3,255,854</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393,016</w:t>
            </w:r>
          </w:p>
        </w:tc>
        <w:tc>
          <w:tcPr>
            <w:tcW w:w="32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3,648,870</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2022</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3,648,870</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322,646</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3,971,516</w:t>
            </w:r>
          </w:p>
        </w:tc>
      </w:tr>
      <w:tr>
        <w:trPr/>
        <w:tc>
          <w:tcPr>
            <w:tcW w:w="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2023</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3,971,516</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(252,838)</w:t>
            </w:r>
          </w:p>
        </w:tc>
        <w:tc>
          <w:tcPr>
            <w:tcW w:w="32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3,718,678</w:t>
            </w:r>
          </w:p>
        </w:tc>
      </w:tr>
    </w:tbl>
    <w:p>
      <w:pPr>
        <w:pStyle w:val="TextBody"/>
        <w:bidi w:val="0"/>
        <w:spacing w:before="0" w:after="0"/>
        <w:ind w:left="0" w:right="0" w:hanging="0"/>
        <w:jc w:val="both"/>
        <w:rPr/>
      </w:pPr>
      <w:r>
        <w:rPr/>
        <w:t>​</w:t>
      </w:r>
    </w:p>
    <w:tbl>
      <w:tblPr>
        <w:tblW w:w="2537" w:type="dxa"/>
        <w:jc w:val="left"/>
        <w:tblInd w:w="0" w:type="dxa"/>
        <w:tblLayout w:type="fixed"/>
        <w:tblCellMar>
          <w:top w:w="0" w:type="dxa"/>
          <w:left w:w="0" w:type="dxa"/>
          <w:bottom w:w="0" w:type="dxa"/>
          <w:right w:w="0" w:type="dxa"/>
        </w:tblCellMar>
      </w:tblPr>
      <w:tblGrid>
        <w:gridCol w:w="346"/>
        <w:gridCol w:w="2191"/>
      </w:tblGrid>
      <w:tr>
        <w:trPr/>
        <w:tc>
          <w:tcPr>
            <w:tcW w:w="34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w:t>
            </w:r>
          </w:p>
        </w:tc>
        <w:tc>
          <w:tcPr>
            <w:tcW w:w="219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Withholding income tax</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EIT Law also imposes a withholding income tax of 10% on dividends distributed by an enterprise in China to its non-resident enterprise investors. A lower withholding income tax rate of 5% is applied if the non-resident enterprise investor is registered in Hong Kong with at least 25% equity interest in the PRC enterprise and meets the relevant conditions or requirements pursuant to the tax arrangement between mainland China and Hong Kong. On February 22, 2008, the Ministry of Finance and State Taxation Administration jointly issued a circular which stated that for FIEs, all profits accumulated up to December 31, 2007 are exempted from withholding tax when they are distributed to foreign investors.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Group accrued RMB1.1 billion, RMB2.1 billion and RMB1.5 billion (US$214.7 million) withholding tax liabilities associated with all of its earnings expected to be distributed from its PRC subsidiaries to overseas for general corporate purposes in 2021, 2022 and 2023, respectively. The Group have repatriated a portion of these earnings and paid related withholding income tax in 2021, 2022 and 2023. As of December 31, 2022 and 2023, deferred tax liabilities were fully provided related to undistributed earnings of the Group’s PRC subsidiaries.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790" w:name="Tc_HmvxrOYsBE63V5efjcZoxw_7_0"/>
      <w:bookmarkStart w:id="1791" w:name="Tc_JvO6OFAO6k-IRreWnybm0w_6_0"/>
      <w:bookmarkStart w:id="1792" w:name="Tc_pB65x6K96kK0eacxMl3izg_5_0"/>
      <w:bookmarkStart w:id="1793" w:name="Tc_DPtwwPNQx0-E5eKLEfcdtA_4_0"/>
      <w:bookmarkStart w:id="1794" w:name="Tc_7cpvkoBQW0yP_iOo9bbKBg_3_4"/>
      <w:bookmarkStart w:id="1795" w:name="Tc_b3kvlwL6nUCocnzNKFOcSA_3_2"/>
      <w:bookmarkStart w:id="1796" w:name="Tc_YcMebgiGyEiYL_JBlQa2Jg_2_4"/>
      <w:bookmarkStart w:id="1797" w:name="Tc_DWZLiUnLIkaMFeVJxiaz1A_2_2"/>
      <w:bookmarkStart w:id="1798" w:name="Tc_D-UPuAZ0_EecwpthGwunhQ_1_4"/>
      <w:bookmarkStart w:id="1799" w:name="Tc_EuBswuhVtUKGS00ksBiZKg_1_2"/>
      <w:bookmarkStart w:id="1800" w:name="_ef4f33b5_ad0f_4dd0_9e38_3a87ec4c27b2"/>
      <w:bookmarkStart w:id="1801" w:name="Tc_HmvxrOYsBE63V5efjcZoxw_7_0"/>
      <w:bookmarkStart w:id="1802" w:name="Tc_JvO6OFAO6k-IRreWnybm0w_6_0"/>
      <w:bookmarkStart w:id="1803" w:name="Tc_pB65x6K96kK0eacxMl3izg_5_0"/>
      <w:bookmarkStart w:id="1804" w:name="Tc_DPtwwPNQx0-E5eKLEfcdtA_4_0"/>
      <w:bookmarkStart w:id="1805" w:name="Tc_7cpvkoBQW0yP_iOo9bbKBg_3_4"/>
      <w:bookmarkStart w:id="1806" w:name="Tc_b3kvlwL6nUCocnzNKFOcSA_3_2"/>
      <w:bookmarkStart w:id="1807" w:name="Tc_YcMebgiGyEiYL_JBlQa2Jg_2_4"/>
      <w:bookmarkStart w:id="1808" w:name="Tc_DWZLiUnLIkaMFeVJxiaz1A_2_2"/>
      <w:bookmarkStart w:id="1809" w:name="Tc_D-UPuAZ0_EecwpthGwunhQ_1_4"/>
      <w:bookmarkStart w:id="1810" w:name="Tc_EuBswuhVtUKGS00ksBiZKg_1_2"/>
      <w:bookmarkStart w:id="1811" w:name="_ef4f33b5_ad0f_4dd0_9e38_3a87ec4c27b2"/>
      <w:bookmarkEnd w:id="1801"/>
      <w:bookmarkEnd w:id="1802"/>
      <w:bookmarkEnd w:id="1803"/>
      <w:bookmarkEnd w:id="1804"/>
      <w:bookmarkEnd w:id="1805"/>
      <w:bookmarkEnd w:id="1806"/>
      <w:bookmarkEnd w:id="1807"/>
      <w:bookmarkEnd w:id="1808"/>
      <w:bookmarkEnd w:id="1809"/>
      <w:bookmarkEnd w:id="1810"/>
      <w:bookmarkEnd w:id="1811"/>
    </w:p>
    <w:tbl>
      <w:tblPr>
        <w:tblW w:w="1772" w:type="dxa"/>
        <w:jc w:val="left"/>
        <w:tblInd w:w="0" w:type="dxa"/>
        <w:tblLayout w:type="fixed"/>
        <w:tblCellMar>
          <w:top w:w="0" w:type="dxa"/>
          <w:left w:w="0" w:type="dxa"/>
          <w:bottom w:w="0" w:type="dxa"/>
          <w:right w:w="0" w:type="dxa"/>
        </w:tblCellMar>
      </w:tblPr>
      <w:tblGrid>
        <w:gridCol w:w="376"/>
        <w:gridCol w:w="1396"/>
      </w:tblGrid>
      <w:tr>
        <w:trPr/>
        <w:tc>
          <w:tcPr>
            <w:tcW w:w="37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14.</w:t>
            </w:r>
          </w:p>
        </w:tc>
        <w:tc>
          <w:tcPr>
            <w:tcW w:w="139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Taxes Payable</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is a summary of taxes payable as of December 31, 2022 and 2023 (in thousands):</w:t>
      </w:r>
    </w:p>
    <w:p>
      <w:pPr>
        <w:pStyle w:val="TextBody"/>
        <w:bidi w:val="0"/>
        <w:spacing w:before="0" w:after="0"/>
        <w:ind w:left="0" w:right="0" w:hanging="0"/>
        <w:jc w:val="both"/>
        <w:rPr/>
      </w:pPr>
      <w:r>
        <w:rPr/>
        <w:t>​</w:t>
      </w:r>
    </w:p>
    <w:tbl>
      <w:tblPr>
        <w:tblW w:w="7345" w:type="dxa"/>
        <w:jc w:val="left"/>
        <w:tblInd w:w="0" w:type="dxa"/>
        <w:tblLayout w:type="fixed"/>
        <w:tblCellMar>
          <w:top w:w="0" w:type="dxa"/>
          <w:left w:w="0" w:type="dxa"/>
          <w:bottom w:w="0" w:type="dxa"/>
          <w:right w:w="0" w:type="dxa"/>
        </w:tblCellMar>
      </w:tblPr>
      <w:tblGrid>
        <w:gridCol w:w="4366"/>
        <w:gridCol w:w="326"/>
        <w:gridCol w:w="1141"/>
        <w:gridCol w:w="326"/>
        <w:gridCol w:w="1186"/>
      </w:tblGrid>
      <w:tr>
        <w:trPr/>
        <w:tc>
          <w:tcPr>
            <w:tcW w:w="4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2772410" cy="175260"/>
                      <wp:effectExtent l="0" t="0" r="0" b="0"/>
                      <wp:wrapNone/>
                      <wp:docPr id="507" name="Frame506"/>
                      <a:graphic xmlns:a="http://schemas.openxmlformats.org/drawingml/2006/main">
                        <a:graphicData uri="http://schemas.microsoft.com/office/word/2010/wordprocessingShape">
                          <wps:wsp>
                            <wps:cNvSpPr txBox="1"/>
                            <wps:spPr>
                              <a:xfrm>
                                <a:off x="0" y="0"/>
                                <a:ext cx="2772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207010" cy="175260"/>
                      <wp:effectExtent l="0" t="0" r="0" b="0"/>
                      <wp:wrapNone/>
                      <wp:docPr id="508" name="Frame5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724535" cy="175260"/>
                      <wp:effectExtent l="0" t="0" r="0" b="0"/>
                      <wp:wrapNone/>
                      <wp:docPr id="509" name="Frame508"/>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207010" cy="175260"/>
                      <wp:effectExtent l="0" t="0" r="0" b="0"/>
                      <wp:wrapNone/>
                      <wp:docPr id="510" name="Frame5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753110" cy="175260"/>
                      <wp:effectExtent l="0" t="0" r="0" b="0"/>
                      <wp:wrapNone/>
                      <wp:docPr id="511" name="Frame510"/>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3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3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43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Tax payable</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290,272</w:t>
            </w:r>
          </w:p>
        </w:tc>
        <w:tc>
          <w:tcPr>
            <w:tcW w:w="32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277,201</w:t>
            </w:r>
          </w:p>
        </w:tc>
      </w:tr>
      <w:tr>
        <w:trPr/>
        <w:tc>
          <w:tcPr>
            <w:tcW w:w="43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Withholding individual income taxes for employees</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306,861</w:t>
            </w:r>
          </w:p>
        </w:tc>
        <w:tc>
          <w:tcPr>
            <w:tcW w:w="32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378,103</w:t>
            </w:r>
          </w:p>
        </w:tc>
      </w:tr>
      <w:tr>
        <w:trPr/>
        <w:tc>
          <w:tcPr>
            <w:tcW w:w="43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EIT payable</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2,116,014</w:t>
            </w:r>
          </w:p>
        </w:tc>
        <w:tc>
          <w:tcPr>
            <w:tcW w:w="32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1,790,393</w:t>
            </w:r>
          </w:p>
        </w:tc>
      </w:tr>
      <w:tr>
        <w:trPr/>
        <w:tc>
          <w:tcPr>
            <w:tcW w:w="43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99,949</w:t>
            </w:r>
          </w:p>
        </w:tc>
        <w:tc>
          <w:tcPr>
            <w:tcW w:w="326" w:type="dxa"/>
            <w:tcBorders/>
            <w:vAlign w:val="center"/>
          </w:tcPr>
          <w:p>
            <w:pPr>
              <w:pStyle w:val="TableContents"/>
              <w:bidi w:val="0"/>
              <w:spacing w:before="0" w:after="0"/>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125,837</w:t>
            </w:r>
          </w:p>
        </w:tc>
      </w:tr>
      <w:tr>
        <w:trPr/>
        <w:tc>
          <w:tcPr>
            <w:tcW w:w="43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2,813,096</w:t>
            </w:r>
          </w:p>
        </w:tc>
        <w:tc>
          <w:tcPr>
            <w:tcW w:w="326" w:type="dxa"/>
            <w:tcBorders/>
            <w:shd w:fill="CCEEFF" w:val="clear"/>
            <w:vAlign w:val="center"/>
          </w:tcPr>
          <w:p>
            <w:pPr>
              <w:pStyle w:val="TableContents"/>
              <w:bidi w:val="0"/>
              <w:spacing w:before="0" w:after="0"/>
              <w:ind w:left="0" w:right="0" w:hanging="0"/>
              <w:jc w:val="left"/>
              <w:rPr/>
            </w:pPr>
            <w:r>
              <w:rPr/>
              <w:t> </w:t>
            </w:r>
          </w:p>
        </w:tc>
        <w:tc>
          <w:tcPr>
            <w:tcW w:w="11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2,571,534</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1812" w:name="_0e35f510_d010_4049_87f4_454d6f7d9bfd_3"/>
      <w:bookmarkStart w:id="1813" w:name="_0e35f510_d010_4049_87f4_454d6f7d9bfd_2"/>
      <w:bookmarkStart w:id="1814" w:name="_0e35f510_d010_4049_87f4_454d6f7d9bfd"/>
      <w:bookmarkStart w:id="1815" w:name="_0e35f510_d010_4049_87f4_454d6f7d9bfd_3"/>
      <w:bookmarkStart w:id="1816" w:name="_0e35f510_d010_4049_87f4_454d6f7d9bfd_2"/>
      <w:bookmarkStart w:id="1817" w:name="_0e35f510_d010_4049_87f4_454d6f7d9bfd"/>
      <w:bookmarkEnd w:id="1815"/>
      <w:bookmarkEnd w:id="1816"/>
      <w:bookmarkEnd w:id="1817"/>
    </w:p>
    <w:tbl>
      <w:tblPr>
        <w:tblW w:w="2027" w:type="dxa"/>
        <w:jc w:val="left"/>
        <w:tblInd w:w="0" w:type="dxa"/>
        <w:tblLayout w:type="fixed"/>
        <w:tblCellMar>
          <w:top w:w="0" w:type="dxa"/>
          <w:left w:w="0" w:type="dxa"/>
          <w:bottom w:w="0" w:type="dxa"/>
          <w:right w:w="0" w:type="dxa"/>
        </w:tblCellMar>
      </w:tblPr>
      <w:tblGrid>
        <w:gridCol w:w="376"/>
        <w:gridCol w:w="1651"/>
      </w:tblGrid>
      <w:tr>
        <w:trPr/>
        <w:tc>
          <w:tcPr>
            <w:tcW w:w="37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15.</w:t>
            </w:r>
          </w:p>
        </w:tc>
        <w:tc>
          <w:tcPr>
            <w:tcW w:w="165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Short-term Loans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2022 and 2023, the short-term loans balances represent short-term loan arrangements with financial institutions which were repayable within a maturity term ranging from one week to one year and charged at a fixed interest rates ranging 0.65% and 5.85% per annum. As of December 31, 2022 and 2023, the weighted average interest rate for the outstanding short-term loans was approximately 4.36% and 3.79%, respectively. The short-term loans are mainly denominated in RMB and US$.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 has entered into several uncommitted loan credit facility agreements provided by certain financial institutions. As of December 31, 2023, US$3.1 billion of such credit facilities has not been utilized.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Group has also entered into several guarantee agreements in the aggregate amount of US$2.3 billion in respect of certain credit facilities taken by the Company and its subsidiaries. As at December 31, 2023, US$1.1 billion of such credit facilities had not been utilized.</w:t>
      </w:r>
    </w:p>
    <w:p>
      <w:pPr>
        <w:pStyle w:val="TextBody"/>
        <w:bidi w:val="0"/>
        <w:spacing w:before="0" w:after="0"/>
        <w:ind w:left="0" w:right="0" w:hanging="0"/>
        <w:jc w:val="both"/>
        <w:rPr/>
      </w:pPr>
      <w:r>
        <w:rPr/>
        <w:t>​</w:t>
      </w:r>
    </w:p>
    <w:tbl>
      <w:tblPr>
        <w:tblW w:w="2192" w:type="dxa"/>
        <w:jc w:val="left"/>
        <w:tblInd w:w="0" w:type="dxa"/>
        <w:tblLayout w:type="fixed"/>
        <w:tblCellMar>
          <w:top w:w="0" w:type="dxa"/>
          <w:left w:w="0" w:type="dxa"/>
          <w:bottom w:w="0" w:type="dxa"/>
          <w:right w:w="0" w:type="dxa"/>
        </w:tblCellMar>
      </w:tblPr>
      <w:tblGrid>
        <w:gridCol w:w="376"/>
        <w:gridCol w:w="1816"/>
      </w:tblGrid>
      <w:tr>
        <w:trPr/>
        <w:tc>
          <w:tcPr>
            <w:tcW w:w="37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16.</w:t>
            </w:r>
          </w:p>
        </w:tc>
        <w:tc>
          <w:tcPr>
            <w:tcW w:w="181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Contract Liabilities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Contract liabilities represents sales proceeds from prepaid points sold, unamortized mobile game in-game spending, prepaid products fees before delivery and prepaid subscription fees for internet value-added services for which services are yet to be provided as of the balance sheet dates.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year ended December 31, 2023, the additions to the contract liabilities balance were primarily due to cash payments received or due in advance of satisfying the Group’s performance obligations, while the reductions to the contract liabilities balance were primarily due to the recognition of revenues upon fulfillment of the Group’s performance obligations, both of which were in the ordinary course of business. During the year ended December 31, 2022 and 2023, RMB11.8 billion and RMB12.0 billion of revenues recognized were included in the contract liabilities balance at the beginning of the year, respectively.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December 31, 2023, the aggregate amount of transaction price allocated to the unsatisfied performance obligations is RMB14.0 billion, which was recorded under contract liabilities and to be recognized as revenues in future periods. The Group expects to recognize RMB13.4 billion as revenues over the next 12 months, and the remaining unsatisfied performance obligations expected to be recognized thereafter was recognized in other long-term liabilities. This balance does not include an estimate for variable consideration arising from sales rebates to advertising service customers and estimated breakage for online points.</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818" w:name="Tc_gVQTtmQRPEGykwQxTjMW1g_16_0"/>
      <w:bookmarkStart w:id="1819" w:name="Tc_LP6gDS6Q2kihuC678yHqWg_15_0"/>
      <w:bookmarkStart w:id="1820" w:name="Tc_qlG_pmVpBU2vhAfnJLz_Bw_14_0"/>
      <w:bookmarkStart w:id="1821" w:name="Tc_K3P70cbIAE6_XgFIbuCbtA_13_0"/>
      <w:bookmarkStart w:id="1822" w:name="Tc_mowbFZd2qUqJuBQaVft5UQ_12_0"/>
      <w:bookmarkStart w:id="1823" w:name="Tc_s0rYoDNAR0S7jcV1DN5HgA_11_0"/>
      <w:bookmarkStart w:id="1824" w:name="Tc_wUTWbeycLEGL1Ec5yrK8iA_10_0"/>
      <w:bookmarkStart w:id="1825" w:name="Tc_ro5OkX-JIE-URIOVVTRNug_9_0"/>
      <w:bookmarkStart w:id="1826" w:name="Tc_kM1AdIqg00CQd-D8_FkcBw_8_0"/>
      <w:bookmarkStart w:id="1827" w:name="Tc_EwCh0lmcQEuSTjP_jW933g_7_0"/>
      <w:bookmarkStart w:id="1828" w:name="Tc_x0RstutDwUy6DrAborIbxQ_6_0"/>
      <w:bookmarkStart w:id="1829" w:name="Tc_qpKlYfw4eUetzxC_6_ft6w_5_0"/>
      <w:bookmarkStart w:id="1830" w:name="Tc_kTAynqVm_Emrwfdp8ipoFw_4_0"/>
      <w:bookmarkStart w:id="1831" w:name="Tc_vtn_pzMxmUmXv1es6kVi8w_3_4"/>
      <w:bookmarkStart w:id="1832" w:name="Tc_-eNadrLKBkqEZxRjyYJumg_3_2"/>
      <w:bookmarkStart w:id="1833" w:name="Tc_L4quqQOQC0CUuMNmvZ8C2g_2_4"/>
      <w:bookmarkStart w:id="1834" w:name="Tc_HvxyKylAdEOufIe_Gajnng_2_2"/>
      <w:bookmarkStart w:id="1835" w:name="Tc_aZqycEG8nUOroo3khPYSTw_1_4"/>
      <w:bookmarkStart w:id="1836" w:name="Tc_1HUqW3EGjUOGCKCIM_oc1w_1_2"/>
      <w:bookmarkStart w:id="1837" w:name="_c7727ad0_e298_4707_b9f9_cba974e60d3c"/>
      <w:bookmarkStart w:id="1838" w:name="Tc_gVQTtmQRPEGykwQxTjMW1g_16_0"/>
      <w:bookmarkStart w:id="1839" w:name="Tc_LP6gDS6Q2kihuC678yHqWg_15_0"/>
      <w:bookmarkStart w:id="1840" w:name="Tc_qlG_pmVpBU2vhAfnJLz_Bw_14_0"/>
      <w:bookmarkStart w:id="1841" w:name="Tc_K3P70cbIAE6_XgFIbuCbtA_13_0"/>
      <w:bookmarkStart w:id="1842" w:name="Tc_mowbFZd2qUqJuBQaVft5UQ_12_0"/>
      <w:bookmarkStart w:id="1843" w:name="Tc_s0rYoDNAR0S7jcV1DN5HgA_11_0"/>
      <w:bookmarkStart w:id="1844" w:name="Tc_wUTWbeycLEGL1Ec5yrK8iA_10_0"/>
      <w:bookmarkStart w:id="1845" w:name="Tc_ro5OkX-JIE-URIOVVTRNug_9_0"/>
      <w:bookmarkStart w:id="1846" w:name="Tc_kM1AdIqg00CQd-D8_FkcBw_8_0"/>
      <w:bookmarkStart w:id="1847" w:name="Tc_EwCh0lmcQEuSTjP_jW933g_7_0"/>
      <w:bookmarkStart w:id="1848" w:name="Tc_x0RstutDwUy6DrAborIbxQ_6_0"/>
      <w:bookmarkStart w:id="1849" w:name="Tc_qpKlYfw4eUetzxC_6_ft6w_5_0"/>
      <w:bookmarkStart w:id="1850" w:name="Tc_kTAynqVm_Emrwfdp8ipoFw_4_0"/>
      <w:bookmarkStart w:id="1851" w:name="Tc_vtn_pzMxmUmXv1es6kVi8w_3_4"/>
      <w:bookmarkStart w:id="1852" w:name="Tc_-eNadrLKBkqEZxRjyYJumg_3_2"/>
      <w:bookmarkStart w:id="1853" w:name="Tc_L4quqQOQC0CUuMNmvZ8C2g_2_4"/>
      <w:bookmarkStart w:id="1854" w:name="Tc_HvxyKylAdEOufIe_Gajnng_2_2"/>
      <w:bookmarkStart w:id="1855" w:name="Tc_aZqycEG8nUOroo3khPYSTw_1_4"/>
      <w:bookmarkStart w:id="1856" w:name="Tc_1HUqW3EGjUOGCKCIM_oc1w_1_2"/>
      <w:bookmarkStart w:id="1857" w:name="_c7727ad0_e298_4707_b9f9_cba974e60d3c"/>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p>
    <w:tbl>
      <w:tblPr>
        <w:tblW w:w="3857" w:type="dxa"/>
        <w:jc w:val="left"/>
        <w:tblInd w:w="0" w:type="dxa"/>
        <w:tblLayout w:type="fixed"/>
        <w:tblCellMar>
          <w:top w:w="0" w:type="dxa"/>
          <w:left w:w="0" w:type="dxa"/>
          <w:bottom w:w="0" w:type="dxa"/>
          <w:right w:w="0" w:type="dxa"/>
        </w:tblCellMar>
      </w:tblPr>
      <w:tblGrid>
        <w:gridCol w:w="376"/>
        <w:gridCol w:w="3481"/>
      </w:tblGrid>
      <w:tr>
        <w:trPr/>
        <w:tc>
          <w:tcPr>
            <w:tcW w:w="37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17.</w:t>
            </w:r>
          </w:p>
        </w:tc>
        <w:tc>
          <w:tcPr>
            <w:tcW w:w="348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Accrued Liabilities and Other Payables</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is a summary of accrued liabilities and other payables as of December 31, 2022 and 2023 (in thousands):</w:t>
      </w:r>
    </w:p>
    <w:p>
      <w:pPr>
        <w:pStyle w:val="TextBody"/>
        <w:bidi w:val="0"/>
        <w:spacing w:before="0" w:after="0"/>
        <w:ind w:left="0" w:right="0" w:hanging="0"/>
        <w:jc w:val="both"/>
        <w:rPr/>
      </w:pPr>
      <w:r>
        <w:rPr/>
        <w:t>​</w:t>
      </w:r>
    </w:p>
    <w:tbl>
      <w:tblPr>
        <w:tblW w:w="7270" w:type="dxa"/>
        <w:jc w:val="left"/>
        <w:tblInd w:w="0" w:type="dxa"/>
        <w:tblLayout w:type="fixed"/>
        <w:tblCellMar>
          <w:top w:w="0" w:type="dxa"/>
          <w:left w:w="0" w:type="dxa"/>
          <w:bottom w:w="0" w:type="dxa"/>
          <w:right w:w="0" w:type="dxa"/>
        </w:tblCellMar>
      </w:tblPr>
      <w:tblGrid>
        <w:gridCol w:w="4291"/>
        <w:gridCol w:w="326"/>
        <w:gridCol w:w="1141"/>
        <w:gridCol w:w="326"/>
        <w:gridCol w:w="1186"/>
      </w:tblGrid>
      <w:tr>
        <w:trPr/>
        <w:tc>
          <w:tcPr>
            <w:tcW w:w="4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2724785" cy="175260"/>
                      <wp:effectExtent l="0" t="0" r="0" b="0"/>
                      <wp:wrapNone/>
                      <wp:docPr id="512" name="Frame511"/>
                      <a:graphic xmlns:a="http://schemas.openxmlformats.org/drawingml/2006/main">
                        <a:graphicData uri="http://schemas.microsoft.com/office/word/2010/wordprocessingShape">
                          <wps:wsp>
                            <wps:cNvSpPr txBox="1"/>
                            <wps:spPr>
                              <a:xfrm>
                                <a:off x="0" y="0"/>
                                <a:ext cx="2724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207010" cy="175260"/>
                      <wp:effectExtent l="0" t="0" r="0" b="0"/>
                      <wp:wrapNone/>
                      <wp:docPr id="513" name="Frame5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724535" cy="175260"/>
                      <wp:effectExtent l="0" t="0" r="0" b="0"/>
                      <wp:wrapNone/>
                      <wp:docPr id="514" name="Frame513"/>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207010" cy="175260"/>
                      <wp:effectExtent l="0" t="0" r="0" b="0"/>
                      <wp:wrapNone/>
                      <wp:docPr id="515" name="Frame5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753110" cy="175260"/>
                      <wp:effectExtent l="0" t="0" r="0" b="0"/>
                      <wp:wrapNone/>
                      <wp:docPr id="516" name="Frame515"/>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2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2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4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deposits on NetEase Pay accounts</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3,113,107</w:t>
            </w:r>
          </w:p>
        </w:tc>
        <w:tc>
          <w:tcPr>
            <w:tcW w:w="32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3,268,237</w:t>
            </w:r>
          </w:p>
        </w:tc>
      </w:tr>
      <w:tr>
        <w:trPr/>
        <w:tc>
          <w:tcPr>
            <w:tcW w:w="4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Marketing expenses and promotion materials</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2,046,559</w:t>
            </w:r>
          </w:p>
        </w:tc>
        <w:tc>
          <w:tcPr>
            <w:tcW w:w="32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3,063,280</w:t>
            </w:r>
          </w:p>
        </w:tc>
      </w:tr>
      <w:tr>
        <w:trPr/>
        <w:tc>
          <w:tcPr>
            <w:tcW w:w="4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Content cost</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1,703,218</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1,432,706</w:t>
            </w:r>
          </w:p>
        </w:tc>
      </w:tr>
      <w:tr>
        <w:trPr/>
        <w:tc>
          <w:tcPr>
            <w:tcW w:w="4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fixed assets related payables</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635,566</w:t>
            </w:r>
          </w:p>
        </w:tc>
        <w:tc>
          <w:tcPr>
            <w:tcW w:w="32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1,027,401</w:t>
            </w:r>
          </w:p>
        </w:tc>
      </w:tr>
      <w:tr>
        <w:trPr/>
        <w:tc>
          <w:tcPr>
            <w:tcW w:w="4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revenue sharing</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1,032,559</w:t>
            </w:r>
          </w:p>
        </w:tc>
        <w:tc>
          <w:tcPr>
            <w:tcW w:w="32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969,903</w:t>
            </w:r>
          </w:p>
        </w:tc>
      </w:tr>
      <w:tr>
        <w:trPr/>
        <w:tc>
          <w:tcPr>
            <w:tcW w:w="4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Professional fees and technical charges</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595,491</w:t>
            </w:r>
          </w:p>
        </w:tc>
        <w:tc>
          <w:tcPr>
            <w:tcW w:w="32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789,955</w:t>
            </w:r>
          </w:p>
        </w:tc>
      </w:tr>
      <w:tr>
        <w:trPr/>
        <w:tc>
          <w:tcPr>
            <w:tcW w:w="4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Administrative expenses and other staff related cost</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414,214</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448,926</w:t>
            </w:r>
          </w:p>
        </w:tc>
      </w:tr>
      <w:tr>
        <w:trPr/>
        <w:tc>
          <w:tcPr>
            <w:tcW w:w="4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government grants</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179,961</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356,239</w:t>
            </w:r>
          </w:p>
        </w:tc>
      </w:tr>
      <w:tr>
        <w:trPr/>
        <w:tc>
          <w:tcPr>
            <w:tcW w:w="4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 considerations</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203,584</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204,229</w:t>
            </w:r>
          </w:p>
        </w:tc>
      </w:tr>
      <w:tr>
        <w:trPr/>
        <w:tc>
          <w:tcPr>
            <w:tcW w:w="4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Server and bandwidth service fees </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246,243</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196,202</w:t>
            </w:r>
          </w:p>
        </w:tc>
      </w:tr>
      <w:tr>
        <w:trPr/>
        <w:tc>
          <w:tcPr>
            <w:tcW w:w="4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refund for licensed games</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283,763</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97,301</w:t>
            </w:r>
          </w:p>
        </w:tc>
      </w:tr>
      <w:tr>
        <w:trPr/>
        <w:tc>
          <w:tcPr>
            <w:tcW w:w="4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freight and warehousing charge</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105,356</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83,902</w:t>
            </w:r>
          </w:p>
        </w:tc>
      </w:tr>
      <w:tr>
        <w:trPr/>
        <w:tc>
          <w:tcPr>
            <w:tcW w:w="4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562,401</w:t>
            </w:r>
          </w:p>
        </w:tc>
        <w:tc>
          <w:tcPr>
            <w:tcW w:w="326" w:type="dxa"/>
            <w:tcBorders/>
            <w:shd w:fill="CCEEFF" w:val="clear"/>
            <w:vAlign w:val="center"/>
          </w:tcPr>
          <w:p>
            <w:pPr>
              <w:pStyle w:val="TableContents"/>
              <w:bidi w:val="0"/>
              <w:spacing w:before="0" w:after="0"/>
              <w:ind w:left="0" w:right="0" w:hanging="0"/>
              <w:jc w:val="left"/>
              <w:rPr/>
            </w:pPr>
            <w:r>
              <w:rPr/>
              <w:t> </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732,625</w:t>
            </w:r>
          </w:p>
        </w:tc>
      </w:tr>
      <w:tr>
        <w:trPr/>
        <w:tc>
          <w:tcPr>
            <w:tcW w:w="42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11,122,022</w:t>
            </w:r>
          </w:p>
        </w:tc>
        <w:tc>
          <w:tcPr>
            <w:tcW w:w="326" w:type="dxa"/>
            <w:tcBorders/>
            <w:vAlign w:val="center"/>
          </w:tcPr>
          <w:p>
            <w:pPr>
              <w:pStyle w:val="TableContents"/>
              <w:bidi w:val="0"/>
              <w:spacing w:before="0" w:after="0"/>
              <w:ind w:left="0" w:right="0" w:hanging="0"/>
              <w:jc w:val="left"/>
              <w:rPr/>
            </w:pPr>
            <w:r>
              <w:rPr/>
              <w:t> </w:t>
            </w:r>
          </w:p>
        </w:tc>
        <w:tc>
          <w:tcPr>
            <w:tcW w:w="11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12,670,906</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18.</w:t>
      </w:r>
      <w:r>
        <w:rPr>
          <w:rFonts w:ascii="Times New Roman;Times;serif" w:hAnsi="Times New Roman;Times;serif"/>
          <w:b/>
          <w:sz w:val="20"/>
        </w:rPr>
        <w:t>Long-term Loans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June 2, 2021, the Group entered into a five-year term loan facility and revolving loan facility agreement with aggregate commitments of US$1.0 billion. The facility is priced at 85 basis points per annum over LIBOR and has a commitment fee of 0.20% on the undrawn portion. There were US$500.0 million and nil of borrowings outstanding under the syndicated facility with no pledge as of December 31, 2022 and 2023, respectively. In early 2024, the Group voluntarily canceled this loan facility.</w:t>
      </w:r>
    </w:p>
    <w:p>
      <w:pPr>
        <w:pStyle w:val="TextBody"/>
        <w:bidi w:val="0"/>
        <w:spacing w:before="0" w:after="0"/>
        <w:ind w:left="0" w:right="0" w:hanging="0"/>
        <w:jc w:val="both"/>
        <w:rPr/>
      </w:pPr>
      <w:r>
        <w:rPr/>
        <w:t>​</w:t>
      </w:r>
    </w:p>
    <w:tbl>
      <w:tblPr>
        <w:tblW w:w="6122" w:type="dxa"/>
        <w:jc w:val="left"/>
        <w:tblInd w:w="0" w:type="dxa"/>
        <w:tblLayout w:type="fixed"/>
        <w:tblCellMar>
          <w:top w:w="0" w:type="dxa"/>
          <w:left w:w="0" w:type="dxa"/>
          <w:bottom w:w="0" w:type="dxa"/>
          <w:right w:w="0" w:type="dxa"/>
        </w:tblCellMar>
      </w:tblPr>
      <w:tblGrid>
        <w:gridCol w:w="376"/>
        <w:gridCol w:w="5746"/>
      </w:tblGrid>
      <w:tr>
        <w:trPr/>
        <w:tc>
          <w:tcPr>
            <w:tcW w:w="37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19.</w:t>
            </w:r>
          </w:p>
        </w:tc>
        <w:tc>
          <w:tcPr>
            <w:tcW w:w="574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Noncontrolling Interests and Redeemable Noncontrolling Interests</w:t>
            </w:r>
          </w:p>
        </w:tc>
      </w:tr>
    </w:tbl>
    <w:p>
      <w:pPr>
        <w:pStyle w:val="TextBody"/>
        <w:pBdr/>
        <w:bidi w:val="0"/>
        <w:spacing w:before="0" w:after="240"/>
        <w:ind w:left="0" w:right="0" w:hanging="490"/>
        <w:jc w:val="both"/>
        <w:rPr>
          <w:rFonts w:ascii="Times New Roman;Times;serif" w:hAnsi="Times New Roman;Times;serif"/>
          <w:sz w:val="20"/>
        </w:rPr>
      </w:pPr>
      <w:r>
        <w:rPr>
          <w:rFonts w:ascii="Times New Roman;Times;serif" w:hAnsi="Times New Roman;Times;serif"/>
          <w:sz w:val="20"/>
        </w:rPr>
        <w:t>Cloud Music</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2018 and 2019, Cloud Music issued preferred shares (“Cloud Music Preferred Shares”) to certain investors.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Cloud Music Preferred Shares were entitled to certain preferences and privileges with respect to redemption. The Group determined that the preferred shares should be classified as redeemable noncontrolling interests since they are contingently redeemable upon the occurrence of a conditional event or a deemed redemption event, which is not solely within the control of the Group. The redemption price equals to the net initial investment amount plus annual interests, if any. Upon completion of the IPO of Cloud Music in December 2021, all Cloud Music Preferred Shares held by external preferred shareholders were automatically re-designated and converted on a one-for-one basis into ordinary shares of Cloud Music.</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Youdao</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April 2018, Youdao issued equity interests with preferential rights (“Youdao Preferred Shares”) to two investors for a total cash consideration of US$70.0 million. The Group determined that the equity interests with preferential rights should be classified as redeemable noncontrolling interest since they are contingently redeemable upon the occurrence of a conditional event, which is not solely within the control of the Company. The redemption price equals to the net initial investment amount plus annual interests. Upon completion of the IPO of Youdao in October 2019, all Youdao Preferred Shares held by external preferred shareholders were automatically re-designated and converted on a one-for-one basis into Class A ordinary shares of Youdao.</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Each issuance of the preferred shares is recognized at the respective issue price at the date of issuance net of issuance costs. The Group records accretions on the redeemable noncontrolling interest to the redemption value from the issuance dates to the earliest redemption dates if redemption is probable. The accretions using the effective interest method, are recorded as deemed dividends to preferred shareholders, which reduces retained earnings and equity classified noncontrolling interests, and earnings available to common shareholders in calculating basic and diluted earnings per share.</w:t>
      </w:r>
    </w:p>
    <w:p>
      <w:pPr>
        <w:pStyle w:val="TextBody"/>
        <w:bidi w:val="0"/>
        <w:spacing w:before="0" w:after="0"/>
        <w:ind w:left="0" w:right="0" w:hanging="0"/>
        <w:jc w:val="both"/>
        <w:rPr/>
      </w:pPr>
      <w:r>
        <w:rPr/>
        <w:t>​</w:t>
      </w:r>
    </w:p>
    <w:tbl>
      <w:tblPr>
        <w:tblW w:w="1997" w:type="dxa"/>
        <w:jc w:val="left"/>
        <w:tblInd w:w="0" w:type="dxa"/>
        <w:tblLayout w:type="fixed"/>
        <w:tblCellMar>
          <w:top w:w="0" w:type="dxa"/>
          <w:left w:w="0" w:type="dxa"/>
          <w:bottom w:w="0" w:type="dxa"/>
          <w:right w:w="0" w:type="dxa"/>
        </w:tblCellMar>
      </w:tblPr>
      <w:tblGrid>
        <w:gridCol w:w="376"/>
        <w:gridCol w:w="1621"/>
      </w:tblGrid>
      <w:tr>
        <w:trPr/>
        <w:tc>
          <w:tcPr>
            <w:tcW w:w="37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20.</w:t>
            </w:r>
          </w:p>
        </w:tc>
        <w:tc>
          <w:tcPr>
            <w:tcW w:w="162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Capital Structure</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holders of ordinary shares in the Company are entitled to one vote per share and to receive ratably such dividends, if any, as may be declared by the board of directors of the Company. In the event of liquidation, the holders of ordinary shares are entitled to share ratably in all assets remaining after payment of liabilities. The ordinary shares have no preemptive, conversion, or other subscription rights.</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1858" w:name="Tc_WTDbDkbQwkqoGuwws7Owag_5_0"/>
      <w:bookmarkStart w:id="1859" w:name="Tc_J7nswv5DWkCYdHqAjo1QAA_4_0"/>
      <w:bookmarkStart w:id="1860" w:name="Tc_NIGPLOydTUSaLhMlh0TMLA_3_6"/>
      <w:bookmarkStart w:id="1861" w:name="Tc_gt1ExhWVj0SyaB5ucUfyxA_3_4"/>
      <w:bookmarkStart w:id="1862" w:name="Tc_C3Ojmec8iUGD9EvPxzOjkw_3_2"/>
      <w:bookmarkStart w:id="1863" w:name="Tc_6wjd1E71NU-PUOx4XwBJsw_2_6"/>
      <w:bookmarkStart w:id="1864" w:name="Tc_I5bnIRZisEe1SJrZ1Ze2VA_2_4"/>
      <w:bookmarkStart w:id="1865" w:name="Tc_cK_lEt-wdEOJIRg8G3sDng_2_2"/>
      <w:bookmarkStart w:id="1866" w:name="Tc_HBHwR72UsEewwiK127en4A_1_2"/>
      <w:bookmarkStart w:id="1867" w:name="Tc_WTDbDkbQwkqoGuwws7Owag_5_0"/>
      <w:bookmarkStart w:id="1868" w:name="Tc_J7nswv5DWkCYdHqAjo1QAA_4_0"/>
      <w:bookmarkStart w:id="1869" w:name="Tc_NIGPLOydTUSaLhMlh0TMLA_3_6"/>
      <w:bookmarkStart w:id="1870" w:name="Tc_gt1ExhWVj0SyaB5ucUfyxA_3_4"/>
      <w:bookmarkStart w:id="1871" w:name="Tc_C3Ojmec8iUGD9EvPxzOjkw_3_2"/>
      <w:bookmarkStart w:id="1872" w:name="Tc_6wjd1E71NU-PUOx4XwBJsw_2_6"/>
      <w:bookmarkStart w:id="1873" w:name="Tc_I5bnIRZisEe1SJrZ1Ze2VA_2_4"/>
      <w:bookmarkStart w:id="1874" w:name="Tc_cK_lEt-wdEOJIRg8G3sDng_2_2"/>
      <w:bookmarkStart w:id="1875" w:name="Tc_HBHwR72UsEewwiK127en4A_1_2"/>
      <w:bookmarkEnd w:id="1867"/>
      <w:bookmarkEnd w:id="1868"/>
      <w:bookmarkEnd w:id="1869"/>
      <w:bookmarkEnd w:id="1870"/>
      <w:bookmarkEnd w:id="1871"/>
      <w:bookmarkEnd w:id="1872"/>
      <w:bookmarkEnd w:id="1873"/>
      <w:bookmarkEnd w:id="1874"/>
      <w:bookmarkEnd w:id="1875"/>
    </w:p>
    <w:tbl>
      <w:tblPr>
        <w:tblW w:w="2102" w:type="dxa"/>
        <w:jc w:val="left"/>
        <w:tblInd w:w="0" w:type="dxa"/>
        <w:tblLayout w:type="fixed"/>
        <w:tblCellMar>
          <w:top w:w="0" w:type="dxa"/>
          <w:left w:w="0" w:type="dxa"/>
          <w:bottom w:w="0" w:type="dxa"/>
          <w:right w:w="0" w:type="dxa"/>
        </w:tblCellMar>
      </w:tblPr>
      <w:tblGrid>
        <w:gridCol w:w="376"/>
        <w:gridCol w:w="1726"/>
      </w:tblGrid>
      <w:tr>
        <w:trPr/>
        <w:tc>
          <w:tcPr>
            <w:tcW w:w="37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21.</w:t>
            </w:r>
          </w:p>
        </w:tc>
        <w:tc>
          <w:tcPr>
            <w:tcW w:w="172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Employee Benefits</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Company’s subsidiaries and the VIEs incorporated in China participate in a government-mandated multi-employer defined contribution plan under which certain retirement, medical, housing and other welfare benefits are provided to employees. Chinese labor regulations require the Company’s Chinese subsidiaries and the VIEs to pay to the local labor bureau a monthly contribution at a stated contribution rate based on the monthly basic compensation of qualified employees. The relevant local labor bureau is responsible for meeting all retirement benefit obligations; hence, the Group has no further commitments beyond its monthly contribution. The following table presents the Group’s employee welfare benefits expense, which is mainly related to its Chinese subsidiaries and the VIEs, for the years ended December 31, 2021, 2022 and 2023 (in millions):</w:t>
      </w:r>
    </w:p>
    <w:p>
      <w:pPr>
        <w:pStyle w:val="TextBody"/>
        <w:bidi w:val="0"/>
        <w:spacing w:before="0" w:after="0"/>
        <w:ind w:left="0" w:right="0" w:hanging="0"/>
        <w:jc w:val="both"/>
        <w:rPr/>
      </w:pPr>
      <w:r>
        <w:rPr/>
        <w:t>​</w:t>
      </w:r>
    </w:p>
    <w:tbl>
      <w:tblPr>
        <w:tblW w:w="7162" w:type="dxa"/>
        <w:jc w:val="left"/>
        <w:tblInd w:w="0" w:type="dxa"/>
        <w:tblLayout w:type="fixed"/>
        <w:tblCellMar>
          <w:top w:w="0" w:type="dxa"/>
          <w:left w:w="0" w:type="dxa"/>
          <w:bottom w:w="0" w:type="dxa"/>
          <w:right w:w="0" w:type="dxa"/>
        </w:tblCellMar>
      </w:tblPr>
      <w:tblGrid>
        <w:gridCol w:w="3916"/>
        <w:gridCol w:w="326"/>
        <w:gridCol w:w="721"/>
        <w:gridCol w:w="326"/>
        <w:gridCol w:w="721"/>
        <w:gridCol w:w="326"/>
        <w:gridCol w:w="826"/>
      </w:tblGrid>
      <w:tr>
        <w:trPr/>
        <w:tc>
          <w:tcPr>
            <w:tcW w:w="3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2486660" cy="175260"/>
                      <wp:effectExtent l="0" t="0" r="0" b="0"/>
                      <wp:wrapNone/>
                      <wp:docPr id="517" name="Frame516"/>
                      <a:graphic xmlns:a="http://schemas.openxmlformats.org/drawingml/2006/main">
                        <a:graphicData uri="http://schemas.microsoft.com/office/word/2010/wordprocessingShape">
                          <wps:wsp>
                            <wps:cNvSpPr txBox="1"/>
                            <wps:spPr>
                              <a:xfrm>
                                <a:off x="0" y="0"/>
                                <a:ext cx="2486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207010" cy="175260"/>
                      <wp:effectExtent l="0" t="0" r="0" b="0"/>
                      <wp:wrapNone/>
                      <wp:docPr id="518" name="Frame5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457835" cy="175260"/>
                      <wp:effectExtent l="0" t="0" r="0" b="0"/>
                      <wp:wrapNone/>
                      <wp:docPr id="519" name="Frame518"/>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207010" cy="175260"/>
                      <wp:effectExtent l="0" t="0" r="0" b="0"/>
                      <wp:wrapNone/>
                      <wp:docPr id="520" name="Frame5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457835" cy="175260"/>
                      <wp:effectExtent l="0" t="0" r="0" b="0"/>
                      <wp:wrapNone/>
                      <wp:docPr id="521" name="Frame520"/>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207010" cy="175260"/>
                      <wp:effectExtent l="0" t="0" r="0" b="0"/>
                      <wp:wrapNone/>
                      <wp:docPr id="522" name="Frame5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524510" cy="175260"/>
                      <wp:effectExtent l="0" t="0" r="0" b="0"/>
                      <wp:wrapNone/>
                      <wp:docPr id="523" name="Frame52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3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Contributions to medical and pension schemes</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1,463.8</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1,710.4</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1,786.5</w:t>
            </w:r>
          </w:p>
        </w:tc>
      </w:tr>
      <w:tr>
        <w:trPr/>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employee benefits</w:t>
            </w:r>
          </w:p>
        </w:tc>
        <w:tc>
          <w:tcPr>
            <w:tcW w:w="32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1,044.5</w:t>
            </w:r>
          </w:p>
        </w:tc>
        <w:tc>
          <w:tcPr>
            <w:tcW w:w="32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1,202.8</w:t>
            </w:r>
          </w:p>
        </w:tc>
        <w:tc>
          <w:tcPr>
            <w:tcW w:w="326" w:type="dxa"/>
            <w:tcBorders/>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1,398.1</w:t>
            </w:r>
          </w:p>
        </w:tc>
      </w:tr>
      <w:tr>
        <w:trPr/>
        <w:tc>
          <w:tcPr>
            <w:tcW w:w="39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2,508.3</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2,913.2</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3,184.6</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1876" w:name="Tc_OiH8QxHDyEmWJ-Sza0_P8Q_7_0"/>
      <w:bookmarkStart w:id="1877" w:name="Tc_jgW-vcnE30ysmI0HWzrkLg_6_0"/>
      <w:bookmarkStart w:id="1878" w:name="Tc_Kws-x-X-NE6GtuQYSoK2ZA_5_0"/>
      <w:bookmarkStart w:id="1879" w:name="Tc_iCoEeRKV5UeNloyydCaHmw_4_0"/>
      <w:bookmarkStart w:id="1880" w:name="Tc_A1uC31qk_0WwUl9xaxb6xg_3_6"/>
      <w:bookmarkStart w:id="1881" w:name="Tc_IwnsosE0BkWVSRmGtyvD7g_3_4"/>
      <w:bookmarkStart w:id="1882" w:name="Tc_-TgVa7UkWUuZqcJLczqgbQ_3_2"/>
      <w:bookmarkStart w:id="1883" w:name="Tc_0f4aJMLuv0qq-129brO15A_2_6"/>
      <w:bookmarkStart w:id="1884" w:name="Tc_BYWahIJZIEar5_4FK4LomQ_2_4"/>
      <w:bookmarkStart w:id="1885" w:name="Tc_EDAAORqp6U28V3T-3kQs7g_2_2"/>
      <w:bookmarkStart w:id="1886" w:name="Tc_4mxOha2VXkGK6Y4WwmEBnw_1_2"/>
      <w:bookmarkStart w:id="1887" w:name="Tc_OiH8QxHDyEmWJ-Sza0_P8Q_7_0"/>
      <w:bookmarkStart w:id="1888" w:name="Tc_jgW-vcnE30ysmI0HWzrkLg_6_0"/>
      <w:bookmarkStart w:id="1889" w:name="Tc_Kws-x-X-NE6GtuQYSoK2ZA_5_0"/>
      <w:bookmarkStart w:id="1890" w:name="Tc_iCoEeRKV5UeNloyydCaHmw_4_0"/>
      <w:bookmarkStart w:id="1891" w:name="Tc_A1uC31qk_0WwUl9xaxb6xg_3_6"/>
      <w:bookmarkStart w:id="1892" w:name="Tc_IwnsosE0BkWVSRmGtyvD7g_3_4"/>
      <w:bookmarkStart w:id="1893" w:name="Tc_-TgVa7UkWUuZqcJLczqgbQ_3_2"/>
      <w:bookmarkStart w:id="1894" w:name="Tc_0f4aJMLuv0qq-129brO15A_2_6"/>
      <w:bookmarkStart w:id="1895" w:name="Tc_BYWahIJZIEar5_4FK4LomQ_2_4"/>
      <w:bookmarkStart w:id="1896" w:name="Tc_EDAAORqp6U28V3T-3kQs7g_2_2"/>
      <w:bookmarkStart w:id="1897" w:name="Tc_4mxOha2VXkGK6Y4WwmEBnw_1_2"/>
      <w:bookmarkEnd w:id="1887"/>
      <w:bookmarkEnd w:id="1888"/>
      <w:bookmarkEnd w:id="1889"/>
      <w:bookmarkEnd w:id="1890"/>
      <w:bookmarkEnd w:id="1891"/>
      <w:bookmarkEnd w:id="1892"/>
      <w:bookmarkEnd w:id="1893"/>
      <w:bookmarkEnd w:id="1894"/>
      <w:bookmarkEnd w:id="1895"/>
      <w:bookmarkEnd w:id="1896"/>
      <w:bookmarkEnd w:id="1897"/>
    </w:p>
    <w:tbl>
      <w:tblPr>
        <w:tblW w:w="2822" w:type="dxa"/>
        <w:jc w:val="left"/>
        <w:tblInd w:w="0" w:type="dxa"/>
        <w:tblLayout w:type="fixed"/>
        <w:tblCellMar>
          <w:top w:w="0" w:type="dxa"/>
          <w:left w:w="0" w:type="dxa"/>
          <w:bottom w:w="0" w:type="dxa"/>
          <w:right w:w="0" w:type="dxa"/>
        </w:tblCellMar>
      </w:tblPr>
      <w:tblGrid>
        <w:gridCol w:w="376"/>
        <w:gridCol w:w="2446"/>
      </w:tblGrid>
      <w:tr>
        <w:trPr/>
        <w:tc>
          <w:tcPr>
            <w:tcW w:w="37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22.</w:t>
            </w:r>
          </w:p>
        </w:tc>
        <w:tc>
          <w:tcPr>
            <w:tcW w:w="244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Share-based Compensation</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years ended December 31, 2021, 2022 and 2023, total share-based compensation expenses recognized were RMB3.0 billion, RMB3.2 billion and RMB3.2 billion, respectively. The table below presents a summary of the Group’s share-based compensation cost (in thousands):</w:t>
      </w:r>
    </w:p>
    <w:p>
      <w:pPr>
        <w:pStyle w:val="TextBody"/>
        <w:bidi w:val="0"/>
        <w:spacing w:before="0" w:after="0"/>
        <w:ind w:left="0" w:right="0" w:hanging="0"/>
        <w:jc w:val="left"/>
        <w:rPr/>
      </w:pPr>
      <w:r>
        <w:rPr/>
        <w:t>​</w:t>
      </w:r>
    </w:p>
    <w:tbl>
      <w:tblPr>
        <w:tblW w:w="6967" w:type="dxa"/>
        <w:jc w:val="left"/>
        <w:tblInd w:w="0" w:type="dxa"/>
        <w:tblLayout w:type="fixed"/>
        <w:tblCellMar>
          <w:top w:w="0" w:type="dxa"/>
          <w:left w:w="0" w:type="dxa"/>
          <w:bottom w:w="0" w:type="dxa"/>
          <w:right w:w="0" w:type="dxa"/>
        </w:tblCellMar>
      </w:tblPr>
      <w:tblGrid>
        <w:gridCol w:w="3091"/>
        <w:gridCol w:w="326"/>
        <w:gridCol w:w="931"/>
        <w:gridCol w:w="326"/>
        <w:gridCol w:w="931"/>
        <w:gridCol w:w="326"/>
        <w:gridCol w:w="1036"/>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1962785" cy="175260"/>
                      <wp:effectExtent l="0" t="0" r="0" b="0"/>
                      <wp:wrapNone/>
                      <wp:docPr id="524" name="Frame523"/>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207010" cy="175260"/>
                      <wp:effectExtent l="0" t="0" r="0" b="0"/>
                      <wp:wrapNone/>
                      <wp:docPr id="525" name="Frame5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591185" cy="175260"/>
                      <wp:effectExtent l="0" t="0" r="0" b="0"/>
                      <wp:wrapNone/>
                      <wp:docPr id="526" name="Frame52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207010" cy="175260"/>
                      <wp:effectExtent l="0" t="0" r="0" b="0"/>
                      <wp:wrapNone/>
                      <wp:docPr id="527" name="Frame5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591185" cy="175260"/>
                      <wp:effectExtent l="0" t="0" r="0" b="0"/>
                      <wp:wrapNone/>
                      <wp:docPr id="528" name="Frame52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207010" cy="175260"/>
                      <wp:effectExtent l="0" t="0" r="0" b="0"/>
                      <wp:wrapNone/>
                      <wp:docPr id="529" name="Frame5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657860" cy="175260"/>
                      <wp:effectExtent l="0" t="0" r="0" b="0"/>
                      <wp:wrapNone/>
                      <wp:docPr id="530" name="Frame52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5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833,389</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758,413</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823,765</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 expenses</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118,611</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120,171</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132,801</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1,105,547</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1,214,995</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1,119,018</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983,945</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1,080,581</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1,167,226</w:t>
            </w:r>
          </w:p>
        </w:tc>
      </w:tr>
      <w:tr>
        <w:trPr/>
        <w:tc>
          <w:tcPr>
            <w:tcW w:w="30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3,041,492</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3,174,160</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3,242,810</w:t>
            </w:r>
          </w:p>
        </w:tc>
      </w:tr>
    </w:tbl>
    <w:p>
      <w:pPr>
        <w:pStyle w:val="TextBody"/>
        <w:pBdr/>
        <w:bidi w:val="0"/>
        <w:spacing w:before="0" w:after="0"/>
        <w:ind w:left="0" w:right="0" w:hanging="360"/>
        <w:jc w:val="both"/>
        <w:rPr/>
      </w:pPr>
      <w:r>
        <w:rPr/>
        <w:t>​</w:t>
      </w:r>
    </w:p>
    <w:tbl>
      <w:tblPr>
        <w:tblW w:w="2807" w:type="dxa"/>
        <w:jc w:val="left"/>
        <w:tblInd w:w="0" w:type="dxa"/>
        <w:tblLayout w:type="fixed"/>
        <w:tblCellMar>
          <w:top w:w="0" w:type="dxa"/>
          <w:left w:w="0" w:type="dxa"/>
          <w:bottom w:w="0" w:type="dxa"/>
          <w:right w:w="0" w:type="dxa"/>
        </w:tblCellMar>
      </w:tblPr>
      <w:tblGrid>
        <w:gridCol w:w="346"/>
        <w:gridCol w:w="2461"/>
      </w:tblGrid>
      <w:tr>
        <w:trPr/>
        <w:tc>
          <w:tcPr>
            <w:tcW w:w="34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(a)</w:t>
            </w:r>
          </w:p>
        </w:tc>
        <w:tc>
          <w:tcPr>
            <w:tcW w:w="246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Restricted Share Units Plan</w:t>
            </w:r>
          </w:p>
        </w:tc>
      </w:tr>
    </w:tbl>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2009 RSU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November 2009, the Company adopted 2009 Restricted Share Unit Plan for the Company’s employees, directors and consultants (the “2009 RSU Plan”). The Company has reserved 323,694,050 ordinary shares for issuance under the plan. The 2009 RSU Plan was adopted by a resolution of the board of directors on November 17, 2009 and became effective for a term of ten years unless sooner terminated. The 2009 RSU Plan was expired on November 16, 2019.</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1898" w:name="Tc_6goGs_zsYECdr3bZb4ALlA_21_0"/>
      <w:bookmarkStart w:id="1899" w:name="Tc_wUcYmrP8NkO7pRx6w-X9Bg_20_0"/>
      <w:bookmarkStart w:id="1900" w:name="Tc_wVQTeau8SUSxC2iCNMvQ9A_19_0"/>
      <w:bookmarkStart w:id="1901" w:name="Tc_Ab8MhXtoZUqCGFkIpfEXyA_18_0"/>
      <w:bookmarkStart w:id="1902" w:name="Tc_lupRVFDkKkScyRyPtEZoAQ_17_0"/>
      <w:bookmarkStart w:id="1903" w:name="Tc_EgifzjFaE0GtEDoGmxcfAw_15_0"/>
      <w:bookmarkStart w:id="1904" w:name="Tc_28EyiLraakW0-o4XglQX3A_14_0"/>
      <w:bookmarkStart w:id="1905" w:name="Tc_VLAVcUDht0uYzy-7xE9YWw_13_0"/>
      <w:bookmarkStart w:id="1906" w:name="Tc_jfZRXMYiDE-yp7TNmoHo4Q_12_0"/>
      <w:bookmarkStart w:id="1907" w:name="Tc_ppZghmaRsU-k4tHe_bR02A_11_0"/>
      <w:bookmarkStart w:id="1908" w:name="Tc_tK2C2ijPOk6djFqagMuWQg_9_0"/>
      <w:bookmarkStart w:id="1909" w:name="Tc_RnRxARQbkUuS1UqbQmOiBg_8_0"/>
      <w:bookmarkStart w:id="1910" w:name="Tc_Qm_8IiHHB0KnVJtIVSuqPw_7_0"/>
      <w:bookmarkStart w:id="1911" w:name="Tc_DHSEQaDU0U6Yvm5H6ZrI5A_6_0"/>
      <w:bookmarkStart w:id="1912" w:name="Tc_nOl7TdQ33UO9VfCcEoMAVA_5_0"/>
      <w:bookmarkStart w:id="1913" w:name="Tc_ni2QaEHKAUmV1k9zFpF28A_4_4"/>
      <w:bookmarkStart w:id="1914" w:name="Tc_J5zD1VG1pUOZyBqDFjYHsg_4_2"/>
      <w:bookmarkStart w:id="1915" w:name="Tc_VqXeXsDsPkawscKuOVq89A_3_4"/>
      <w:bookmarkStart w:id="1916" w:name="Tc_C98W5-Ks-kaSI9TYB76tww_3_2"/>
      <w:bookmarkStart w:id="1917" w:name="Tc_2f7GiCbYo0i_j5jjshCUYg_2_4"/>
      <w:bookmarkStart w:id="1918" w:name="Tc_jbsKZnmdRkmc5WE6zNJibw_1_4"/>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r>
        <w:rPr>
          <w:rFonts w:ascii="Times New Roman;Times;serif" w:hAnsi="Times New Roman;Times;serif"/>
          <w:b/>
          <w:sz w:val="20"/>
        </w:rPr>
        <w:t>2019 Share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October 2019, the Company adopted 2019 Restricted Share Unit Plan for the Company’s employees, directors and others, with a ten-year term and a maximum number of 322,458,300 ordinary shares available for issuance pursuant to all awards under the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Effective February 22, 2023, the Company amended and restated the 2019 Restricted Share Unit Plan to permit to grant stock option awards to the Company’s employees, directors and others, and renamed it as Amended and Restated 2019 Share Incentive Plan (the “2019 Share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 recognizes share-based compensation cost related to RSUs in the consolidated statements of operations and comprehensive income based on awards ultimately expected to vest, after considering estimated forfeitures. Forfeitures are estimated based on the Group’s historical experience over the last five years and revised in subsequent periods if actual forfeitures differ from those estimates.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2023, total unrecognized compensation cost related to unvested awards under the 2009 RSU Plan and the 2019 Share Plan, adjusted for estimated forfeitures, was US$365.3 million (RMB2.6 billion) and is expected to be recognized through the remaining vesting period of each grant. As of December 31, 2023, the weighted average remaining vesting periods was 1.48 years.</w:t>
      </w:r>
    </w:p>
    <w:p>
      <w:pPr>
        <w:pStyle w:val="TextBody"/>
        <w:pBdr/>
        <w:bidi w:val="0"/>
        <w:spacing w:before="0" w:after="240"/>
        <w:ind w:left="0" w:right="0" w:hanging="360"/>
        <w:jc w:val="both"/>
        <w:rPr>
          <w:rFonts w:ascii="Times New Roman;Times;serif" w:hAnsi="Times New Roman;Times;serif"/>
          <w:b/>
          <w:sz w:val="20"/>
        </w:rPr>
      </w:pPr>
      <w:r>
        <w:rPr>
          <w:rFonts w:ascii="Times New Roman;Times;serif" w:hAnsi="Times New Roman;Times;serif"/>
          <w:b/>
          <w:sz w:val="20"/>
        </w:rPr>
        <w:t>Restricted Share Unit Award Activities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presents a summary of the Company’s RSUs award activities for the years ended December 31, 2021, 2022 and 2023:</w:t>
      </w:r>
    </w:p>
    <w:p>
      <w:pPr>
        <w:pStyle w:val="TextBody"/>
        <w:bidi w:val="0"/>
        <w:spacing w:before="0" w:after="0"/>
        <w:ind w:left="0" w:right="0" w:hanging="0"/>
        <w:jc w:val="both"/>
        <w:rPr/>
      </w:pPr>
      <w:r>
        <w:rPr/>
        <w:t>​</w:t>
      </w:r>
    </w:p>
    <w:tbl>
      <w:tblPr>
        <w:tblW w:w="6531" w:type="dxa"/>
        <w:jc w:val="left"/>
        <w:tblInd w:w="0" w:type="dxa"/>
        <w:tblLayout w:type="fixed"/>
        <w:tblCellMar>
          <w:top w:w="0" w:type="dxa"/>
          <w:left w:w="0" w:type="dxa"/>
          <w:bottom w:w="0" w:type="dxa"/>
          <w:right w:w="0" w:type="dxa"/>
        </w:tblCellMar>
      </w:tblPr>
      <w:tblGrid>
        <w:gridCol w:w="2941"/>
        <w:gridCol w:w="326"/>
        <w:gridCol w:w="1321"/>
        <w:gridCol w:w="326"/>
        <w:gridCol w:w="1426"/>
        <w:gridCol w:w="191"/>
      </w:tblGrid>
      <w:tr>
        <w:trPr/>
        <w:tc>
          <w:tcPr>
            <w:tcW w:w="2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1867535" cy="175260"/>
                      <wp:effectExtent l="0" t="0" r="0" b="0"/>
                      <wp:wrapNone/>
                      <wp:docPr id="531" name="Frame530"/>
                      <a:graphic xmlns:a="http://schemas.openxmlformats.org/drawingml/2006/main">
                        <a:graphicData uri="http://schemas.microsoft.com/office/word/2010/wordprocessingShape">
                          <wps:wsp>
                            <wps:cNvSpPr txBox="1"/>
                            <wps:spPr>
                              <a:xfrm>
                                <a:off x="0" y="0"/>
                                <a:ext cx="1867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207010" cy="175260"/>
                      <wp:effectExtent l="0" t="0" r="0" b="0"/>
                      <wp:wrapNone/>
                      <wp:docPr id="532" name="Frame5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838835" cy="175260"/>
                      <wp:effectExtent l="0" t="0" r="0" b="0"/>
                      <wp:wrapNone/>
                      <wp:docPr id="533" name="Frame532"/>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207010" cy="175260"/>
                      <wp:effectExtent l="0" t="0" r="0" b="0"/>
                      <wp:wrapNone/>
                      <wp:docPr id="534" name="Frame5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905510" cy="175260"/>
                      <wp:effectExtent l="0" t="0" r="0" b="0"/>
                      <wp:wrapNone/>
                      <wp:docPr id="535" name="Frame534"/>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121285" cy="175260"/>
                      <wp:effectExtent l="0" t="0" r="0" b="0"/>
                      <wp:wrapNone/>
                      <wp:docPr id="536" name="Frame535"/>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4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c>
          <w:tcPr>
            <w:tcW w:w="191" w:type="dxa"/>
            <w:tcBorders/>
            <w:vAlign w:val="center"/>
          </w:tcPr>
          <w:p>
            <w:pPr>
              <w:pStyle w:val="TableContents"/>
              <w:bidi w:val="0"/>
              <w:spacing w:before="0" w:after="0"/>
              <w:ind w:left="0" w:right="0" w:hanging="0"/>
              <w:jc w:val="left"/>
              <w:rPr/>
            </w:pPr>
            <w:r>
              <w:rPr/>
              <w:t>​</w:t>
            </w:r>
          </w:p>
        </w:tc>
      </w:tr>
      <w:tr>
        <w:trPr/>
        <w:tc>
          <w:tcPr>
            <w:tcW w:w="29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4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grant date fair </w:t>
            </w:r>
          </w:p>
        </w:tc>
        <w:tc>
          <w:tcPr>
            <w:tcW w:w="191" w:type="dxa"/>
            <w:tcBorders/>
            <w:vAlign w:val="center"/>
          </w:tcPr>
          <w:p>
            <w:pPr>
              <w:pStyle w:val="TableContents"/>
              <w:bidi w:val="0"/>
              <w:spacing w:before="0" w:after="0"/>
              <w:ind w:left="0" w:right="0" w:hanging="0"/>
              <w:jc w:val="left"/>
              <w:rPr/>
            </w:pPr>
            <w:r>
              <w:rPr/>
              <w:t>​</w:t>
            </w:r>
          </w:p>
        </w:tc>
      </w:tr>
      <w:tr>
        <w:trPr/>
        <w:tc>
          <w:tcPr>
            <w:tcW w:w="29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RSUs</w:t>
            </w:r>
          </w:p>
        </w:tc>
        <w:tc>
          <w:tcPr>
            <w:tcW w:w="326" w:type="dxa"/>
            <w:tcBorders/>
            <w:vAlign w:val="center"/>
          </w:tcPr>
          <w:p>
            <w:pPr>
              <w:pStyle w:val="TableContents"/>
              <w:bidi w:val="0"/>
              <w:spacing w:before="0" w:after="0"/>
              <w:ind w:left="0" w:right="0" w:hanging="0"/>
              <w:jc w:val="left"/>
              <w:rPr/>
            </w:pPr>
            <w:r>
              <w:rPr/>
              <w:t>    </w:t>
            </w:r>
          </w:p>
        </w:tc>
        <w:tc>
          <w:tcPr>
            <w:tcW w:w="14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191" w:type="dxa"/>
            <w:tcBorders/>
            <w:vAlign w:val="center"/>
          </w:tcPr>
          <w:p>
            <w:pPr>
              <w:pStyle w:val="TableContents"/>
              <w:bidi w:val="0"/>
              <w:spacing w:before="0" w:after="0"/>
              <w:ind w:left="0" w:right="0" w:hanging="0"/>
              <w:jc w:val="left"/>
              <w:rPr/>
            </w:pPr>
            <w:r>
              <w:rPr/>
              <w:t>​</w:t>
            </w:r>
          </w:p>
        </w:tc>
      </w:tr>
      <w:tr>
        <w:trPr/>
        <w:tc>
          <w:tcPr>
            <w:tcW w:w="29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left"/>
              <w:rPr/>
            </w:pPr>
            <w:r>
              <w:rPr/>
              <w:t>​</w:t>
            </w:r>
          </w:p>
        </w:tc>
        <w:tc>
          <w:tcPr>
            <w:tcW w:w="14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191" w:type="dxa"/>
            <w:tcBorders/>
            <w:vAlign w:val="center"/>
          </w:tcPr>
          <w:p>
            <w:pPr>
              <w:pStyle w:val="TableContents"/>
              <w:bidi w:val="0"/>
              <w:spacing w:before="0" w:after="0"/>
              <w:ind w:left="0" w:right="0" w:hanging="0"/>
              <w:jc w:val="left"/>
              <w:rPr/>
            </w:pPr>
            <w:r>
              <w:rPr/>
              <w:t>​</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January 1, 2021</w:t>
            </w:r>
          </w:p>
        </w:tc>
        <w:tc>
          <w:tcPr>
            <w:tcW w:w="326" w:type="dxa"/>
            <w:tcBorders/>
            <w:shd w:fill="CCEEFF" w:val="clear"/>
            <w:vAlign w:val="center"/>
          </w:tcPr>
          <w:p>
            <w:pPr>
              <w:pStyle w:val="TableContents"/>
              <w:bidi w:val="0"/>
              <w:spacing w:before="0" w:after="0"/>
              <w:ind w:left="0" w:right="0" w:hanging="0"/>
              <w:jc w:val="left"/>
              <w:rPr/>
            </w:pPr>
            <w:r>
              <w:rPr/>
              <w:t> </w:t>
            </w:r>
          </w:p>
        </w:tc>
        <w:tc>
          <w:tcPr>
            <w:tcW w:w="13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14,096</w:t>
            </w:r>
          </w:p>
        </w:tc>
        <w:tc>
          <w:tcPr>
            <w:tcW w:w="326" w:type="dxa"/>
            <w:tcBorders/>
            <w:shd w:fill="CCEEFF" w:val="clear"/>
            <w:vAlign w:val="center"/>
          </w:tcPr>
          <w:p>
            <w:pPr>
              <w:pStyle w:val="TableContents"/>
              <w:bidi w:val="0"/>
              <w:spacing w:before="0" w:after="0"/>
              <w:ind w:left="0" w:right="0" w:hanging="0"/>
              <w:jc w:val="left"/>
              <w:rPr/>
            </w:pPr>
            <w:r>
              <w:rPr/>
              <w:t> </w:t>
            </w:r>
          </w:p>
        </w:tc>
        <w:tc>
          <w:tcPr>
            <w:tcW w:w="14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57.85</w:t>
            </w:r>
          </w:p>
        </w:tc>
        <w:tc>
          <w:tcPr>
            <w:tcW w:w="191" w:type="dxa"/>
            <w:tcBorders/>
            <w:shd w:fill="CCEEFF" w:val="clear"/>
            <w:vAlign w:val="center"/>
          </w:tcPr>
          <w:p>
            <w:pPr>
              <w:pStyle w:val="TableContents"/>
              <w:bidi w:val="0"/>
              <w:spacing w:before="0" w:after="0"/>
              <w:ind w:left="0" w:right="0" w:hanging="0"/>
              <w:jc w:val="left"/>
              <w:rPr/>
            </w:pPr>
            <w:r>
              <w:rPr/>
              <w:t> </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13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4,579</w:t>
            </w:r>
          </w:p>
        </w:tc>
        <w:tc>
          <w:tcPr>
            <w:tcW w:w="326" w:type="dxa"/>
            <w:tcBorders/>
            <w:vAlign w:val="center"/>
          </w:tcPr>
          <w:p>
            <w:pPr>
              <w:pStyle w:val="TableContents"/>
              <w:bidi w:val="0"/>
              <w:spacing w:before="0" w:after="0"/>
              <w:ind w:left="0" w:right="0" w:hanging="0"/>
              <w:jc w:val="left"/>
              <w:rPr/>
            </w:pPr>
            <w:r>
              <w:rPr/>
              <w:t> </w:t>
            </w:r>
          </w:p>
        </w:tc>
        <w:tc>
          <w:tcPr>
            <w:tcW w:w="14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110.19</w:t>
            </w:r>
          </w:p>
        </w:tc>
        <w:tc>
          <w:tcPr>
            <w:tcW w:w="191" w:type="dxa"/>
            <w:tcBorders/>
            <w:vAlign w:val="center"/>
          </w:tcPr>
          <w:p>
            <w:pPr>
              <w:pStyle w:val="TableContents"/>
              <w:bidi w:val="0"/>
              <w:spacing w:before="0" w:after="0"/>
              <w:ind w:left="0" w:right="0" w:hanging="0"/>
              <w:jc w:val="left"/>
              <w:rPr/>
            </w:pPr>
            <w:r>
              <w:rPr/>
              <w:t> </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0"/>
              <w:ind w:left="0" w:right="0" w:hanging="0"/>
              <w:jc w:val="left"/>
              <w:rPr/>
            </w:pPr>
            <w:r>
              <w:rPr/>
              <w:t> </w:t>
            </w:r>
          </w:p>
        </w:tc>
        <w:tc>
          <w:tcPr>
            <w:tcW w:w="13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(5,067)</w:t>
            </w:r>
          </w:p>
        </w:tc>
        <w:tc>
          <w:tcPr>
            <w:tcW w:w="326" w:type="dxa"/>
            <w:tcBorders/>
            <w:shd w:fill="CCEEFF" w:val="clear"/>
            <w:vAlign w:val="center"/>
          </w:tcPr>
          <w:p>
            <w:pPr>
              <w:pStyle w:val="TableContents"/>
              <w:bidi w:val="0"/>
              <w:spacing w:before="0" w:after="0"/>
              <w:ind w:left="0" w:right="0" w:hanging="0"/>
              <w:jc w:val="left"/>
              <w:rPr/>
            </w:pPr>
            <w:r>
              <w:rPr/>
              <w:t> </w:t>
            </w:r>
          </w:p>
        </w:tc>
        <w:tc>
          <w:tcPr>
            <w:tcW w:w="14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58.02</w:t>
            </w:r>
          </w:p>
        </w:tc>
        <w:tc>
          <w:tcPr>
            <w:tcW w:w="191" w:type="dxa"/>
            <w:tcBorders/>
            <w:shd w:fill="CCEEFF" w:val="clear"/>
            <w:vAlign w:val="center"/>
          </w:tcPr>
          <w:p>
            <w:pPr>
              <w:pStyle w:val="TableContents"/>
              <w:bidi w:val="0"/>
              <w:spacing w:before="0" w:after="0"/>
              <w:ind w:left="0" w:right="0" w:hanging="0"/>
              <w:jc w:val="left"/>
              <w:rPr/>
            </w:pPr>
            <w:r>
              <w:rPr/>
              <w:t> </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before="0" w:after="0"/>
              <w:ind w:left="0" w:right="0" w:hanging="0"/>
              <w:jc w:val="left"/>
              <w:rPr/>
            </w:pPr>
            <w:r>
              <w:rPr/>
              <w:t> </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w:t>
            </w:r>
          </w:p>
        </w:tc>
        <w:tc>
          <w:tcPr>
            <w:tcW w:w="326" w:type="dxa"/>
            <w:tcBorders/>
            <w:vAlign w:val="center"/>
          </w:tcPr>
          <w:p>
            <w:pPr>
              <w:pStyle w:val="TableContents"/>
              <w:bidi w:val="0"/>
              <w:spacing w:before="0" w:after="0"/>
              <w:ind w:left="0" w:right="0" w:hanging="0"/>
              <w:jc w:val="left"/>
              <w:rPr/>
            </w:pPr>
            <w:r>
              <w:rPr/>
              <w:t> </w:t>
            </w:r>
          </w:p>
        </w:tc>
        <w:tc>
          <w:tcPr>
            <w:tcW w:w="14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75.29</w:t>
            </w:r>
          </w:p>
        </w:tc>
        <w:tc>
          <w:tcPr>
            <w:tcW w:w="191" w:type="dxa"/>
            <w:tcBorders/>
            <w:vAlign w:val="center"/>
          </w:tcPr>
          <w:p>
            <w:pPr>
              <w:pStyle w:val="TableContents"/>
              <w:bidi w:val="0"/>
              <w:spacing w:before="0" w:after="0"/>
              <w:ind w:left="0" w:right="0" w:hanging="0"/>
              <w:jc w:val="left"/>
              <w:rPr/>
            </w:pPr>
            <w:r>
              <w:rPr/>
              <w:t> </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December 31, 2021</w:t>
            </w:r>
          </w:p>
        </w:tc>
        <w:tc>
          <w:tcPr>
            <w:tcW w:w="326" w:type="dxa"/>
            <w:tcBorders/>
            <w:shd w:fill="CCEEFF" w:val="clear"/>
            <w:vAlign w:val="center"/>
          </w:tcPr>
          <w:p>
            <w:pPr>
              <w:pStyle w:val="TableContents"/>
              <w:bidi w:val="0"/>
              <w:spacing w:before="0" w:after="0"/>
              <w:ind w:left="0" w:right="0" w:hanging="0"/>
              <w:jc w:val="left"/>
              <w:rPr/>
            </w:pPr>
            <w:r>
              <w:rPr/>
              <w:t> </w:t>
            </w:r>
          </w:p>
        </w:tc>
        <w:tc>
          <w:tcPr>
            <w:tcW w:w="13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12,996</w:t>
            </w:r>
          </w:p>
        </w:tc>
        <w:tc>
          <w:tcPr>
            <w:tcW w:w="326" w:type="dxa"/>
            <w:tcBorders/>
            <w:shd w:fill="CCEEFF" w:val="clear"/>
            <w:vAlign w:val="center"/>
          </w:tcPr>
          <w:p>
            <w:pPr>
              <w:pStyle w:val="TableContents"/>
              <w:bidi w:val="0"/>
              <w:spacing w:before="0" w:after="0"/>
              <w:ind w:left="0" w:right="0" w:hanging="0"/>
              <w:jc w:val="left"/>
              <w:rPr/>
            </w:pPr>
            <w:r>
              <w:rPr/>
              <w:t> </w:t>
            </w:r>
          </w:p>
        </w:tc>
        <w:tc>
          <w:tcPr>
            <w:tcW w:w="14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75.40</w:t>
            </w:r>
          </w:p>
        </w:tc>
        <w:tc>
          <w:tcPr>
            <w:tcW w:w="191" w:type="dxa"/>
            <w:tcBorders/>
            <w:shd w:fill="CCEEFF" w:val="clear"/>
            <w:vAlign w:val="center"/>
          </w:tcPr>
          <w:p>
            <w:pPr>
              <w:pStyle w:val="TableContents"/>
              <w:bidi w:val="0"/>
              <w:spacing w:before="0" w:after="0"/>
              <w:ind w:left="0" w:right="0" w:hanging="0"/>
              <w:jc w:val="left"/>
              <w:rPr/>
            </w:pPr>
            <w:r>
              <w:rPr/>
              <w:t> </w:t>
            </w:r>
          </w:p>
        </w:tc>
      </w:tr>
      <w:tr>
        <w:trPr/>
        <w:tc>
          <w:tcPr>
            <w:tcW w:w="29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42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January 1, 2022</w:t>
            </w:r>
          </w:p>
        </w:tc>
        <w:tc>
          <w:tcPr>
            <w:tcW w:w="326" w:type="dxa"/>
            <w:tcBorders/>
            <w:shd w:fill="CCEEFF" w:val="clear"/>
            <w:vAlign w:val="center"/>
          </w:tcPr>
          <w:p>
            <w:pPr>
              <w:pStyle w:val="TableContents"/>
              <w:bidi w:val="0"/>
              <w:spacing w:before="0" w:after="0"/>
              <w:ind w:left="0" w:right="0" w:hanging="0"/>
              <w:jc w:val="left"/>
              <w:rPr/>
            </w:pPr>
            <w:r>
              <w:rPr/>
              <w:t> </w:t>
            </w:r>
          </w:p>
        </w:tc>
        <w:tc>
          <w:tcPr>
            <w:tcW w:w="13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12,996</w:t>
            </w:r>
          </w:p>
        </w:tc>
        <w:tc>
          <w:tcPr>
            <w:tcW w:w="326" w:type="dxa"/>
            <w:tcBorders/>
            <w:shd w:fill="CCEEFF" w:val="clear"/>
            <w:vAlign w:val="center"/>
          </w:tcPr>
          <w:p>
            <w:pPr>
              <w:pStyle w:val="TableContents"/>
              <w:bidi w:val="0"/>
              <w:spacing w:before="0" w:after="0"/>
              <w:ind w:left="0" w:right="0" w:hanging="0"/>
              <w:jc w:val="left"/>
              <w:rPr/>
            </w:pPr>
            <w:r>
              <w:rPr/>
              <w:t> </w:t>
            </w:r>
          </w:p>
        </w:tc>
        <w:tc>
          <w:tcPr>
            <w:tcW w:w="14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75.40</w:t>
            </w:r>
          </w:p>
        </w:tc>
        <w:tc>
          <w:tcPr>
            <w:tcW w:w="191" w:type="dxa"/>
            <w:tcBorders/>
            <w:shd w:fill="CCEEFF" w:val="clear"/>
            <w:vAlign w:val="center"/>
          </w:tcPr>
          <w:p>
            <w:pPr>
              <w:pStyle w:val="TableContents"/>
              <w:bidi w:val="0"/>
              <w:spacing w:before="0" w:after="0"/>
              <w:ind w:left="0" w:right="0" w:hanging="0"/>
              <w:jc w:val="left"/>
              <w:rPr/>
            </w:pPr>
            <w:r>
              <w:rPr/>
              <w:t> </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13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5,335</w:t>
            </w:r>
          </w:p>
        </w:tc>
        <w:tc>
          <w:tcPr>
            <w:tcW w:w="326" w:type="dxa"/>
            <w:tcBorders/>
            <w:vAlign w:val="center"/>
          </w:tcPr>
          <w:p>
            <w:pPr>
              <w:pStyle w:val="TableContents"/>
              <w:bidi w:val="0"/>
              <w:spacing w:before="0" w:after="0"/>
              <w:ind w:left="0" w:right="0" w:hanging="0"/>
              <w:jc w:val="left"/>
              <w:rPr/>
            </w:pPr>
            <w:r>
              <w:rPr/>
              <w:t> </w:t>
            </w:r>
          </w:p>
        </w:tc>
        <w:tc>
          <w:tcPr>
            <w:tcW w:w="14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93.98</w:t>
            </w:r>
          </w:p>
        </w:tc>
        <w:tc>
          <w:tcPr>
            <w:tcW w:w="191" w:type="dxa"/>
            <w:tcBorders/>
            <w:vAlign w:val="center"/>
          </w:tcPr>
          <w:p>
            <w:pPr>
              <w:pStyle w:val="TableContents"/>
              <w:bidi w:val="0"/>
              <w:spacing w:before="0" w:after="0"/>
              <w:ind w:left="0" w:right="0" w:hanging="0"/>
              <w:jc w:val="left"/>
              <w:rPr/>
            </w:pPr>
            <w:r>
              <w:rPr/>
              <w:t> </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0"/>
              <w:ind w:left="0" w:right="0" w:hanging="0"/>
              <w:jc w:val="left"/>
              <w:rPr/>
            </w:pPr>
            <w:r>
              <w:rPr/>
              <w:t> </w:t>
            </w:r>
          </w:p>
        </w:tc>
        <w:tc>
          <w:tcPr>
            <w:tcW w:w="13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(4,630)</w:t>
            </w:r>
          </w:p>
        </w:tc>
        <w:tc>
          <w:tcPr>
            <w:tcW w:w="326" w:type="dxa"/>
            <w:tcBorders/>
            <w:shd w:fill="CCEEFF" w:val="clear"/>
            <w:vAlign w:val="center"/>
          </w:tcPr>
          <w:p>
            <w:pPr>
              <w:pStyle w:val="TableContents"/>
              <w:bidi w:val="0"/>
              <w:spacing w:before="0" w:after="0"/>
              <w:ind w:left="0" w:right="0" w:hanging="0"/>
              <w:jc w:val="left"/>
              <w:rPr/>
            </w:pPr>
            <w:r>
              <w:rPr/>
              <w:t> </w:t>
            </w:r>
          </w:p>
        </w:tc>
        <w:tc>
          <w:tcPr>
            <w:tcW w:w="14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75.01</w:t>
            </w:r>
          </w:p>
        </w:tc>
        <w:tc>
          <w:tcPr>
            <w:tcW w:w="191" w:type="dxa"/>
            <w:tcBorders/>
            <w:shd w:fill="CCEEFF" w:val="clear"/>
            <w:vAlign w:val="center"/>
          </w:tcPr>
          <w:p>
            <w:pPr>
              <w:pStyle w:val="TableContents"/>
              <w:bidi w:val="0"/>
              <w:spacing w:before="0" w:after="0"/>
              <w:ind w:left="0" w:right="0" w:hanging="0"/>
              <w:jc w:val="left"/>
              <w:rPr/>
            </w:pPr>
            <w:r>
              <w:rPr/>
              <w:t> </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before="0" w:after="0"/>
              <w:ind w:left="0" w:right="0" w:hanging="0"/>
              <w:jc w:val="left"/>
              <w:rPr/>
            </w:pPr>
            <w:r>
              <w:rPr/>
              <w:t> </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w:t>
            </w:r>
          </w:p>
        </w:tc>
        <w:tc>
          <w:tcPr>
            <w:tcW w:w="326" w:type="dxa"/>
            <w:tcBorders/>
            <w:vAlign w:val="center"/>
          </w:tcPr>
          <w:p>
            <w:pPr>
              <w:pStyle w:val="TableContents"/>
              <w:bidi w:val="0"/>
              <w:spacing w:before="0" w:after="0"/>
              <w:ind w:left="0" w:right="0" w:hanging="0"/>
              <w:jc w:val="left"/>
              <w:rPr/>
            </w:pPr>
            <w:r>
              <w:rPr/>
              <w:t> </w:t>
            </w:r>
          </w:p>
        </w:tc>
        <w:tc>
          <w:tcPr>
            <w:tcW w:w="14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84.55</w:t>
            </w:r>
          </w:p>
        </w:tc>
        <w:tc>
          <w:tcPr>
            <w:tcW w:w="191" w:type="dxa"/>
            <w:tcBorders/>
            <w:vAlign w:val="center"/>
          </w:tcPr>
          <w:p>
            <w:pPr>
              <w:pStyle w:val="TableContents"/>
              <w:bidi w:val="0"/>
              <w:spacing w:before="0" w:after="0"/>
              <w:ind w:left="0" w:right="0" w:hanging="0"/>
              <w:jc w:val="left"/>
              <w:rPr/>
            </w:pPr>
            <w:r>
              <w:rPr/>
              <w:t> </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December 31, 2022</w:t>
            </w:r>
          </w:p>
        </w:tc>
        <w:tc>
          <w:tcPr>
            <w:tcW w:w="326" w:type="dxa"/>
            <w:tcBorders/>
            <w:shd w:fill="CCEEFF" w:val="clear"/>
            <w:vAlign w:val="center"/>
          </w:tcPr>
          <w:p>
            <w:pPr>
              <w:pStyle w:val="TableContents"/>
              <w:bidi w:val="0"/>
              <w:spacing w:before="0" w:after="0"/>
              <w:ind w:left="0" w:right="0" w:hanging="0"/>
              <w:jc w:val="left"/>
              <w:rPr/>
            </w:pPr>
            <w:r>
              <w:rPr/>
              <w:t> </w:t>
            </w:r>
          </w:p>
        </w:tc>
        <w:tc>
          <w:tcPr>
            <w:tcW w:w="13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13,005</w:t>
            </w:r>
          </w:p>
        </w:tc>
        <w:tc>
          <w:tcPr>
            <w:tcW w:w="326" w:type="dxa"/>
            <w:tcBorders/>
            <w:shd w:fill="CCEEFF" w:val="clear"/>
            <w:vAlign w:val="center"/>
          </w:tcPr>
          <w:p>
            <w:pPr>
              <w:pStyle w:val="TableContents"/>
              <w:bidi w:val="0"/>
              <w:spacing w:before="0" w:after="0"/>
              <w:ind w:left="0" w:right="0" w:hanging="0"/>
              <w:jc w:val="left"/>
              <w:rPr/>
            </w:pPr>
            <w:r>
              <w:rPr/>
              <w:t> </w:t>
            </w:r>
          </w:p>
        </w:tc>
        <w:tc>
          <w:tcPr>
            <w:tcW w:w="14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82.67</w:t>
            </w:r>
          </w:p>
        </w:tc>
        <w:tc>
          <w:tcPr>
            <w:tcW w:w="191" w:type="dxa"/>
            <w:tcBorders/>
            <w:shd w:fill="CCEEFF" w:val="clear"/>
            <w:vAlign w:val="center"/>
          </w:tcPr>
          <w:p>
            <w:pPr>
              <w:pStyle w:val="TableContents"/>
              <w:bidi w:val="0"/>
              <w:spacing w:before="0" w:after="0"/>
              <w:ind w:left="0" w:right="0" w:hanging="0"/>
              <w:jc w:val="left"/>
              <w:rPr/>
            </w:pPr>
            <w:r>
              <w:rPr/>
              <w:t> </w:t>
            </w:r>
          </w:p>
        </w:tc>
      </w:tr>
      <w:tr>
        <w:trPr/>
        <w:tc>
          <w:tcPr>
            <w:tcW w:w="29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42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January 1, 2023</w:t>
            </w:r>
          </w:p>
        </w:tc>
        <w:tc>
          <w:tcPr>
            <w:tcW w:w="326" w:type="dxa"/>
            <w:tcBorders/>
            <w:shd w:fill="CCEEFF" w:val="clear"/>
            <w:vAlign w:val="center"/>
          </w:tcPr>
          <w:p>
            <w:pPr>
              <w:pStyle w:val="TableContents"/>
              <w:bidi w:val="0"/>
              <w:spacing w:before="0" w:after="0"/>
              <w:ind w:left="0" w:right="0" w:hanging="0"/>
              <w:jc w:val="left"/>
              <w:rPr/>
            </w:pPr>
            <w:r>
              <w:rPr/>
              <w:t> </w:t>
            </w:r>
          </w:p>
        </w:tc>
        <w:tc>
          <w:tcPr>
            <w:tcW w:w="13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13,005</w:t>
            </w:r>
          </w:p>
        </w:tc>
        <w:tc>
          <w:tcPr>
            <w:tcW w:w="326" w:type="dxa"/>
            <w:tcBorders/>
            <w:shd w:fill="CCEEFF" w:val="clear"/>
            <w:vAlign w:val="center"/>
          </w:tcPr>
          <w:p>
            <w:pPr>
              <w:pStyle w:val="TableContents"/>
              <w:bidi w:val="0"/>
              <w:spacing w:before="0" w:after="0"/>
              <w:ind w:left="0" w:right="0" w:hanging="0"/>
              <w:jc w:val="left"/>
              <w:rPr/>
            </w:pPr>
            <w:r>
              <w:rPr/>
              <w:t> </w:t>
            </w:r>
          </w:p>
        </w:tc>
        <w:tc>
          <w:tcPr>
            <w:tcW w:w="14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82.67</w:t>
            </w:r>
          </w:p>
        </w:tc>
        <w:tc>
          <w:tcPr>
            <w:tcW w:w="191" w:type="dxa"/>
            <w:tcBorders/>
            <w:shd w:fill="CCEEFF" w:val="clear"/>
            <w:vAlign w:val="center"/>
          </w:tcPr>
          <w:p>
            <w:pPr>
              <w:pStyle w:val="TableContents"/>
              <w:bidi w:val="0"/>
              <w:spacing w:before="0" w:after="0"/>
              <w:ind w:left="0" w:right="0" w:hanging="0"/>
              <w:jc w:val="left"/>
              <w:rPr/>
            </w:pPr>
            <w:r>
              <w:rPr/>
              <w:t> </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13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4,795</w:t>
            </w:r>
          </w:p>
        </w:tc>
        <w:tc>
          <w:tcPr>
            <w:tcW w:w="326" w:type="dxa"/>
            <w:tcBorders/>
            <w:vAlign w:val="center"/>
          </w:tcPr>
          <w:p>
            <w:pPr>
              <w:pStyle w:val="TableContents"/>
              <w:bidi w:val="0"/>
              <w:spacing w:before="0" w:after="0"/>
              <w:ind w:left="0" w:right="0" w:hanging="0"/>
              <w:jc w:val="left"/>
              <w:rPr/>
            </w:pPr>
            <w:r>
              <w:rPr/>
              <w:t> </w:t>
            </w:r>
          </w:p>
        </w:tc>
        <w:tc>
          <w:tcPr>
            <w:tcW w:w="14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84.73</w:t>
            </w:r>
          </w:p>
        </w:tc>
        <w:tc>
          <w:tcPr>
            <w:tcW w:w="191" w:type="dxa"/>
            <w:tcBorders/>
            <w:vAlign w:val="center"/>
          </w:tcPr>
          <w:p>
            <w:pPr>
              <w:pStyle w:val="TableContents"/>
              <w:bidi w:val="0"/>
              <w:spacing w:before="0" w:after="0"/>
              <w:ind w:left="0" w:right="0" w:hanging="0"/>
              <w:jc w:val="left"/>
              <w:rPr/>
            </w:pPr>
            <w:r>
              <w:rPr/>
              <w:t> </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0"/>
              <w:ind w:left="0" w:right="0" w:hanging="0"/>
              <w:jc w:val="left"/>
              <w:rPr/>
            </w:pPr>
            <w:r>
              <w:rPr/>
              <w:t> </w:t>
            </w:r>
          </w:p>
        </w:tc>
        <w:tc>
          <w:tcPr>
            <w:tcW w:w="13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(5,190)</w:t>
            </w:r>
          </w:p>
        </w:tc>
        <w:tc>
          <w:tcPr>
            <w:tcW w:w="326" w:type="dxa"/>
            <w:tcBorders/>
            <w:shd w:fill="CCEEFF" w:val="clear"/>
            <w:vAlign w:val="center"/>
          </w:tcPr>
          <w:p>
            <w:pPr>
              <w:pStyle w:val="TableContents"/>
              <w:bidi w:val="0"/>
              <w:spacing w:before="0" w:after="0"/>
              <w:ind w:left="0" w:right="0" w:hanging="0"/>
              <w:jc w:val="left"/>
              <w:rPr/>
            </w:pPr>
            <w:r>
              <w:rPr/>
              <w:t> </w:t>
            </w:r>
          </w:p>
        </w:tc>
        <w:tc>
          <w:tcPr>
            <w:tcW w:w="14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76.27</w:t>
            </w:r>
          </w:p>
        </w:tc>
        <w:tc>
          <w:tcPr>
            <w:tcW w:w="191" w:type="dxa"/>
            <w:tcBorders/>
            <w:shd w:fill="CCEEFF" w:val="clear"/>
            <w:vAlign w:val="center"/>
          </w:tcPr>
          <w:p>
            <w:pPr>
              <w:pStyle w:val="TableContents"/>
              <w:bidi w:val="0"/>
              <w:spacing w:before="0" w:after="0"/>
              <w:ind w:left="0" w:right="0" w:hanging="0"/>
              <w:jc w:val="left"/>
              <w:rPr/>
            </w:pPr>
            <w:r>
              <w:rPr/>
              <w:t> </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before="0" w:after="0"/>
              <w:ind w:left="0" w:right="0" w:hanging="0"/>
              <w:jc w:val="left"/>
              <w:rPr/>
            </w:pPr>
            <w:r>
              <w:rPr/>
              <w:t> </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w:t>
            </w:r>
          </w:p>
        </w:tc>
        <w:tc>
          <w:tcPr>
            <w:tcW w:w="326" w:type="dxa"/>
            <w:tcBorders/>
            <w:vAlign w:val="center"/>
          </w:tcPr>
          <w:p>
            <w:pPr>
              <w:pStyle w:val="TableContents"/>
              <w:bidi w:val="0"/>
              <w:spacing w:before="0" w:after="0"/>
              <w:ind w:left="0" w:right="0" w:hanging="0"/>
              <w:jc w:val="left"/>
              <w:rPr/>
            </w:pPr>
            <w:r>
              <w:rPr/>
              <w:t> </w:t>
            </w:r>
          </w:p>
        </w:tc>
        <w:tc>
          <w:tcPr>
            <w:tcW w:w="14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88.24</w:t>
            </w:r>
          </w:p>
        </w:tc>
        <w:tc>
          <w:tcPr>
            <w:tcW w:w="191" w:type="dxa"/>
            <w:tcBorders/>
            <w:vAlign w:val="center"/>
          </w:tcPr>
          <w:p>
            <w:pPr>
              <w:pStyle w:val="TableContents"/>
              <w:bidi w:val="0"/>
              <w:spacing w:before="0" w:after="0"/>
              <w:ind w:left="0" w:right="0" w:hanging="0"/>
              <w:jc w:val="left"/>
              <w:rPr/>
            </w:pPr>
            <w:r>
              <w:rPr/>
              <w:t> </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December 31, 2023</w:t>
            </w:r>
          </w:p>
        </w:tc>
        <w:tc>
          <w:tcPr>
            <w:tcW w:w="326" w:type="dxa"/>
            <w:tcBorders/>
            <w:shd w:fill="CCEEFF" w:val="clear"/>
            <w:vAlign w:val="center"/>
          </w:tcPr>
          <w:p>
            <w:pPr>
              <w:pStyle w:val="TableContents"/>
              <w:bidi w:val="0"/>
              <w:spacing w:before="0" w:after="0"/>
              <w:ind w:left="0" w:right="0" w:hanging="0"/>
              <w:jc w:val="left"/>
              <w:rPr/>
            </w:pPr>
            <w:r>
              <w:rPr/>
              <w:t> </w:t>
            </w:r>
          </w:p>
        </w:tc>
        <w:tc>
          <w:tcPr>
            <w:tcW w:w="13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12,087</w:t>
            </w:r>
          </w:p>
        </w:tc>
        <w:tc>
          <w:tcPr>
            <w:tcW w:w="326" w:type="dxa"/>
            <w:tcBorders/>
            <w:shd w:fill="CCEEFF" w:val="clear"/>
            <w:vAlign w:val="center"/>
          </w:tcPr>
          <w:p>
            <w:pPr>
              <w:pStyle w:val="TableContents"/>
              <w:bidi w:val="0"/>
              <w:spacing w:before="0" w:after="0"/>
              <w:ind w:left="0" w:right="0" w:hanging="0"/>
              <w:jc w:val="left"/>
              <w:rPr/>
            </w:pPr>
            <w:r>
              <w:rPr/>
              <w:t> </w:t>
            </w:r>
          </w:p>
        </w:tc>
        <w:tc>
          <w:tcPr>
            <w:tcW w:w="14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86.00</w:t>
            </w:r>
          </w:p>
        </w:tc>
        <w:tc>
          <w:tcPr>
            <w:tcW w:w="191"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aggregate intrinsic value of RSUs outstanding as of December 31, 2023 was US$1.1 billion. The intrinsic value was calculated based on the Company’s closing stock price of US$93.16 per ADS as of December 31, 2023.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practice is to issue new shares or utilize treasury stock upon vesting of RSUs. The number of shares available for future grant under the Company’s 2019 RSU Plan was 236,724,510 as of December 31,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2792" w:type="dxa"/>
        <w:jc w:val="left"/>
        <w:tblInd w:w="0" w:type="dxa"/>
        <w:tblLayout w:type="fixed"/>
        <w:tblCellMar>
          <w:top w:w="0" w:type="dxa"/>
          <w:left w:w="0" w:type="dxa"/>
          <w:bottom w:w="0" w:type="dxa"/>
          <w:right w:w="0" w:type="dxa"/>
        </w:tblCellMar>
      </w:tblPr>
      <w:tblGrid>
        <w:gridCol w:w="346"/>
        <w:gridCol w:w="2446"/>
      </w:tblGrid>
      <w:tr>
        <w:trPr/>
        <w:tc>
          <w:tcPr>
            <w:tcW w:w="34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(b)</w:t>
            </w:r>
          </w:p>
        </w:tc>
        <w:tc>
          <w:tcPr>
            <w:tcW w:w="244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Other Share Incentive Plan</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Certain of the Company’s subsidiaries have adopted stock incentive plans, most of which are stock option plans and allow the related subsidiaries to grant options to certain employees of the Group. The options expire in </w:t>
      </w:r>
      <w:r>
        <w:rPr>
          <w:rFonts w:ascii="Times New Roman;Times;serif" w:hAnsi="Times New Roman;Times;serif"/>
          <w:b w:val="false"/>
          <w:i w:val="false"/>
          <w:caps w:val="false"/>
          <w:smallCaps w:val="false"/>
          <w:sz w:val="20"/>
        </w:rPr>
        <w:t>four</w:t>
      </w:r>
      <w:r>
        <w:rPr>
          <w:rFonts w:ascii="Times New Roman;Times;serif" w:hAnsi="Times New Roman;Times;serif"/>
          <w:sz w:val="20"/>
        </w:rPr>
        <w:t xml:space="preserve"> to seven years from the date of grant and either vest or have a vesting commencement date upon certain conditions being met (“Vesting Commencement Date”). The award can become 100% vested on the Vesting Commencement Date, or vests in two, three, four or five substantially equal annual installments with the first installment vesting on the Vesting Commencement Date. But for certain share options granted with vesting conditions outside the Group’s control, no expenses will be recorded until the occurrence of the vesting conditions when the Group determine that it is probable that the vesting conditions will be satisfied.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Group has used the binomial model to estimate the fair value of the options granted. For the years ended December 31, 2021, 2022, and 2023, RMB528.2 million, RMB327.9 million and RMB289.0 million compensation expenses were recorded for the share options granted.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December 31, 2023, there were approximately RMB21.0 million unrecognized share-based compensation expenses related to share options for which the service condition had been met and are expected to be recognized when the vesting conditions are achieved.</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1919" w:name="Tc_QE55V_0SY0GGq-PMipWDvw_17_0"/>
      <w:bookmarkStart w:id="1920" w:name="Tc_5gzGI-vtgUehX7ZvzvNjPA_16_6"/>
      <w:bookmarkStart w:id="1921" w:name="Tc_btrws-lwLkW4c0J0Bdj6SA_16_2"/>
      <w:bookmarkStart w:id="1922" w:name="Tc__DsGEoiD1EyHMF5UchnJTg_16_0"/>
      <w:bookmarkStart w:id="1923" w:name="Tc_R68TItG8bE6iJG5uet9rmw_15_0"/>
      <w:bookmarkStart w:id="1924" w:name="Tc_4ZZtlqqPy0-RzZGqkTHzqQ_14_0"/>
      <w:bookmarkStart w:id="1925" w:name="Tc_e7Q5y_Jon0Gy7HCuTnDXGw_13_6"/>
      <w:bookmarkStart w:id="1926" w:name="Tc_oUTArMehbkGv3ErdG5qjQQ_13_2"/>
      <w:bookmarkStart w:id="1927" w:name="Tc_Q40XhxvC8EyCit3atrO9Wg_13_0"/>
      <w:bookmarkStart w:id="1928" w:name="Tc_EkMu67r4bE6j3OTwm3eU3Q_12_0"/>
      <w:bookmarkStart w:id="1929" w:name="Tc_C9iBJz6KH0SPhcG7dpBkJA_11_0"/>
      <w:bookmarkStart w:id="1930" w:name="Tc_wcUxduQKiEWmxEg-ymfzEw_10_0"/>
      <w:bookmarkStart w:id="1931" w:name="Tc_nvU6fZpFhkuwYwPe4LJSlw_9_0"/>
      <w:bookmarkStart w:id="1932" w:name="Tc_0Yr_5AIn-E-aQ-eL3oGl7Q_8_0"/>
      <w:bookmarkStart w:id="1933" w:name="Tc_AJtTsuGMu0OW8JKHx2YO1w_6_0"/>
      <w:bookmarkStart w:id="1934" w:name="Tc_GLGFpU8j-EOk2aVs8PekSg_5_6"/>
      <w:bookmarkStart w:id="1935" w:name="Tc_NwVlcatIq0W08wRVCxvfgQ_5_2"/>
      <w:bookmarkStart w:id="1936" w:name="Tc_lGh0LNt7B0umjas6KVtbLA_5_0"/>
      <w:bookmarkStart w:id="1937" w:name="Tc_ECKi6-VcFU6ezSNfXprCbA_4_0"/>
      <w:bookmarkStart w:id="1938" w:name="Tc_Z6jGuuJPgkGKUu3kFNHIMQ_3_0"/>
      <w:bookmarkStart w:id="1939" w:name="Tc_9RFf4ygpHEOpqFAmyQXxLg_2_6"/>
      <w:bookmarkStart w:id="1940" w:name="Tc_0SQ44nisKUiQFFRJ8fPFMw_2_4"/>
      <w:bookmarkStart w:id="1941" w:name="Tc_ihxDCsDtw0Kd7x8ME2j_7g_2_2"/>
      <w:bookmarkStart w:id="1942" w:name="Tc_2DLHrpg7Bk6c1SmFHPuXZA_1_2"/>
      <w:bookmarkStart w:id="1943" w:name="Tc_QE55V_0SY0GGq-PMipWDvw_17_0"/>
      <w:bookmarkStart w:id="1944" w:name="Tc_5gzGI-vtgUehX7ZvzvNjPA_16_6"/>
      <w:bookmarkStart w:id="1945" w:name="Tc_btrws-lwLkW4c0J0Bdj6SA_16_2"/>
      <w:bookmarkStart w:id="1946" w:name="Tc__DsGEoiD1EyHMF5UchnJTg_16_0"/>
      <w:bookmarkStart w:id="1947" w:name="Tc_R68TItG8bE6iJG5uet9rmw_15_0"/>
      <w:bookmarkStart w:id="1948" w:name="Tc_4ZZtlqqPy0-RzZGqkTHzqQ_14_0"/>
      <w:bookmarkStart w:id="1949" w:name="Tc_e7Q5y_Jon0Gy7HCuTnDXGw_13_6"/>
      <w:bookmarkStart w:id="1950" w:name="Tc_oUTArMehbkGv3ErdG5qjQQ_13_2"/>
      <w:bookmarkStart w:id="1951" w:name="Tc_Q40XhxvC8EyCit3atrO9Wg_13_0"/>
      <w:bookmarkStart w:id="1952" w:name="Tc_EkMu67r4bE6j3OTwm3eU3Q_12_0"/>
      <w:bookmarkStart w:id="1953" w:name="Tc_C9iBJz6KH0SPhcG7dpBkJA_11_0"/>
      <w:bookmarkStart w:id="1954" w:name="Tc_wcUxduQKiEWmxEg-ymfzEw_10_0"/>
      <w:bookmarkStart w:id="1955" w:name="Tc_nvU6fZpFhkuwYwPe4LJSlw_9_0"/>
      <w:bookmarkStart w:id="1956" w:name="Tc_0Yr_5AIn-E-aQ-eL3oGl7Q_8_0"/>
      <w:bookmarkStart w:id="1957" w:name="Tc_AJtTsuGMu0OW8JKHx2YO1w_6_0"/>
      <w:bookmarkStart w:id="1958" w:name="Tc_GLGFpU8j-EOk2aVs8PekSg_5_6"/>
      <w:bookmarkStart w:id="1959" w:name="Tc_NwVlcatIq0W08wRVCxvfgQ_5_2"/>
      <w:bookmarkStart w:id="1960" w:name="Tc_lGh0LNt7B0umjas6KVtbLA_5_0"/>
      <w:bookmarkStart w:id="1961" w:name="Tc_ECKi6-VcFU6ezSNfXprCbA_4_0"/>
      <w:bookmarkStart w:id="1962" w:name="Tc_Z6jGuuJPgkGKUu3kFNHIMQ_3_0"/>
      <w:bookmarkStart w:id="1963" w:name="Tc_9RFf4ygpHEOpqFAmyQXxLg_2_6"/>
      <w:bookmarkStart w:id="1964" w:name="Tc_0SQ44nisKUiQFFRJ8fPFMw_2_4"/>
      <w:bookmarkStart w:id="1965" w:name="Tc_ihxDCsDtw0Kd7x8ME2j_7g_2_2"/>
      <w:bookmarkStart w:id="1966" w:name="Tc_2DLHrpg7Bk6c1SmFHPuXZA_1_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p>
    <w:tbl>
      <w:tblPr>
        <w:tblW w:w="2372" w:type="dxa"/>
        <w:jc w:val="left"/>
        <w:tblInd w:w="0" w:type="dxa"/>
        <w:tblLayout w:type="fixed"/>
        <w:tblCellMar>
          <w:top w:w="0" w:type="dxa"/>
          <w:left w:w="0" w:type="dxa"/>
          <w:bottom w:w="0" w:type="dxa"/>
          <w:right w:w="0" w:type="dxa"/>
        </w:tblCellMar>
      </w:tblPr>
      <w:tblGrid>
        <w:gridCol w:w="376"/>
        <w:gridCol w:w="1996"/>
      </w:tblGrid>
      <w:tr>
        <w:trPr/>
        <w:tc>
          <w:tcPr>
            <w:tcW w:w="37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23.</w:t>
            </w:r>
          </w:p>
        </w:tc>
        <w:tc>
          <w:tcPr>
            <w:tcW w:w="199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Net Income Per Share</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sets forth the computation of basic and diluted net income per share for the years ended December 31, 2021, 2022 and 2023:</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6074"/>
        <w:gridCol w:w="326"/>
        <w:gridCol w:w="1036"/>
        <w:gridCol w:w="326"/>
        <w:gridCol w:w="1036"/>
        <w:gridCol w:w="326"/>
        <w:gridCol w:w="1081"/>
      </w:tblGrid>
      <w:tr>
        <w:trPr/>
        <w:tc>
          <w:tcPr>
            <w:tcW w:w="60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3856990" cy="175260"/>
                      <wp:effectExtent l="0" t="0" r="0" b="0"/>
                      <wp:wrapNone/>
                      <wp:docPr id="537" name="Frame536"/>
                      <a:graphic xmlns:a="http://schemas.openxmlformats.org/drawingml/2006/main">
                        <a:graphicData uri="http://schemas.microsoft.com/office/word/2010/wordprocessingShape">
                          <wps:wsp>
                            <wps:cNvSpPr txBox="1"/>
                            <wps:spPr>
                              <a:xfrm>
                                <a:off x="0" y="0"/>
                                <a:ext cx="3856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207010" cy="175260"/>
                      <wp:effectExtent l="0" t="0" r="0" b="0"/>
                      <wp:wrapNone/>
                      <wp:docPr id="538" name="Frame5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657860" cy="175260"/>
                      <wp:effectExtent l="0" t="0" r="0" b="0"/>
                      <wp:wrapNone/>
                      <wp:docPr id="539" name="Frame53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207010" cy="175260"/>
                      <wp:effectExtent l="0" t="0" r="0" b="0"/>
                      <wp:wrapNone/>
                      <wp:docPr id="540" name="Frame5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657860" cy="175260"/>
                      <wp:effectExtent l="0" t="0" r="0" b="0"/>
                      <wp:wrapNone/>
                      <wp:docPr id="541" name="Frame54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207010" cy="175260"/>
                      <wp:effectExtent l="0" t="0" r="0" b="0"/>
                      <wp:wrapNone/>
                      <wp:docPr id="542" name="Frame5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686435" cy="175260"/>
                      <wp:effectExtent l="0" t="0" r="0" b="0"/>
                      <wp:wrapNone/>
                      <wp:docPr id="543" name="Frame542"/>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8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60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6074"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Numerator (RMB in thousands):</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r>
      <w:tr>
        <w:trPr/>
        <w:tc>
          <w:tcPr>
            <w:tcW w:w="607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from continuing operations attributable to the Company’s shareholders</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16,856,842</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19,712,736</w:t>
            </w:r>
          </w:p>
        </w:tc>
        <w:tc>
          <w:tcPr>
            <w:tcW w:w="32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29,416,552</w:t>
            </w:r>
          </w:p>
        </w:tc>
      </w:tr>
      <w:tr>
        <w:trPr/>
        <w:tc>
          <w:tcPr>
            <w:tcW w:w="607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from discontinued operations attributable to the Company’s shareholders</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624,864</w:t>
            </w:r>
          </w:p>
        </w:tc>
        <w:tc>
          <w:tcPr>
            <w:tcW w:w="326" w:type="dxa"/>
            <w:tcBorders/>
            <w:shd w:fill="CCEEFF" w:val="clear"/>
            <w:vAlign w:val="center"/>
          </w:tcPr>
          <w:p>
            <w:pPr>
              <w:pStyle w:val="TableContents"/>
              <w:bidi w:val="0"/>
              <w:spacing w:before="0" w:after="0"/>
              <w:ind w:left="0" w:right="0" w:hanging="0"/>
              <w:jc w:val="righ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07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the Company’s shareholders for basic/dilutive net income per share calculation</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16,856,842</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20,337,600</w:t>
            </w:r>
          </w:p>
        </w:tc>
        <w:tc>
          <w:tcPr>
            <w:tcW w:w="326" w:type="dxa"/>
            <w:tcBorders/>
            <w:vAlign w:val="center"/>
          </w:tcPr>
          <w:p>
            <w:pPr>
              <w:pStyle w:val="TableContents"/>
              <w:bidi w:val="0"/>
              <w:spacing w:before="0" w:after="0"/>
              <w:ind w:left="0" w:right="0" w:hanging="0"/>
              <w:jc w:val="left"/>
              <w:rPr/>
            </w:pPr>
            <w:r>
              <w:rPr/>
              <w:t>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29,416,552</w:t>
            </w:r>
          </w:p>
        </w:tc>
      </w:tr>
      <w:tr>
        <w:trPr/>
        <w:tc>
          <w:tcPr>
            <w:tcW w:w="60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r>
      <w:tr>
        <w:trPr/>
        <w:tc>
          <w:tcPr>
            <w:tcW w:w="6074"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Denominator (No. of shares in thousands):</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r>
      <w:tr>
        <w:trPr/>
        <w:tc>
          <w:tcPr>
            <w:tcW w:w="607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number of ordinary shares outstanding, basic</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3,325,864</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3,263,455</w:t>
            </w:r>
          </w:p>
        </w:tc>
        <w:tc>
          <w:tcPr>
            <w:tcW w:w="326"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3,216,475</w:t>
            </w:r>
          </w:p>
        </w:tc>
      </w:tr>
      <w:tr>
        <w:trPr/>
        <w:tc>
          <w:tcPr>
            <w:tcW w:w="607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Dilutive effect of restricted share units</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41,614</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32,559</w:t>
            </w:r>
          </w:p>
        </w:tc>
        <w:tc>
          <w:tcPr>
            <w:tcW w:w="326" w:type="dxa"/>
            <w:tcBorders/>
            <w:vAlign w:val="center"/>
          </w:tcPr>
          <w:p>
            <w:pPr>
              <w:pStyle w:val="TableContents"/>
              <w:bidi w:val="0"/>
              <w:spacing w:before="0" w:after="0"/>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35,554</w:t>
            </w:r>
          </w:p>
        </w:tc>
      </w:tr>
      <w:tr>
        <w:trPr/>
        <w:tc>
          <w:tcPr>
            <w:tcW w:w="607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number of ordinary shares outstanding, diluted</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3,367,478</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3,296,014</w:t>
            </w:r>
          </w:p>
        </w:tc>
        <w:tc>
          <w:tcPr>
            <w:tcW w:w="326" w:type="dxa"/>
            <w:tcBorders/>
            <w:shd w:fill="CCEEFF" w:val="clear"/>
            <w:vAlign w:val="center"/>
          </w:tcPr>
          <w:p>
            <w:pPr>
              <w:pStyle w:val="TableContents"/>
              <w:bidi w:val="0"/>
              <w:spacing w:before="0" w:after="0"/>
              <w:ind w:left="0" w:right="0" w:hanging="0"/>
              <w:jc w:val="left"/>
              <w:rPr/>
            </w:pPr>
            <w:r>
              <w:rPr/>
              <w:t>​</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3,252,029</w:t>
            </w:r>
          </w:p>
        </w:tc>
      </w:tr>
      <w:tr>
        <w:trPr/>
        <w:tc>
          <w:tcPr>
            <w:tcW w:w="607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per share from continuing operations attributable to the Company’s shareholders, basic (RMB)</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w:t>
            </w:r>
          </w:p>
        </w:tc>
        <w:tc>
          <w:tcPr>
            <w:tcW w:w="326" w:type="dxa"/>
            <w:tcBorders/>
            <w:vAlign w:val="center"/>
          </w:tcPr>
          <w:p>
            <w:pPr>
              <w:pStyle w:val="TableContents"/>
              <w:bidi w:val="0"/>
              <w:spacing w:before="0" w:after="0"/>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9.15</w:t>
            </w:r>
          </w:p>
        </w:tc>
      </w:tr>
      <w:tr>
        <w:trPr/>
        <w:tc>
          <w:tcPr>
            <w:tcW w:w="607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per share from discontinued operations attributable to the Company’s shareholders, basic (RMB)</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0.19</w:t>
            </w:r>
          </w:p>
        </w:tc>
        <w:tc>
          <w:tcPr>
            <w:tcW w:w="326" w:type="dxa"/>
            <w:tcBorders/>
            <w:shd w:fill="CCEEFF" w:val="clear"/>
            <w:vAlign w:val="center"/>
          </w:tcPr>
          <w:p>
            <w:pPr>
              <w:pStyle w:val="TableContents"/>
              <w:bidi w:val="0"/>
              <w:spacing w:before="0" w:after="0"/>
              <w:ind w:left="0" w:right="0" w:hanging="0"/>
              <w:jc w:val="left"/>
              <w:rPr/>
            </w:pPr>
            <w:r>
              <w:rPr/>
              <w:t>​</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074"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per share, basic (RMB)</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5.07</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6.23</w:t>
            </w:r>
          </w:p>
        </w:tc>
        <w:tc>
          <w:tcPr>
            <w:tcW w:w="326" w:type="dxa"/>
            <w:tcBorders/>
            <w:vAlign w:val="center"/>
          </w:tcPr>
          <w:p>
            <w:pPr>
              <w:pStyle w:val="TableContents"/>
              <w:bidi w:val="0"/>
              <w:spacing w:before="0" w:after="0"/>
              <w:ind w:left="0" w:right="0" w:hanging="0"/>
              <w:jc w:val="left"/>
              <w:rPr/>
            </w:pPr>
            <w:r>
              <w:rPr/>
              <w:t>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9.15</w:t>
            </w:r>
          </w:p>
        </w:tc>
      </w:tr>
      <w:tr>
        <w:trPr/>
        <w:tc>
          <w:tcPr>
            <w:tcW w:w="607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per share from continuing operations attributable to the Company’s shareholders, diluted (RMB)</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w:t>
            </w:r>
          </w:p>
        </w:tc>
        <w:tc>
          <w:tcPr>
            <w:tcW w:w="326" w:type="dxa"/>
            <w:tcBorders/>
            <w:shd w:fill="CCEEFF" w:val="clear"/>
            <w:vAlign w:val="center"/>
          </w:tcPr>
          <w:p>
            <w:pPr>
              <w:pStyle w:val="TableContents"/>
              <w:bidi w:val="0"/>
              <w:spacing w:before="0" w:after="0"/>
              <w:ind w:left="0" w:right="0" w:hanging="0"/>
              <w:jc w:val="left"/>
              <w:rPr/>
            </w:pPr>
            <w:r>
              <w:rPr/>
              <w:t>​</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9.05</w:t>
            </w:r>
          </w:p>
        </w:tc>
      </w:tr>
      <w:tr>
        <w:trPr/>
        <w:tc>
          <w:tcPr>
            <w:tcW w:w="607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per share from discontinued operations attributable to the Company’s shareholders, diluted (RMB)</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0.19</w:t>
            </w:r>
          </w:p>
        </w:tc>
        <w:tc>
          <w:tcPr>
            <w:tcW w:w="326" w:type="dxa"/>
            <w:tcBorders/>
            <w:vAlign w:val="center"/>
          </w:tcPr>
          <w:p>
            <w:pPr>
              <w:pStyle w:val="TableContents"/>
              <w:bidi w:val="0"/>
              <w:spacing w:before="0" w:after="0"/>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074"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per share, diluted (RMB)</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5.01</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6.17</w:t>
            </w:r>
          </w:p>
        </w:tc>
        <w:tc>
          <w:tcPr>
            <w:tcW w:w="326" w:type="dxa"/>
            <w:tcBorders/>
            <w:shd w:fill="CCEEFF" w:val="clear"/>
            <w:vAlign w:val="center"/>
          </w:tcPr>
          <w:p>
            <w:pPr>
              <w:pStyle w:val="TableContents"/>
              <w:bidi w:val="0"/>
              <w:spacing w:before="0" w:after="0"/>
              <w:ind w:left="0" w:right="0" w:hanging="0"/>
              <w:jc w:val="left"/>
              <w:rPr/>
            </w:pPr>
            <w:r>
              <w:rPr/>
              <w:t> </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9.05</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Basic net income per share is computed using the weighted average number of the ordinary shares outstanding during the year. Diluted net income per share is computed using the weighted average number of ordinary shares and potential ordinary shares outstanding during the year. For the years ended December 31, 2021, 2022 and 2023, RSUs that were anti-dilutive and excluded from the calculation of diluted net income per share totaled approximately 6.7 million shares, 11.3 million shares and 6.3 million shares, respectively.</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967" w:name="Tc_So3kRVTAq06hdWcT6aLMaA_10_8"/>
      <w:bookmarkStart w:id="1968" w:name="Tc_lhc1hG9whEmtdk8rLFGJhw_10_6"/>
      <w:bookmarkStart w:id="1969" w:name="Tc_SPP_CDs4T0WI1lzvoyig_Q_10_0"/>
      <w:bookmarkStart w:id="1970" w:name="Tc_BW3POncyj0qbMZyFtj-zbQ_9_8"/>
      <w:bookmarkStart w:id="1971" w:name="Tc_6LBcEDXMJkaU-5tCUlm5og_9_0"/>
      <w:bookmarkStart w:id="1972" w:name="Tc_VYMcHDPu20CVMV-F__KwsQ_8_0"/>
      <w:bookmarkStart w:id="1973" w:name="Tc_lHPotoeonUOlaQNwQVAmSg_7_0"/>
      <w:bookmarkStart w:id="1974" w:name="Tc_gGZhY7MmukmizMreMsOH-w_6_0"/>
      <w:bookmarkStart w:id="1975" w:name="Tc_Hnzav5KcyE6AZlQkpf7YzA_5_10"/>
      <w:bookmarkStart w:id="1976" w:name="Tc_MTBMnWbY-0-W4L5ez_tWug_5_8"/>
      <w:bookmarkStart w:id="1977" w:name="Tc_K3CsLJDrVUqfZ1EA8gNNzg_5_6"/>
      <w:bookmarkStart w:id="1978" w:name="Tc_-n-y_D3mnkuKSLsVMJH2zw_5_4"/>
      <w:bookmarkStart w:id="1979" w:name="Tc_0xdE89LUqkegefOfXy9EwA_5_2"/>
      <w:bookmarkStart w:id="1980" w:name="Tc_WAsOLCX4YU-4wQ6aTq_UAA_4_10"/>
      <w:bookmarkStart w:id="1981" w:name="Tc_6e0TedQIp0697vV9oG_YQA_4_8"/>
      <w:bookmarkStart w:id="1982" w:name="Tc_CQwOo1Zw9kWjJ5B0ds29lA_4_6"/>
      <w:bookmarkStart w:id="1983" w:name="Tc_qyDF3JpW6E68SpAIWxHfmA_4_4"/>
      <w:bookmarkStart w:id="1984" w:name="Tc_F3b1vlnBH0KfVjMU67T0Yw_4_2"/>
      <w:bookmarkStart w:id="1985" w:name="Tc_FFwUwPro7EKLl-gwnOjSHA_3_8"/>
      <w:bookmarkStart w:id="1986" w:name="Tc_HreCf68JMEWXcNMo4WLxdg_3_6"/>
      <w:bookmarkStart w:id="1987" w:name="Tc_8egC7bT3KEOIAtM49P0T9w_3_4"/>
      <w:bookmarkStart w:id="1988" w:name="Tc_1U3G7p0nCEeGSP4fxer3WA_3_2"/>
      <w:bookmarkStart w:id="1989" w:name="Tc__86WH4ibNEWEKZq3lHJnrw_2_6"/>
      <w:bookmarkStart w:id="1990" w:name="Tc_5c87UFj9R06Fz6j6V-yIfw_2_2"/>
      <w:bookmarkStart w:id="1991" w:name="Tc_u9w2G2HdmUeOngfevaiIVQ_1_6"/>
      <w:bookmarkStart w:id="1992" w:name="Tc_8JtbDP_kVUq4rbnwc3Fh3w_1_2"/>
      <w:bookmarkStart w:id="1993" w:name="_32f64042_6087_4d16_967a_45a4138ae941"/>
      <w:bookmarkStart w:id="1994" w:name="Tc_So3kRVTAq06hdWcT6aLMaA_10_8"/>
      <w:bookmarkStart w:id="1995" w:name="Tc_lhc1hG9whEmtdk8rLFGJhw_10_6"/>
      <w:bookmarkStart w:id="1996" w:name="Tc_SPP_CDs4T0WI1lzvoyig_Q_10_0"/>
      <w:bookmarkStart w:id="1997" w:name="Tc_BW3POncyj0qbMZyFtj-zbQ_9_8"/>
      <w:bookmarkStart w:id="1998" w:name="Tc_6LBcEDXMJkaU-5tCUlm5og_9_0"/>
      <w:bookmarkStart w:id="1999" w:name="Tc_VYMcHDPu20CVMV-F__KwsQ_8_0"/>
      <w:bookmarkStart w:id="2000" w:name="Tc_lHPotoeonUOlaQNwQVAmSg_7_0"/>
      <w:bookmarkStart w:id="2001" w:name="Tc_gGZhY7MmukmizMreMsOH-w_6_0"/>
      <w:bookmarkStart w:id="2002" w:name="Tc_Hnzav5KcyE6AZlQkpf7YzA_5_10"/>
      <w:bookmarkStart w:id="2003" w:name="Tc_MTBMnWbY-0-W4L5ez_tWug_5_8"/>
      <w:bookmarkStart w:id="2004" w:name="Tc_K3CsLJDrVUqfZ1EA8gNNzg_5_6"/>
      <w:bookmarkStart w:id="2005" w:name="Tc_-n-y_D3mnkuKSLsVMJH2zw_5_4"/>
      <w:bookmarkStart w:id="2006" w:name="Tc_0xdE89LUqkegefOfXy9EwA_5_2"/>
      <w:bookmarkStart w:id="2007" w:name="Tc_WAsOLCX4YU-4wQ6aTq_UAA_4_10"/>
      <w:bookmarkStart w:id="2008" w:name="Tc_6e0TedQIp0697vV9oG_YQA_4_8"/>
      <w:bookmarkStart w:id="2009" w:name="Tc_CQwOo1Zw9kWjJ5B0ds29lA_4_6"/>
      <w:bookmarkStart w:id="2010" w:name="Tc_qyDF3JpW6E68SpAIWxHfmA_4_4"/>
      <w:bookmarkStart w:id="2011" w:name="Tc_F3b1vlnBH0KfVjMU67T0Yw_4_2"/>
      <w:bookmarkStart w:id="2012" w:name="Tc_FFwUwPro7EKLl-gwnOjSHA_3_8"/>
      <w:bookmarkStart w:id="2013" w:name="Tc_HreCf68JMEWXcNMo4WLxdg_3_6"/>
      <w:bookmarkStart w:id="2014" w:name="Tc_8egC7bT3KEOIAtM49P0T9w_3_4"/>
      <w:bookmarkStart w:id="2015" w:name="Tc_1U3G7p0nCEeGSP4fxer3WA_3_2"/>
      <w:bookmarkStart w:id="2016" w:name="Tc__86WH4ibNEWEKZq3lHJnrw_2_6"/>
      <w:bookmarkStart w:id="2017" w:name="Tc_5c87UFj9R06Fz6j6V-yIfw_2_2"/>
      <w:bookmarkStart w:id="2018" w:name="Tc_u9w2G2HdmUeOngfevaiIVQ_1_6"/>
      <w:bookmarkStart w:id="2019" w:name="Tc_8JtbDP_kVUq4rbnwc3Fh3w_1_2"/>
      <w:bookmarkStart w:id="2020" w:name="_32f64042_6087_4d16_967a_45a4138ae941"/>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p>
    <w:tbl>
      <w:tblPr>
        <w:tblW w:w="3302" w:type="dxa"/>
        <w:jc w:val="left"/>
        <w:tblInd w:w="0" w:type="dxa"/>
        <w:tblLayout w:type="fixed"/>
        <w:tblCellMar>
          <w:top w:w="0" w:type="dxa"/>
          <w:left w:w="0" w:type="dxa"/>
          <w:bottom w:w="0" w:type="dxa"/>
          <w:right w:w="0" w:type="dxa"/>
        </w:tblCellMar>
      </w:tblPr>
      <w:tblGrid>
        <w:gridCol w:w="376"/>
        <w:gridCol w:w="2926"/>
      </w:tblGrid>
      <w:tr>
        <w:trPr/>
        <w:tc>
          <w:tcPr>
            <w:tcW w:w="37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24.</w:t>
            </w:r>
          </w:p>
        </w:tc>
        <w:tc>
          <w:tcPr>
            <w:tcW w:w="292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Commitments and Contingencies</w:t>
            </w:r>
          </w:p>
        </w:tc>
      </w:tr>
    </w:tbl>
    <w:tbl>
      <w:tblPr>
        <w:tblW w:w="1682" w:type="dxa"/>
        <w:jc w:val="left"/>
        <w:tblInd w:w="0" w:type="dxa"/>
        <w:tblLayout w:type="fixed"/>
        <w:tblCellMar>
          <w:top w:w="0" w:type="dxa"/>
          <w:left w:w="0" w:type="dxa"/>
          <w:bottom w:w="0" w:type="dxa"/>
          <w:right w:w="0" w:type="dxa"/>
        </w:tblCellMar>
      </w:tblPr>
      <w:tblGrid>
        <w:gridCol w:w="346"/>
        <w:gridCol w:w="1336"/>
      </w:tblGrid>
      <w:tr>
        <w:trPr/>
        <w:tc>
          <w:tcPr>
            <w:tcW w:w="34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(a)</w:t>
            </w:r>
          </w:p>
        </w:tc>
        <w:tc>
          <w:tcPr>
            <w:tcW w:w="133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Commitments</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As of December 31, 2023, future minimum payment for server and bandwidth service fee commitments, capital commitments, royalties and other expenditures commitments related to licensed contents, as well as other commitments related to services purchases, were as follows (in thousands): </w:t>
      </w:r>
    </w:p>
    <w:p>
      <w:pPr>
        <w:pStyle w:val="TextBody"/>
        <w:bidi w:val="0"/>
        <w:spacing w:before="0" w:after="0"/>
        <w:ind w:left="0" w:right="0" w:hanging="0"/>
        <w:jc w:val="both"/>
        <w:rPr/>
      </w:pPr>
      <w:r>
        <w:rPr/>
        <w:t>​</w:t>
      </w:r>
    </w:p>
    <w:tbl>
      <w:tblPr>
        <w:tblW w:w="8626" w:type="dxa"/>
        <w:jc w:val="left"/>
        <w:tblInd w:w="0" w:type="dxa"/>
        <w:tblLayout w:type="fixed"/>
        <w:tblCellMar>
          <w:top w:w="0" w:type="dxa"/>
          <w:left w:w="0" w:type="dxa"/>
          <w:bottom w:w="0" w:type="dxa"/>
          <w:right w:w="0" w:type="dxa"/>
        </w:tblCellMar>
      </w:tblPr>
      <w:tblGrid>
        <w:gridCol w:w="1231"/>
        <w:gridCol w:w="326"/>
        <w:gridCol w:w="1111"/>
        <w:gridCol w:w="326"/>
        <w:gridCol w:w="1111"/>
        <w:gridCol w:w="326"/>
        <w:gridCol w:w="1396"/>
        <w:gridCol w:w="326"/>
        <w:gridCol w:w="1111"/>
        <w:gridCol w:w="326"/>
        <w:gridCol w:w="1036"/>
      </w:tblGrid>
      <w:tr>
        <w:trPr/>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781685" cy="175260"/>
                      <wp:effectExtent l="0" t="0" r="0" b="0"/>
                      <wp:wrapNone/>
                      <wp:docPr id="544" name="Frame543"/>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207010" cy="175260"/>
                      <wp:effectExtent l="0" t="0" r="0" b="0"/>
                      <wp:wrapNone/>
                      <wp:docPr id="545" name="Frame5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705485" cy="175260"/>
                      <wp:effectExtent l="0" t="0" r="0" b="0"/>
                      <wp:wrapNone/>
                      <wp:docPr id="546" name="Frame545"/>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207010" cy="175260"/>
                      <wp:effectExtent l="0" t="0" r="0" b="0"/>
                      <wp:wrapNone/>
                      <wp:docPr id="547" name="Frame5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705485" cy="175260"/>
                      <wp:effectExtent l="0" t="0" r="0" b="0"/>
                      <wp:wrapNone/>
                      <wp:docPr id="548" name="Frame547"/>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207010" cy="175260"/>
                      <wp:effectExtent l="0" t="0" r="0" b="0"/>
                      <wp:wrapNone/>
                      <wp:docPr id="549" name="Frame5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886460" cy="175260"/>
                      <wp:effectExtent l="0" t="0" r="0" b="0"/>
                      <wp:wrapNone/>
                      <wp:docPr id="550" name="Frame549"/>
                      <a:graphic xmlns:a="http://schemas.openxmlformats.org/drawingml/2006/main">
                        <a:graphicData uri="http://schemas.microsoft.com/office/word/2010/wordprocessingShape">
                          <wps:wsp>
                            <wps:cNvSpPr txBox="1"/>
                            <wps:spPr>
                              <a:xfrm>
                                <a:off x="0" y="0"/>
                                <a:ext cx="886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207010" cy="175260"/>
                      <wp:effectExtent l="0" t="0" r="0" b="0"/>
                      <wp:wrapNone/>
                      <wp:docPr id="551" name="Frame5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705485" cy="175260"/>
                      <wp:effectExtent l="0" t="0" r="0" b="0"/>
                      <wp:wrapNone/>
                      <wp:docPr id="552" name="Frame551"/>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207010" cy="175260"/>
                      <wp:effectExtent l="0" t="0" r="0" b="0"/>
                      <wp:wrapNone/>
                      <wp:docPr id="553" name="Frame5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657860" cy="175260"/>
                      <wp:effectExtent l="0" t="0" r="0" b="0"/>
                      <wp:wrapNone/>
                      <wp:docPr id="554" name="Frame55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Server and</w:t>
            </w:r>
          </w:p>
        </w:tc>
        <w:tc>
          <w:tcPr>
            <w:tcW w:w="32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Royalties and </w:t>
            </w:r>
          </w:p>
        </w:tc>
        <w:tc>
          <w:tcPr>
            <w:tcW w:w="32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12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Bandwidth</w:t>
            </w:r>
          </w:p>
        </w:tc>
        <w:tc>
          <w:tcPr>
            <w:tcW w:w="32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Expenditure for </w:t>
            </w:r>
          </w:p>
        </w:tc>
        <w:tc>
          <w:tcPr>
            <w:tcW w:w="32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12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Service Fee</w:t>
            </w:r>
          </w:p>
        </w:tc>
        <w:tc>
          <w:tcPr>
            <w:tcW w:w="32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left"/>
              <w:rPr/>
            </w:pPr>
            <w:r>
              <w:rPr/>
              <w:t>​</w:t>
            </w:r>
          </w:p>
        </w:tc>
        <w:tc>
          <w:tcPr>
            <w:tcW w:w="13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Licensed Content </w:t>
            </w:r>
          </w:p>
        </w:tc>
        <w:tc>
          <w:tcPr>
            <w:tcW w:w="32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12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Commitments</w:t>
            </w:r>
          </w:p>
        </w:tc>
        <w:tc>
          <w:tcPr>
            <w:tcW w:w="326" w:type="dxa"/>
            <w:tcBorders/>
            <w:vAlign w:val="center"/>
          </w:tcPr>
          <w:p>
            <w:pPr>
              <w:pStyle w:val="TableContents"/>
              <w:bidi w:val="0"/>
              <w:spacing w:before="0" w:after="0"/>
              <w:ind w:left="0" w:right="0" w:hanging="0"/>
              <w:jc w:val="left"/>
              <w:rPr/>
            </w:pPr>
            <w:r>
              <w:rPr/>
              <w:t>    </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Commitments</w:t>
            </w:r>
          </w:p>
        </w:tc>
        <w:tc>
          <w:tcPr>
            <w:tcW w:w="326" w:type="dxa"/>
            <w:tcBorders/>
            <w:vAlign w:val="center"/>
          </w:tcPr>
          <w:p>
            <w:pPr>
              <w:pStyle w:val="TableContents"/>
              <w:bidi w:val="0"/>
              <w:spacing w:before="0" w:after="0"/>
              <w:ind w:left="0" w:right="0" w:hanging="0"/>
              <w:jc w:val="left"/>
              <w:rPr/>
            </w:pPr>
            <w:r>
              <w:rPr/>
              <w:t>    </w:t>
            </w:r>
          </w:p>
        </w:tc>
        <w:tc>
          <w:tcPr>
            <w:tcW w:w="13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Commitments</w:t>
            </w:r>
          </w:p>
        </w:tc>
        <w:tc>
          <w:tcPr>
            <w:tcW w:w="326" w:type="dxa"/>
            <w:tcBorders/>
            <w:vAlign w:val="center"/>
          </w:tcPr>
          <w:p>
            <w:pPr>
              <w:pStyle w:val="TableContents"/>
              <w:bidi w:val="0"/>
              <w:spacing w:before="0" w:after="0"/>
              <w:ind w:left="0" w:right="0" w:hanging="0"/>
              <w:jc w:val="left"/>
              <w:rPr/>
            </w:pPr>
            <w:r>
              <w:rPr/>
              <w:t>    </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Commitments</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2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13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1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439,118</w:t>
            </w:r>
          </w:p>
        </w:tc>
        <w:tc>
          <w:tcPr>
            <w:tcW w:w="32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1,473,870</w:t>
            </w:r>
          </w:p>
        </w:tc>
        <w:tc>
          <w:tcPr>
            <w:tcW w:w="326" w:type="dxa"/>
            <w:tcBorders/>
            <w:shd w:fill="CCEEFF" w:val="clear"/>
            <w:vAlign w:val="center"/>
          </w:tcPr>
          <w:p>
            <w:pPr>
              <w:pStyle w:val="TableContents"/>
              <w:bidi w:val="0"/>
              <w:spacing w:before="0" w:after="0"/>
              <w:ind w:left="0" w:right="0" w:hanging="0"/>
              <w:jc w:val="left"/>
              <w:rPr/>
            </w:pPr>
            <w:r>
              <w:rPr/>
              <w:t>​</w:t>
            </w:r>
          </w:p>
        </w:tc>
        <w:tc>
          <w:tcPr>
            <w:tcW w:w="13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688,387</w:t>
            </w:r>
          </w:p>
        </w:tc>
        <w:tc>
          <w:tcPr>
            <w:tcW w:w="32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297,149</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2,898,524</w:t>
            </w:r>
          </w:p>
        </w:tc>
      </w:tr>
      <w:tr>
        <w:trPr/>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366,162</w:t>
            </w:r>
          </w:p>
        </w:tc>
        <w:tc>
          <w:tcPr>
            <w:tcW w:w="32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341,700</w:t>
            </w:r>
          </w:p>
        </w:tc>
        <w:tc>
          <w:tcPr>
            <w:tcW w:w="326" w:type="dxa"/>
            <w:tcBorders/>
            <w:vAlign w:val="center"/>
          </w:tcPr>
          <w:p>
            <w:pPr>
              <w:pStyle w:val="TableContents"/>
              <w:bidi w:val="0"/>
              <w:spacing w:before="0" w:after="0"/>
              <w:ind w:left="0" w:right="0" w:hanging="0"/>
              <w:jc w:val="left"/>
              <w:rPr/>
            </w:pPr>
            <w:r>
              <w:rPr/>
              <w:t>​</w:t>
            </w:r>
          </w:p>
        </w:tc>
        <w:tc>
          <w:tcPr>
            <w:tcW w:w="13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271,125</w:t>
            </w:r>
          </w:p>
        </w:tc>
        <w:tc>
          <w:tcPr>
            <w:tcW w:w="32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4,756</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983,743</w:t>
            </w:r>
          </w:p>
        </w:tc>
      </w:tr>
      <w:tr>
        <w:trPr/>
        <w:tc>
          <w:tcPr>
            <w:tcW w:w="1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212,431</w:t>
            </w:r>
          </w:p>
        </w:tc>
        <w:tc>
          <w:tcPr>
            <w:tcW w:w="32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55,446</w:t>
            </w:r>
          </w:p>
        </w:tc>
        <w:tc>
          <w:tcPr>
            <w:tcW w:w="326" w:type="dxa"/>
            <w:tcBorders/>
            <w:shd w:fill="CCEEFF" w:val="clear"/>
            <w:vAlign w:val="center"/>
          </w:tcPr>
          <w:p>
            <w:pPr>
              <w:pStyle w:val="TableContents"/>
              <w:bidi w:val="0"/>
              <w:spacing w:before="0" w:after="0"/>
              <w:ind w:left="0" w:right="0" w:hanging="0"/>
              <w:jc w:val="left"/>
              <w:rPr/>
            </w:pPr>
            <w:r>
              <w:rPr/>
              <w:t>​</w:t>
            </w:r>
          </w:p>
        </w:tc>
        <w:tc>
          <w:tcPr>
            <w:tcW w:w="13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215,376</w:t>
            </w:r>
          </w:p>
        </w:tc>
        <w:tc>
          <w:tcPr>
            <w:tcW w:w="32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483,727</w:t>
            </w:r>
          </w:p>
        </w:tc>
      </w:tr>
      <w:tr>
        <w:trPr/>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102,479</w:t>
            </w:r>
          </w:p>
        </w:tc>
        <w:tc>
          <w:tcPr>
            <w:tcW w:w="32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33,439</w:t>
            </w:r>
          </w:p>
        </w:tc>
        <w:tc>
          <w:tcPr>
            <w:tcW w:w="326" w:type="dxa"/>
            <w:tcBorders/>
            <w:vAlign w:val="center"/>
          </w:tcPr>
          <w:p>
            <w:pPr>
              <w:pStyle w:val="TableContents"/>
              <w:bidi w:val="0"/>
              <w:spacing w:before="0" w:after="0"/>
              <w:ind w:left="0" w:right="0" w:hanging="0"/>
              <w:jc w:val="left"/>
              <w:rPr/>
            </w:pPr>
            <w:r>
              <w:rPr/>
              <w:t>​</w:t>
            </w:r>
          </w:p>
        </w:tc>
        <w:tc>
          <w:tcPr>
            <w:tcW w:w="13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99,876</w:t>
            </w:r>
          </w:p>
        </w:tc>
        <w:tc>
          <w:tcPr>
            <w:tcW w:w="32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235,794</w:t>
            </w:r>
          </w:p>
        </w:tc>
      </w:tr>
      <w:tr>
        <w:trPr/>
        <w:tc>
          <w:tcPr>
            <w:tcW w:w="1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Beyond 2027</w:t>
            </w:r>
          </w:p>
        </w:tc>
        <w:tc>
          <w:tcPr>
            <w:tcW w:w="326" w:type="dxa"/>
            <w:tcBorders/>
            <w:shd w:fill="CCEEFF" w:val="clear"/>
            <w:vAlign w:val="center"/>
          </w:tcPr>
          <w:p>
            <w:pPr>
              <w:pStyle w:val="TableContents"/>
              <w:bidi w:val="0"/>
              <w:spacing w:before="0" w:after="0"/>
              <w:ind w:left="0" w:right="0" w:hanging="0"/>
              <w:jc w:val="left"/>
              <w:rPr/>
            </w:pPr>
            <w:r>
              <w:rPr/>
              <w:t> </w:t>
            </w:r>
          </w:p>
        </w:tc>
        <w:tc>
          <w:tcPr>
            <w:tcW w:w="11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188,776</w:t>
            </w:r>
          </w:p>
        </w:tc>
        <w:tc>
          <w:tcPr>
            <w:tcW w:w="326" w:type="dxa"/>
            <w:tcBorders/>
            <w:shd w:fill="CCEEFF" w:val="clear"/>
            <w:vAlign w:val="center"/>
          </w:tcPr>
          <w:p>
            <w:pPr>
              <w:pStyle w:val="TableContents"/>
              <w:bidi w:val="0"/>
              <w:spacing w:before="0" w:after="0"/>
              <w:ind w:left="0" w:right="0" w:hanging="0"/>
              <w:jc w:val="left"/>
              <w:rPr/>
            </w:pPr>
            <w:r>
              <w:rPr/>
              <w:t>​</w:t>
            </w:r>
          </w:p>
        </w:tc>
        <w:tc>
          <w:tcPr>
            <w:tcW w:w="11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38,744</w:t>
            </w:r>
          </w:p>
        </w:tc>
        <w:tc>
          <w:tcPr>
            <w:tcW w:w="326" w:type="dxa"/>
            <w:tcBorders/>
            <w:shd w:fill="CCEEFF" w:val="clear"/>
            <w:vAlign w:val="center"/>
          </w:tcPr>
          <w:p>
            <w:pPr>
              <w:pStyle w:val="TableContents"/>
              <w:bidi w:val="0"/>
              <w:spacing w:before="0" w:after="0"/>
              <w:ind w:left="0" w:right="0" w:hanging="0"/>
              <w:jc w:val="left"/>
              <w:rPr/>
            </w:pPr>
            <w:r>
              <w:rPr/>
              <w:t>​</w:t>
            </w:r>
          </w:p>
        </w:tc>
        <w:tc>
          <w:tcPr>
            <w:tcW w:w="13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227,520</w:t>
            </w:r>
          </w:p>
        </w:tc>
      </w:tr>
      <w:tr>
        <w:trPr/>
        <w:tc>
          <w:tcPr>
            <w:tcW w:w="12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1,308,966</w:t>
            </w:r>
          </w:p>
        </w:tc>
        <w:tc>
          <w:tcPr>
            <w:tcW w:w="326" w:type="dxa"/>
            <w:tcBorders/>
            <w:vAlign w:val="center"/>
          </w:tcPr>
          <w:p>
            <w:pPr>
              <w:pStyle w:val="TableContents"/>
              <w:bidi w:val="0"/>
              <w:spacing w:before="0" w:after="0"/>
              <w:ind w:left="0" w:right="0" w:hanging="0"/>
              <w:jc w:val="left"/>
              <w:rPr/>
            </w:pPr>
            <w:r>
              <w:rPr/>
              <w:t>​</w:t>
            </w:r>
          </w:p>
        </w:tc>
        <w:tc>
          <w:tcPr>
            <w:tcW w:w="11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1,943,199</w:t>
            </w:r>
          </w:p>
        </w:tc>
        <w:tc>
          <w:tcPr>
            <w:tcW w:w="326" w:type="dxa"/>
            <w:tcBorders/>
            <w:vAlign w:val="center"/>
          </w:tcPr>
          <w:p>
            <w:pPr>
              <w:pStyle w:val="TableContents"/>
              <w:bidi w:val="0"/>
              <w:spacing w:before="0" w:after="0"/>
              <w:ind w:left="0" w:right="0" w:hanging="0"/>
              <w:jc w:val="left"/>
              <w:rPr/>
            </w:pPr>
            <w:r>
              <w:rPr/>
              <w:t>​</w:t>
            </w:r>
          </w:p>
        </w:tc>
        <w:tc>
          <w:tcPr>
            <w:tcW w:w="13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1,274,764</w:t>
            </w:r>
          </w:p>
        </w:tc>
        <w:tc>
          <w:tcPr>
            <w:tcW w:w="326" w:type="dxa"/>
            <w:tcBorders/>
            <w:vAlign w:val="center"/>
          </w:tcPr>
          <w:p>
            <w:pPr>
              <w:pStyle w:val="TableContents"/>
              <w:bidi w:val="0"/>
              <w:spacing w:before="0" w:after="0"/>
              <w:ind w:left="0" w:right="0" w:hanging="0"/>
              <w:jc w:val="left"/>
              <w:rPr/>
            </w:pPr>
            <w:r>
              <w:rPr/>
              <w:t>​</w:t>
            </w:r>
          </w:p>
        </w:tc>
        <w:tc>
          <w:tcPr>
            <w:tcW w:w="11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302,379</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4,829,308</w:t>
            </w:r>
          </w:p>
        </w:tc>
      </w:tr>
    </w:tbl>
    <w:p>
      <w:pPr>
        <w:pStyle w:val="TextBody"/>
        <w:bidi w:val="0"/>
        <w:spacing w:before="0" w:after="0"/>
        <w:ind w:left="0" w:right="0" w:hanging="0"/>
        <w:jc w:val="both"/>
        <w:rPr/>
      </w:pPr>
      <w:r>
        <w:rPr/>
        <w:t>​</w:t>
      </w:r>
    </w:p>
    <w:tbl>
      <w:tblPr>
        <w:tblW w:w="1352" w:type="dxa"/>
        <w:jc w:val="left"/>
        <w:tblInd w:w="0" w:type="dxa"/>
        <w:tblLayout w:type="fixed"/>
        <w:tblCellMar>
          <w:top w:w="0" w:type="dxa"/>
          <w:left w:w="0" w:type="dxa"/>
          <w:bottom w:w="0" w:type="dxa"/>
          <w:right w:w="0" w:type="dxa"/>
        </w:tblCellMar>
      </w:tblPr>
      <w:tblGrid>
        <w:gridCol w:w="346"/>
        <w:gridCol w:w="1006"/>
      </w:tblGrid>
      <w:tr>
        <w:trPr/>
        <w:tc>
          <w:tcPr>
            <w:tcW w:w="34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(b)</w:t>
            </w:r>
          </w:p>
        </w:tc>
        <w:tc>
          <w:tcPr>
            <w:tcW w:w="100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Litigation</w:t>
            </w:r>
          </w:p>
        </w:tc>
      </w:tr>
    </w:tbl>
    <w:p>
      <w:pPr>
        <w:pStyle w:val="TextBody"/>
        <w:pBdr/>
        <w:bidi w:val="0"/>
        <w:spacing w:before="0" w:after="240"/>
        <w:ind w:left="0" w:right="0" w:hanging="49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From time to time, the Group is involved in claims and legal proceedings that arise in the ordinary course of business. Based on currently available information, management does not believe that the ultimate outcome of these unresolved matters, individually and in the aggregate, is reasonably possible to have a material adverse effect on the Group’s financial position, results of operations or cash flows. However, litigation is subject to inherent uncertainties and the Group’s view of these matters may change in the future. Were an unfavorable outcome to occur, there exists the possibility of a material adverse impact on the Group’s financial position, results of operations or cash flows for the period in which the unfavorable outcome occurs, and potentially in future periods. The Group records a liability when it is both probable that a liability has been incurred and the amount of the loss can be reasonably estimated. The Group reviews the need for any such liability on a regular basis. The Group has not recorded any material liabilities in this regard as of December 31, 2022 and 2023.</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Litigation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April 2018, PUBG Corporation and PUBG Santa Monica, Inc. (now known as Krafton, Inc. and Krafton Americas, Inc., respectively, or “the Krafton Parties”), filed a lawsuit against defendants NetEase, Inc., NetEase Information Technology Corp. and NetEase (Hong Kong) Limited in the U.S. District Court for the Northern District of California. The Krafton Parties subsequently dropped all claims against NetEase (Hong Kong) Limited, and added Hong Kong NetEase Interactive Entertainment Limited to the lawsuit. The Krafton Parties’ complaint generally alleged that two of the Group’s mobile games, Rules of Survival and Knives Out, infringed the Krafton Parties’ copyrights and trade dress in their competing game, Player Unknown’s Battlegrounds. On March 11, 2019, the Group entered into a settlement agreement with the Krafton Parties, and the lawsuit was dismissed. On October 15, 2019, the Krafton Parties filed a second lawsuit against the same NetEase defendants, also in the U.S. District Court for the Northern District of California, claiming the Group had allegedly breached the settlement agreement. On March 3, 2020, the court dismissed the Krafton Parties’ new lawsuit, without prejudice, for lack of subject matter jurisdiction. On March 4, 2020, the Group initiated a declaratory judgment action against the Krafton Parties in the Superior Court of California for the County of San Mateo, requesting a declaration that the Group had not breached the settlement agreement. On March 13, 2020, the Krafton Parties filed a cross claim, realleging that the Group breached the settlement agreement. In May 2023, the court held a bench trail and subsequently found that the Group had breached such settlement agreement and awarded the Krafton Parties US$6 million in liquidated damages but denied a request for injunctive relief by the Krafton Parties. After the court issued its final statement of decision, the parties settled the matter to avoid further litigation. There was no material impact on the Group’s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367" w:type="dxa"/>
        <w:jc w:val="left"/>
        <w:tblInd w:w="0" w:type="dxa"/>
        <w:tblLayout w:type="fixed"/>
        <w:tblCellMar>
          <w:top w:w="0" w:type="dxa"/>
          <w:left w:w="0" w:type="dxa"/>
          <w:bottom w:w="0" w:type="dxa"/>
          <w:right w:w="0" w:type="dxa"/>
        </w:tblCellMar>
      </w:tblPr>
      <w:tblGrid>
        <w:gridCol w:w="376"/>
        <w:gridCol w:w="991"/>
      </w:tblGrid>
      <w:tr>
        <w:trPr/>
        <w:tc>
          <w:tcPr>
            <w:tcW w:w="37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25.</w:t>
            </w:r>
          </w:p>
        </w:tc>
        <w:tc>
          <w:tcPr>
            <w:tcW w:w="99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Dividends</w:t>
            </w:r>
          </w:p>
        </w:tc>
      </w:tr>
    </w:tbl>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Quarterly Dividend Policy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the Company’s current dividend policy, the determination to make dividend distributions and the amount of such distributions in any particular quarter will be made at the discretion of the Company’s board of directors and will be based upon its operations and earnings, cash flow, financial condition, capital and other reserve requirements and surplus, any applicable contractual restrictions, the ability of the Company’s PRC subsidiaries to make distributions to their offshore parent companies, and any other conditions or factors which the board deems relevant and having regard to the directors’ fiduciary duties.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Dividends are recognized when declared. There is no significant dividend payable as of December 31, 2022 and 2023, respectively. The cash dividend declared related to the net profits of fiscal year 2022 and fiscal year 2023 was RMB6.3 billion and RMB11.7 billion (US$1.7 billion) in total, respectively.</w:t>
      </w:r>
    </w:p>
    <w:p>
      <w:pPr>
        <w:pStyle w:val="TextBody"/>
        <w:bidi w:val="0"/>
        <w:spacing w:before="0" w:after="0"/>
        <w:ind w:left="0" w:right="0" w:hanging="0"/>
        <w:jc w:val="both"/>
        <w:rPr/>
      </w:pPr>
      <w:r>
        <w:rPr/>
        <w:t>​</w:t>
      </w:r>
    </w:p>
    <w:tbl>
      <w:tblPr>
        <w:tblW w:w="2957" w:type="dxa"/>
        <w:jc w:val="left"/>
        <w:tblInd w:w="0" w:type="dxa"/>
        <w:tblLayout w:type="fixed"/>
        <w:tblCellMar>
          <w:top w:w="0" w:type="dxa"/>
          <w:left w:w="0" w:type="dxa"/>
          <w:bottom w:w="0" w:type="dxa"/>
          <w:right w:w="0" w:type="dxa"/>
        </w:tblCellMar>
      </w:tblPr>
      <w:tblGrid>
        <w:gridCol w:w="376"/>
        <w:gridCol w:w="2581"/>
      </w:tblGrid>
      <w:tr>
        <w:trPr/>
        <w:tc>
          <w:tcPr>
            <w:tcW w:w="37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26.</w:t>
            </w:r>
          </w:p>
        </w:tc>
        <w:tc>
          <w:tcPr>
            <w:tcW w:w="258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Share Repurchase Programs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accounts for repurchased ordinary shares under the cost method and includes such treasury stock as a component of the common shareholders’ equity. Cancellation of treasury stock is recorded as a reduction of ordinary shares, additional paid-in-capital and retained earnings, as applicable. An excess of purchase price over par value is allocated to additional paid-in-capital first with any remaining excess charged entirely to retained earnings. The Company may from time to time utilize treasury stock upon vesting of RSUs. The cost of treasury stock reissued is determined using the weighted average method and recorded as a reduction of additional paid-in-capital.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February 2021, the Company announced that its board of directors had approved a share repurchase program of up to US$2.0 billion of the Company’s outstanding ADSs and ordinary shares in open market transactions for a period not to exceed 24 months beginning on March 2, 2021. In August 2021, the Company announced that its board of directors had approved an amendment to such program to increase the total authorized repurchase amount to US$3.0 billion. As of January 9, 2023, this share repurchase program was completed with the Company having purchased an aggregate of approximately 33.6 million ADSs for nearly US$3.0 billion.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November 17, 2022, the Company announced that its board of directors had approved a new share repurchase program of up to US$5.0 billion of the Company’s ADSs and ordinary shares in open market transactions. This new share repurchase program commenced on January 10, 2023 and will be in effect for a period not to exceed 36 months from such date. As of December 31, 2023, the Company has repurchased approximately 7.2 million ADSs for approximately US$644.1 million under this program.</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August 2021, the Company announced that its board of directors had approved a share purchase program of up to US$50.0 million of Youdao’s outstanding ADSs for a period not to exceed 36 months beginning on September 2, 2021. Under the terms of this program, NetEase may purchase Youdao’s ADSs in open-market transactions on the New York Stock Exchange. As of December 31, 2023, approximately 2.7 million ADSs had been purchased under this program for a total cost of US$22.0 million.</w:t>
      </w:r>
    </w:p>
    <w:p>
      <w:pPr>
        <w:pStyle w:val="TextBody"/>
        <w:bidi w:val="0"/>
        <w:spacing w:before="0" w:after="0"/>
        <w:ind w:left="0" w:right="0" w:hanging="0"/>
        <w:jc w:val="both"/>
        <w:rPr/>
      </w:pPr>
      <w:r>
        <w:rPr/>
        <w:t>​</w:t>
      </w:r>
    </w:p>
    <w:tbl>
      <w:tblPr>
        <w:tblW w:w="2852" w:type="dxa"/>
        <w:jc w:val="left"/>
        <w:tblInd w:w="0" w:type="dxa"/>
        <w:tblLayout w:type="fixed"/>
        <w:tblCellMar>
          <w:top w:w="0" w:type="dxa"/>
          <w:left w:w="0" w:type="dxa"/>
          <w:bottom w:w="0" w:type="dxa"/>
          <w:right w:w="0" w:type="dxa"/>
        </w:tblCellMar>
      </w:tblPr>
      <w:tblGrid>
        <w:gridCol w:w="376"/>
        <w:gridCol w:w="2476"/>
      </w:tblGrid>
      <w:tr>
        <w:trPr/>
        <w:tc>
          <w:tcPr>
            <w:tcW w:w="37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27.</w:t>
            </w:r>
          </w:p>
        </w:tc>
        <w:tc>
          <w:tcPr>
            <w:tcW w:w="247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Related Party Transactions</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Group had no material transactions with related parties for the year ended December 31, 2021, 2022 and 2023, and no material related parties’ balances as of December 31, 2022 and 2023.</w:t>
      </w:r>
    </w:p>
    <w:p>
      <w:pPr>
        <w:pStyle w:val="TextBody"/>
        <w:bidi w:val="0"/>
        <w:spacing w:before="0" w:after="0"/>
        <w:ind w:left="0" w:right="0" w:hanging="0"/>
        <w:jc w:val="left"/>
        <w:rPr/>
      </w:pPr>
      <w:r>
        <w:rPr/>
        <w:t>​</w:t>
      </w:r>
    </w:p>
    <w:tbl>
      <w:tblPr>
        <w:tblW w:w="2327" w:type="dxa"/>
        <w:jc w:val="left"/>
        <w:tblInd w:w="0" w:type="dxa"/>
        <w:tblLayout w:type="fixed"/>
        <w:tblCellMar>
          <w:top w:w="0" w:type="dxa"/>
          <w:left w:w="0" w:type="dxa"/>
          <w:bottom w:w="0" w:type="dxa"/>
          <w:right w:w="0" w:type="dxa"/>
        </w:tblCellMar>
      </w:tblPr>
      <w:tblGrid>
        <w:gridCol w:w="376"/>
        <w:gridCol w:w="1951"/>
      </w:tblGrid>
      <w:tr>
        <w:trPr/>
        <w:tc>
          <w:tcPr>
            <w:tcW w:w="37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28.</w:t>
            </w:r>
          </w:p>
        </w:tc>
        <w:tc>
          <w:tcPr>
            <w:tcW w:w="195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Segment Information</w:t>
            </w:r>
          </w:p>
        </w:tc>
      </w:tr>
    </w:tbl>
    <w:tbl>
      <w:tblPr>
        <w:tblW w:w="2492" w:type="dxa"/>
        <w:jc w:val="left"/>
        <w:tblInd w:w="0" w:type="dxa"/>
        <w:tblLayout w:type="fixed"/>
        <w:tblCellMar>
          <w:top w:w="0" w:type="dxa"/>
          <w:left w:w="0" w:type="dxa"/>
          <w:bottom w:w="0" w:type="dxa"/>
          <w:right w:w="0" w:type="dxa"/>
        </w:tblCellMar>
      </w:tblPr>
      <w:tblGrid>
        <w:gridCol w:w="346"/>
        <w:gridCol w:w="2146"/>
      </w:tblGrid>
      <w:tr>
        <w:trPr/>
        <w:tc>
          <w:tcPr>
            <w:tcW w:w="34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(a)</w:t>
            </w:r>
          </w:p>
        </w:tc>
        <w:tc>
          <w:tcPr>
            <w:tcW w:w="214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Description of segments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Operating segments are defined as components of an enterprise about which separate financial information is available that is evaluated regularly by the chief operating decision maker (“CODM”), or decision making group, in deciding how to allocate resources and in assessing performance. The Group’s CODM is the Chief Executive Officer.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2021" w:name="Tc_l0n2QcFZ40y9Tzj9rawsHg_23_0"/>
      <w:bookmarkStart w:id="2022" w:name="Tc_4Od-O7sem02dguW3XplWMA_22_0"/>
      <w:bookmarkStart w:id="2023" w:name="Tc_H-v280GEzU2dDRfHu5Fszw_21_0"/>
      <w:bookmarkStart w:id="2024" w:name="Tc_BHuBL4IAGEOfrEJMYdd7Lw_20_0"/>
      <w:bookmarkStart w:id="2025" w:name="Tc_Bc5z0i4TlUK9_nBhyxlB7Q_19_0"/>
      <w:bookmarkStart w:id="2026" w:name="Tc_yt2Auku0XkOZ-tTnrK4FKQ_18_0"/>
      <w:bookmarkStart w:id="2027" w:name="Tc_Di8piamPFUe7m6bw01AF9g_16_0"/>
      <w:bookmarkStart w:id="2028" w:name="Tc_Sch0mf3cGk6U1pZIlmVh5w_15_0"/>
      <w:bookmarkStart w:id="2029" w:name="Tc_75T0N91N0Eqq2y3L7tSa_g_14_0"/>
      <w:bookmarkStart w:id="2030" w:name="Tc_H8MYZZSER0O-JeFoY8xTdA_13_0"/>
      <w:bookmarkStart w:id="2031" w:name="Tc_eSScq5rnlE6NPL1TvGKmzg_12_0"/>
      <w:bookmarkStart w:id="2032" w:name="Tc_iFE7lI6FkUiwhUZJHU05dg_11_0"/>
      <w:bookmarkStart w:id="2033" w:name="Tc_Rz5HSTQBGkG3A6jhCGMg-w_9_0"/>
      <w:bookmarkStart w:id="2034" w:name="Tc_hPq6qWhfq0esMP0kfmQZvg_8_0"/>
      <w:bookmarkStart w:id="2035" w:name="Tc_4Qbcfv_sxEKddc9fiaLSWw_7_0"/>
      <w:bookmarkStart w:id="2036" w:name="Tc_kBKEezl-v0qLnwdRCl6EJw_6_0"/>
      <w:bookmarkStart w:id="2037" w:name="Tc_JNUtJyw7eEipMHms7C1Tsw_5_0"/>
      <w:bookmarkStart w:id="2038" w:name="Tc_bjV8vXHzNEmUxjoac5Ocvg_4_0"/>
      <w:bookmarkStart w:id="2039" w:name="Tc_ye_APCcd4EmAWLVmXvFB7Q_3_6"/>
      <w:bookmarkStart w:id="2040" w:name="Tc_fYdjh1n0Wk2Y7ssm41M-zA_3_4"/>
      <w:bookmarkStart w:id="2041" w:name="Tc_NqWemI2Ni0GIb-YKdC0lTQ_3_2"/>
      <w:bookmarkStart w:id="2042" w:name="Tc_tl-_3UaT_k6LeFK_GSkGDQ_2_6"/>
      <w:bookmarkStart w:id="2043" w:name="Tc_cSMKl9ttNkWao4CNnaaG4w_2_4"/>
      <w:bookmarkStart w:id="2044" w:name="Tc_TWv8eoFk3EK0pkmCuQrmAA_2_2"/>
      <w:bookmarkStart w:id="2045" w:name="Tc_rnyUTiiSo0ey__jLKzeJ6g_1_2"/>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r>
        <w:rPr>
          <w:rFonts w:ascii="Times New Roman;Times;serif" w:hAnsi="Times New Roman;Times;serif"/>
          <w:sz w:val="20"/>
        </w:rPr>
        <w:t>The Group’s organizational structure is based on a number of factors that the CODM uses to evaluate, view and run its business operations which include, but are not limited to, customer base, homogeneity of products and technology. The Group’s operating segments are based on this organizational structure and information reviewed by the Group’s CODM to evaluate the operating segment results.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Effective in the fourth quarter of 2021, the Group changed its segment disclosure to separately report the results of Cloud Music. Effective in the second quarter of 2022, the Company renamed its “online game services” segment as “games and related value-added services,” and transferred certain business lines that are related or ancillary to its games from “innovative businesses and others” to “games and related value-added services,” including the NetEase CC live streaming service and other value-added services. As a result, the Group now reports segments as games and related value-added services, Youdao, Cloud Music and innovative businesses and others. This change in segment reporting aligns with the manner in which the Group’s CODM currently receives and uses financial information to allocate resources and evaluate the performance of reporting segments. This change in segment presentation does not affect consolidated balance sheets, consolidated statements of operations and comprehensive income or consolidated statements of cash flows. The Group retrospectively recast prior years segment information, to conform to current year presentation.</w:t>
      </w:r>
    </w:p>
    <w:tbl>
      <w:tblPr>
        <w:tblW w:w="1637" w:type="dxa"/>
        <w:jc w:val="left"/>
        <w:tblInd w:w="0" w:type="dxa"/>
        <w:tblLayout w:type="fixed"/>
        <w:tblCellMar>
          <w:top w:w="0" w:type="dxa"/>
          <w:left w:w="0" w:type="dxa"/>
          <w:bottom w:w="0" w:type="dxa"/>
          <w:right w:w="0" w:type="dxa"/>
        </w:tblCellMar>
      </w:tblPr>
      <w:tblGrid>
        <w:gridCol w:w="346"/>
        <w:gridCol w:w="1291"/>
      </w:tblGrid>
      <w:tr>
        <w:trPr/>
        <w:tc>
          <w:tcPr>
            <w:tcW w:w="34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(b)</w:t>
            </w:r>
          </w:p>
        </w:tc>
        <w:tc>
          <w:tcPr>
            <w:tcW w:w="129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Segment data</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table below provides a summary of the Group’s operating segment results for the years ended December 31, 2021, 2022 and 2023. The Group does not allocate any operating costs or assets to its business segments as the Group’s CODM does not use this information to measure the performance of the operating segments. There was no significant transaction between reportable segments for the years ended December 31, 2021, 2022 and 2023 (in thousands).</w:t>
      </w:r>
    </w:p>
    <w:p>
      <w:pPr>
        <w:pStyle w:val="TextBody"/>
        <w:bidi w:val="0"/>
        <w:spacing w:before="0" w:after="0"/>
        <w:ind w:left="0" w:right="0" w:hanging="0"/>
        <w:jc w:val="both"/>
        <w:rPr/>
      </w:pPr>
      <w:r>
        <w:rPr/>
        <w:t>​</w:t>
      </w:r>
    </w:p>
    <w:tbl>
      <w:tblPr>
        <w:tblW w:w="7837" w:type="dxa"/>
        <w:jc w:val="left"/>
        <w:tblInd w:w="0" w:type="dxa"/>
        <w:tblLayout w:type="fixed"/>
        <w:tblCellMar>
          <w:top w:w="0" w:type="dxa"/>
          <w:left w:w="0" w:type="dxa"/>
          <w:bottom w:w="0" w:type="dxa"/>
          <w:right w:w="0" w:type="dxa"/>
        </w:tblCellMar>
      </w:tblPr>
      <w:tblGrid>
        <w:gridCol w:w="3346"/>
        <w:gridCol w:w="326"/>
        <w:gridCol w:w="1156"/>
        <w:gridCol w:w="326"/>
        <w:gridCol w:w="1156"/>
        <w:gridCol w:w="326"/>
        <w:gridCol w:w="1201"/>
      </w:tblGrid>
      <w:tr>
        <w:trPr/>
        <w:tc>
          <w:tcPr>
            <w:tcW w:w="3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2124710" cy="175260"/>
                      <wp:effectExtent l="0" t="0" r="0" b="0"/>
                      <wp:wrapNone/>
                      <wp:docPr id="555" name="Frame554"/>
                      <a:graphic xmlns:a="http://schemas.openxmlformats.org/drawingml/2006/main">
                        <a:graphicData uri="http://schemas.microsoft.com/office/word/2010/wordprocessingShape">
                          <wps:wsp>
                            <wps:cNvSpPr txBox="1"/>
                            <wps:spPr>
                              <a:xfrm>
                                <a:off x="0" y="0"/>
                                <a:ext cx="2124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207010" cy="175260"/>
                      <wp:effectExtent l="0" t="0" r="0" b="0"/>
                      <wp:wrapNone/>
                      <wp:docPr id="556" name="Frame5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734060" cy="175260"/>
                      <wp:effectExtent l="0" t="0" r="0" b="0"/>
                      <wp:wrapNone/>
                      <wp:docPr id="557" name="Frame556"/>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207010" cy="175260"/>
                      <wp:effectExtent l="0" t="0" r="0" b="0"/>
                      <wp:wrapNone/>
                      <wp:docPr id="558" name="Frame5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734060" cy="175260"/>
                      <wp:effectExtent l="0" t="0" r="0" b="0"/>
                      <wp:wrapNone/>
                      <wp:docPr id="559" name="Frame558"/>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207010" cy="175260"/>
                      <wp:effectExtent l="0" t="0" r="0" b="0"/>
                      <wp:wrapNone/>
                      <wp:docPr id="560" name="Frame5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762635" cy="175260"/>
                      <wp:effectExtent l="0" t="0" r="0" b="0"/>
                      <wp:wrapNone/>
                      <wp:docPr id="561" name="Frame560"/>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16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33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3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revenues:</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pPr>
            <w:r>
              <w:rPr/>
              <w:t>​</w:t>
            </w:r>
          </w:p>
        </w:tc>
      </w:tr>
      <w:tr>
        <w:trPr/>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Games and related value-added services</w:t>
            </w:r>
          </w:p>
        </w:tc>
        <w:tc>
          <w:tcPr>
            <w:tcW w:w="32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67,819,288</w:t>
            </w:r>
          </w:p>
        </w:tc>
        <w:tc>
          <w:tcPr>
            <w:tcW w:w="32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74,566,471</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81,565,449</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Youdao</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5,354,357</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5,013,182</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5,389,208</w:t>
            </w:r>
          </w:p>
        </w:tc>
      </w:tr>
      <w:tr>
        <w:trPr/>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Cloud Music</w:t>
            </w:r>
          </w:p>
        </w:tc>
        <w:tc>
          <w:tcPr>
            <w:tcW w:w="32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6,997,622</w:t>
            </w:r>
          </w:p>
        </w:tc>
        <w:tc>
          <w:tcPr>
            <w:tcW w:w="32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8,992,221</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7,866,992</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Innovative businesses and others</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7,434,759</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7,923,935</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8,646,510</w:t>
            </w:r>
          </w:p>
        </w:tc>
      </w:tr>
      <w:tr>
        <w:trPr/>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revenues</w:t>
            </w:r>
          </w:p>
        </w:tc>
        <w:tc>
          <w:tcPr>
            <w:tcW w:w="326" w:type="dxa"/>
            <w:tcBorders/>
            <w:vAlign w:val="center"/>
          </w:tcPr>
          <w:p>
            <w:pPr>
              <w:pStyle w:val="TableContents"/>
              <w:bidi w:val="0"/>
              <w:spacing w:before="0" w:after="0"/>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87,606,026</w:t>
            </w:r>
          </w:p>
        </w:tc>
        <w:tc>
          <w:tcPr>
            <w:tcW w:w="326" w:type="dxa"/>
            <w:tcBorders/>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96,495,809</w:t>
            </w:r>
          </w:p>
        </w:tc>
        <w:tc>
          <w:tcPr>
            <w:tcW w:w="326" w:type="dxa"/>
            <w:tcBorders/>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103,468,159</w:t>
            </w:r>
          </w:p>
        </w:tc>
      </w:tr>
      <w:tr>
        <w:trPr/>
        <w:tc>
          <w:tcPr>
            <w:tcW w:w="33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pPr>
            <w:r>
              <w:rPr/>
              <w:t>​</w:t>
            </w:r>
          </w:p>
        </w:tc>
      </w:tr>
      <w:tr>
        <w:trPr/>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w:t>
            </w:r>
          </w:p>
        </w:tc>
        <w:tc>
          <w:tcPr>
            <w:tcW w:w="32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pPr>
            <w:r>
              <w:rPr/>
              <w:t>​</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Games and related value-added services</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(26,007,412)</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(27,784,419)</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(25,938,865)</w:t>
            </w:r>
          </w:p>
        </w:tc>
      </w:tr>
      <w:tr>
        <w:trPr/>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Youdao</w:t>
            </w:r>
          </w:p>
        </w:tc>
        <w:tc>
          <w:tcPr>
            <w:tcW w:w="32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(2,448,146)</w:t>
            </w:r>
          </w:p>
        </w:tc>
        <w:tc>
          <w:tcPr>
            <w:tcW w:w="32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(2,430,738)</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(2,621,746)</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Cloud Music</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(6,854,948)</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(7,699,103)</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(5,764,322)</w:t>
            </w:r>
          </w:p>
        </w:tc>
      </w:tr>
      <w:tr>
        <w:trPr/>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Innovative businesses and others</w:t>
            </w:r>
          </w:p>
        </w:tc>
        <w:tc>
          <w:tcPr>
            <w:tcW w:w="326" w:type="dxa"/>
            <w:tcBorders/>
            <w:vAlign w:val="center"/>
          </w:tcPr>
          <w:p>
            <w:pPr>
              <w:pStyle w:val="TableContents"/>
              <w:bidi w:val="0"/>
              <w:spacing w:before="0" w:after="0"/>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(5,324,719)</w:t>
            </w:r>
          </w:p>
        </w:tc>
        <w:tc>
          <w:tcPr>
            <w:tcW w:w="326" w:type="dxa"/>
            <w:tcBorders/>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(5,815,423)</w:t>
            </w:r>
          </w:p>
        </w:tc>
        <w:tc>
          <w:tcPr>
            <w:tcW w:w="326" w:type="dxa"/>
            <w:tcBorders/>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(6,079,832)</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 of 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(40,635,225)</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(43,729,683)</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(40,404,765)</w:t>
            </w:r>
          </w:p>
        </w:tc>
      </w:tr>
      <w:tr>
        <w:trPr/>
        <w:tc>
          <w:tcPr>
            <w:tcW w:w="33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pPr>
            <w:r>
              <w:rPr/>
              <w:t>​</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pPr>
            <w:r>
              <w:rPr/>
              <w:t>​</w:t>
            </w:r>
          </w:p>
        </w:tc>
      </w:tr>
      <w:tr>
        <w:trPr/>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Games and related value-added services</w:t>
            </w:r>
          </w:p>
        </w:tc>
        <w:tc>
          <w:tcPr>
            <w:tcW w:w="32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41,811,876</w:t>
            </w:r>
          </w:p>
        </w:tc>
        <w:tc>
          <w:tcPr>
            <w:tcW w:w="32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46,782,052</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55,626,584</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Youdao</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2,906,211</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2,582,444</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2,767,462</w:t>
            </w:r>
          </w:p>
        </w:tc>
      </w:tr>
      <w:tr>
        <w:trPr/>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Cloud Music</w:t>
            </w:r>
          </w:p>
        </w:tc>
        <w:tc>
          <w:tcPr>
            <w:tcW w:w="32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142,674</w:t>
            </w:r>
          </w:p>
        </w:tc>
        <w:tc>
          <w:tcPr>
            <w:tcW w:w="32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1,293,118</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2,102,670</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Innovative businesses and others</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2,110,040</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2,108,512</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2,566,678</w:t>
            </w:r>
          </w:p>
        </w:tc>
      </w:tr>
      <w:tr>
        <w:trPr/>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gross profit</w:t>
            </w:r>
          </w:p>
        </w:tc>
        <w:tc>
          <w:tcPr>
            <w:tcW w:w="326" w:type="dxa"/>
            <w:tcBorders/>
            <w:vAlign w:val="center"/>
          </w:tcPr>
          <w:p>
            <w:pPr>
              <w:pStyle w:val="TableContents"/>
              <w:bidi w:val="0"/>
              <w:spacing w:before="0" w:after="0"/>
              <w:ind w:left="0" w:right="0" w:hanging="0"/>
              <w:jc w:val="left"/>
              <w:rPr/>
            </w:pPr>
            <w:r>
              <w:rPr/>
              <w:t> </w:t>
            </w:r>
          </w:p>
        </w:tc>
        <w:tc>
          <w:tcPr>
            <w:tcW w:w="11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46,970,801</w:t>
            </w:r>
          </w:p>
        </w:tc>
        <w:tc>
          <w:tcPr>
            <w:tcW w:w="326" w:type="dxa"/>
            <w:tcBorders/>
            <w:vAlign w:val="center"/>
          </w:tcPr>
          <w:p>
            <w:pPr>
              <w:pStyle w:val="TableContents"/>
              <w:bidi w:val="0"/>
              <w:spacing w:before="0" w:after="0"/>
              <w:ind w:left="0" w:right="0" w:hanging="0"/>
              <w:jc w:val="left"/>
              <w:rPr/>
            </w:pPr>
            <w:r>
              <w:rPr/>
              <w:t>​</w:t>
            </w:r>
          </w:p>
        </w:tc>
        <w:tc>
          <w:tcPr>
            <w:tcW w:w="11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52,766,126</w:t>
            </w:r>
          </w:p>
        </w:tc>
        <w:tc>
          <w:tcPr>
            <w:tcW w:w="326" w:type="dxa"/>
            <w:tcBorders/>
            <w:vAlign w:val="center"/>
          </w:tcPr>
          <w:p>
            <w:pPr>
              <w:pStyle w:val="TableContents"/>
              <w:bidi w:val="0"/>
              <w:spacing w:before="0" w:after="0"/>
              <w:ind w:left="0" w:right="0" w:hanging="0"/>
              <w:jc w:val="left"/>
              <w:rPr/>
            </w:pPr>
            <w:r>
              <w:rPr/>
              <w:t>​</w:t>
            </w:r>
          </w:p>
        </w:tc>
        <w:tc>
          <w:tcPr>
            <w:tcW w:w="120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63,063,394</w:t>
            </w:r>
          </w:p>
        </w:tc>
      </w:tr>
    </w:tbl>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2046" w:name="Tc_Klc36kq0xkO2k-0E2a5FVA_8_0"/>
      <w:bookmarkStart w:id="2047" w:name="Tc_mgvJ7cLlxEGiIGp1Q_nSWw_7_0"/>
      <w:bookmarkStart w:id="2048" w:name="Tc_Q_jYwBdvgU2W6dMNlOkAAw_6_0"/>
      <w:bookmarkStart w:id="2049" w:name="Tc_NPRw1jlE3UqWM9vtx0B75Q_5_0"/>
      <w:bookmarkStart w:id="2050" w:name="Tc_f-xxARvBU0W49ApOM3V-yA_4_0"/>
      <w:bookmarkStart w:id="2051" w:name="Tc_NcqpeVkZBEifF7b_NCKiLw_3_6"/>
      <w:bookmarkStart w:id="2052" w:name="Tc_lFqBBXGG1UCpiWOXqW0YuA_3_4"/>
      <w:bookmarkStart w:id="2053" w:name="Tc_iKw_qt6H7E-o2ADaKXMcpg_3_2"/>
      <w:bookmarkStart w:id="2054" w:name="Tc_5sGbOiFBn0qT4yVlzGo46w_2_6"/>
      <w:bookmarkStart w:id="2055" w:name="Tc_Jn6grT8aGEarYriKTaHWpw_2_4"/>
      <w:bookmarkStart w:id="2056" w:name="Tc_E86s3DiQqkSKU1HAN5Oz8w_2_2"/>
      <w:bookmarkStart w:id="2057" w:name="Tc_gnGQIbyVmUi-F_aFqkDWSQ_1_2"/>
      <w:bookmarkStart w:id="2058" w:name="_e08540c5_1495_43a9_8fd8_9181fb200483"/>
      <w:bookmarkStart w:id="2059" w:name="Tc_NDFedfoX8k6jZFmVKFdtkw_6_0"/>
      <w:bookmarkStart w:id="2060" w:name="Tc_4V8Of1STg0qYPYTonShdAw_5_0"/>
      <w:bookmarkStart w:id="2061" w:name="Tc_TKFumdLCRkuwwq3ZnWUzVw_4_0"/>
      <w:bookmarkStart w:id="2062" w:name="Tc_swCiznw0sUCunmpPYAED-g_3_6"/>
      <w:bookmarkStart w:id="2063" w:name="Tc_jqPdtHplpkqY6Yv_ww7VZA_3_4"/>
      <w:bookmarkStart w:id="2064" w:name="Tc_ic1j8jCEUkGnIUmyo4RdJw_3_2"/>
      <w:bookmarkStart w:id="2065" w:name="Tc__61UGffAfk2lO3diIOQTcQ_2_6"/>
      <w:bookmarkStart w:id="2066" w:name="Tc_gl0IH4VkGUK8pyIctTRYgQ_2_4"/>
      <w:bookmarkStart w:id="2067" w:name="Tc_NDKjgquJokuJ4zSf2YBajg_2_2"/>
      <w:bookmarkStart w:id="2068" w:name="Tc_cF3Xxo5MzUeSjFqtaOjJ6g_1_2"/>
      <w:bookmarkStart w:id="2069" w:name="_d308225b_c94b_4bea_b0ab_b77a4c67ad4b"/>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r>
        <w:rPr>
          <w:rFonts w:ascii="Times New Roman;Times;serif" w:hAnsi="Times New Roman;Times;serif"/>
          <w:sz w:val="20"/>
        </w:rPr>
        <w:t>The following table set forth the disaggregation of net revenues by timing of revenue recognition for the years ended December 31, 2021, 2022 and 2023 (in thousands):</w:t>
      </w:r>
    </w:p>
    <w:p>
      <w:pPr>
        <w:pStyle w:val="TextBody"/>
        <w:bidi w:val="0"/>
        <w:spacing w:before="0" w:after="0"/>
        <w:ind w:left="0" w:right="0" w:hanging="0"/>
        <w:jc w:val="both"/>
        <w:rPr/>
      </w:pPr>
      <w:r>
        <w:rPr/>
        <w:t>​</w:t>
      </w:r>
    </w:p>
    <w:tbl>
      <w:tblPr>
        <w:tblW w:w="5872" w:type="dxa"/>
        <w:jc w:val="left"/>
        <w:tblInd w:w="0" w:type="dxa"/>
        <w:tblLayout w:type="fixed"/>
        <w:tblCellMar>
          <w:top w:w="0" w:type="dxa"/>
          <w:left w:w="0" w:type="dxa"/>
          <w:bottom w:w="0" w:type="dxa"/>
          <w:right w:w="0" w:type="dxa"/>
        </w:tblCellMar>
      </w:tblPr>
      <w:tblGrid>
        <w:gridCol w:w="1576"/>
        <w:gridCol w:w="326"/>
        <w:gridCol w:w="1036"/>
        <w:gridCol w:w="326"/>
        <w:gridCol w:w="1036"/>
        <w:gridCol w:w="326"/>
        <w:gridCol w:w="1246"/>
      </w:tblGrid>
      <w:tr>
        <w:trPr/>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1000760" cy="175260"/>
                      <wp:effectExtent l="0" t="0" r="0" b="0"/>
                      <wp:wrapNone/>
                      <wp:docPr id="562" name="Frame561"/>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207010" cy="175260"/>
                      <wp:effectExtent l="0" t="0" r="0" b="0"/>
                      <wp:wrapNone/>
                      <wp:docPr id="563" name="Frame5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657860" cy="175260"/>
                      <wp:effectExtent l="0" t="0" r="0" b="0"/>
                      <wp:wrapNone/>
                      <wp:docPr id="564" name="Frame56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207010" cy="175260"/>
                      <wp:effectExtent l="0" t="0" r="0" b="0"/>
                      <wp:wrapNone/>
                      <wp:docPr id="565" name="Frame5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657860" cy="175260"/>
                      <wp:effectExtent l="0" t="0" r="0" b="0"/>
                      <wp:wrapNone/>
                      <wp:docPr id="566" name="Frame56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207010" cy="175260"/>
                      <wp:effectExtent l="0" t="0" r="0" b="0"/>
                      <wp:wrapNone/>
                      <wp:docPr id="567" name="Frame5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791210" cy="175260"/>
                      <wp:effectExtent l="0" t="0" r="0" b="0"/>
                      <wp:wrapNone/>
                      <wp:docPr id="568" name="Frame567"/>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97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15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center"/>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5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center"/>
              <w:rPr/>
            </w:pPr>
            <w:r>
              <w:rPr/>
              <w:t>​</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15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point in time</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19,581,668</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23,322,675</w:t>
            </w:r>
          </w:p>
        </w:tc>
        <w:tc>
          <w:tcPr>
            <w:tcW w:w="326"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27,140,994</w:t>
            </w:r>
          </w:p>
        </w:tc>
      </w:tr>
      <w:tr>
        <w:trPr/>
        <w:tc>
          <w:tcPr>
            <w:tcW w:w="15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Over time</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68,024,358</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73,173,134</w:t>
            </w:r>
          </w:p>
        </w:tc>
        <w:tc>
          <w:tcPr>
            <w:tcW w:w="326" w:type="dxa"/>
            <w:tcBorders/>
            <w:vAlign w:val="center"/>
          </w:tcPr>
          <w:p>
            <w:pPr>
              <w:pStyle w:val="TableContents"/>
              <w:bidi w:val="0"/>
              <w:spacing w:before="0" w:after="0"/>
              <w:ind w:left="0" w:right="0" w:hanging="0"/>
              <w:jc w:val="left"/>
              <w:rPr/>
            </w:pPr>
            <w:r>
              <w:rPr/>
              <w:t>​</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76,327,165</w:t>
            </w:r>
          </w:p>
        </w:tc>
      </w:tr>
      <w:tr>
        <w:trPr/>
        <w:tc>
          <w:tcPr>
            <w:tcW w:w="15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revenue</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87,606,026</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96,495,809</w:t>
            </w:r>
          </w:p>
        </w:tc>
        <w:tc>
          <w:tcPr>
            <w:tcW w:w="326" w:type="dxa"/>
            <w:tcBorders/>
            <w:shd w:fill="CCEEFF" w:val="clear"/>
            <w:vAlign w:val="center"/>
          </w:tcPr>
          <w:p>
            <w:pPr>
              <w:pStyle w:val="TableContents"/>
              <w:bidi w:val="0"/>
              <w:spacing w:before="0" w:after="0"/>
              <w:ind w:left="0" w:right="0" w:hanging="0"/>
              <w:jc w:val="left"/>
              <w:rPr/>
            </w:pPr>
            <w:r>
              <w:rPr/>
              <w:t> </w:t>
            </w:r>
          </w:p>
        </w:tc>
        <w:tc>
          <w:tcPr>
            <w:tcW w:w="124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103,468,159</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presents the total depreciation expenses of property and equipment recorded under cost of revenues by segment for the years ended December 31, 2021, 2022 and 2023 (in thousands):</w:t>
      </w:r>
    </w:p>
    <w:p>
      <w:pPr>
        <w:pStyle w:val="TextBody"/>
        <w:bidi w:val="0"/>
        <w:spacing w:before="0" w:after="0"/>
        <w:ind w:left="0" w:right="0" w:hanging="0"/>
        <w:jc w:val="both"/>
        <w:rPr/>
      </w:pPr>
      <w:r>
        <w:rPr/>
        <w:t>​</w:t>
      </w:r>
    </w:p>
    <w:tbl>
      <w:tblPr>
        <w:tblW w:w="8032" w:type="dxa"/>
        <w:jc w:val="left"/>
        <w:tblInd w:w="0" w:type="dxa"/>
        <w:tblLayout w:type="fixed"/>
        <w:tblCellMar>
          <w:top w:w="0" w:type="dxa"/>
          <w:left w:w="0" w:type="dxa"/>
          <w:bottom w:w="0" w:type="dxa"/>
          <w:right w:w="0" w:type="dxa"/>
        </w:tblCellMar>
      </w:tblPr>
      <w:tblGrid>
        <w:gridCol w:w="4606"/>
        <w:gridCol w:w="326"/>
        <w:gridCol w:w="781"/>
        <w:gridCol w:w="326"/>
        <w:gridCol w:w="781"/>
        <w:gridCol w:w="326"/>
        <w:gridCol w:w="886"/>
      </w:tblGrid>
      <w:tr>
        <w:trPr/>
        <w:tc>
          <w:tcPr>
            <w:tcW w:w="4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2924810" cy="175260"/>
                      <wp:effectExtent l="0" t="0" r="0" b="0"/>
                      <wp:wrapNone/>
                      <wp:docPr id="569" name="Frame568"/>
                      <a:graphic xmlns:a="http://schemas.openxmlformats.org/drawingml/2006/main">
                        <a:graphicData uri="http://schemas.microsoft.com/office/word/2010/wordprocessingShape">
                          <wps:wsp>
                            <wps:cNvSpPr txBox="1"/>
                            <wps:spPr>
                              <a:xfrm>
                                <a:off x="0" y="0"/>
                                <a:ext cx="2924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207010" cy="175260"/>
                      <wp:effectExtent l="0" t="0" r="0" b="0"/>
                      <wp:wrapNone/>
                      <wp:docPr id="570" name="Frame5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495935" cy="175260"/>
                      <wp:effectExtent l="0" t="0" r="0" b="0"/>
                      <wp:wrapNone/>
                      <wp:docPr id="571" name="Frame57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207010" cy="175260"/>
                      <wp:effectExtent l="0" t="0" r="0" b="0"/>
                      <wp:wrapNone/>
                      <wp:docPr id="572" name="Frame5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495935" cy="175260"/>
                      <wp:effectExtent l="0" t="0" r="0" b="0"/>
                      <wp:wrapNone/>
                      <wp:docPr id="573" name="Frame57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207010" cy="175260"/>
                      <wp:effectExtent l="0" t="0" r="0" b="0"/>
                      <wp:wrapNone/>
                      <wp:docPr id="574" name="Frame5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562610" cy="175260"/>
                      <wp:effectExtent l="0" t="0" r="0" b="0"/>
                      <wp:wrapNone/>
                      <wp:docPr id="575" name="Frame57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46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6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46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Games and related value-added services</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278,780</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339,300</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223,156</w:t>
            </w:r>
          </w:p>
        </w:tc>
      </w:tr>
      <w:tr>
        <w:trPr/>
        <w:tc>
          <w:tcPr>
            <w:tcW w:w="4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Youdao</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9,330</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11,610</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9,275</w:t>
            </w:r>
          </w:p>
        </w:tc>
      </w:tr>
      <w:tr>
        <w:trPr/>
        <w:tc>
          <w:tcPr>
            <w:tcW w:w="46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Cloud Music</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3,827</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6,044</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2,452</w:t>
            </w:r>
          </w:p>
        </w:tc>
      </w:tr>
      <w:tr>
        <w:trPr/>
        <w:tc>
          <w:tcPr>
            <w:tcW w:w="4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Innovative businesses and others</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114,442</w:t>
            </w:r>
          </w:p>
        </w:tc>
        <w:tc>
          <w:tcPr>
            <w:tcW w:w="32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129,693</w:t>
            </w:r>
          </w:p>
        </w:tc>
        <w:tc>
          <w:tcPr>
            <w:tcW w:w="326"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60,126</w:t>
            </w:r>
          </w:p>
        </w:tc>
      </w:tr>
      <w:tr>
        <w:trPr/>
        <w:tc>
          <w:tcPr>
            <w:tcW w:w="46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depreciation expenses of property and equipment</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406,379</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486,647</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295,009</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substantially all of the Group’s long-lived assets are located in the PRC and substantially all of the Group’s revenue of reportable segments are derived from China based on the geographical locations where services and products are provided to customers, no geographical information is presented.</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2070" w:name="Tc_FeZLVhuLQkK9SB33PXOHbA_11_0"/>
      <w:bookmarkStart w:id="2071" w:name="Tc_d59eDBjfOUiqiGlq_gDoZg_10_6"/>
      <w:bookmarkStart w:id="2072" w:name="Tc_68brDoY3RECBv-PsH2k_UQ_10_4"/>
      <w:bookmarkStart w:id="2073" w:name="Tc_xijtJuArEEG9Lzoim3Ekjw_10_0"/>
      <w:bookmarkStart w:id="2074" w:name="Tc_M7R3KIg0pkyKqsvAif-Q1A_9_8"/>
      <w:bookmarkStart w:id="2075" w:name="Tc_rC0fBJ_R2kC2ZdI86jTphg_9_4"/>
      <w:bookmarkStart w:id="2076" w:name="Tc_LKtHC_4Kp0Snzl0dVx1GzA_9_0"/>
      <w:bookmarkStart w:id="2077" w:name="Tc__IOiaNhCpEmhLz50v_DB8g_8_8"/>
      <w:bookmarkStart w:id="2078" w:name="Tc__S53cZFzXUeQLW3_YjcYbg_8_6"/>
      <w:bookmarkStart w:id="2079" w:name="Tc_dFqiJyPPEEapJOznKi2lCg_8_0"/>
      <w:bookmarkStart w:id="2080" w:name="Tc_UeoK7ovCh0-N1CROq5IGJA_7_8"/>
      <w:bookmarkStart w:id="2081" w:name="Tc_c9muIsg_ZU2h1DvvoimjqQ_7_6"/>
      <w:bookmarkStart w:id="2082" w:name="Tc_19KlzAEqwUW2rr9Hcnm39Q_7_4"/>
      <w:bookmarkStart w:id="2083" w:name="Tc_NkB9vqJEYEee_y3cJ8B5EQ_7_2"/>
      <w:bookmarkStart w:id="2084" w:name="Tc_NoPk_jPoA0iVXed6Dpg_EA_6_8"/>
      <w:bookmarkStart w:id="2085" w:name="Tc_TLxACgR7SUe4kJw6sbdYow_6_6"/>
      <w:bookmarkStart w:id="2086" w:name="Tc_q7HfFv_iL02cTG0XAkBfcA_6_4"/>
      <w:bookmarkStart w:id="2087" w:name="Tc_1XZD9Ksi-0i8oUUuFJ5MkQ_5_8"/>
      <w:bookmarkStart w:id="2088" w:name="Tc_m-IyV78WM0eO8cGdSWZH2A_5_6"/>
      <w:bookmarkStart w:id="2089" w:name="Tc_njkp9ThNVkKlcHGrXq2FXg_5_4"/>
      <w:bookmarkStart w:id="2090" w:name="Tc_6ykS82fGV0-bm1Hfb2892A_4_8"/>
      <w:bookmarkStart w:id="2091" w:name="Tc__AWHdwW81k6YzXjqrHyaew_4_6"/>
      <w:bookmarkStart w:id="2092" w:name="Tc_OxuddHwwnU6siJ4iNFKHqw_4_4"/>
      <w:bookmarkStart w:id="2093" w:name="Tc_eAmqgP7tT0SjaGCooCla-w_3_4"/>
      <w:bookmarkStart w:id="2094" w:name="Tc_bG1gW7vFcUCydFYs7enD3A_2_4"/>
      <w:bookmarkStart w:id="2095" w:name="Tc_acEasPAFr02l8XaazA3gtg_1_2"/>
      <w:bookmarkStart w:id="2096" w:name="_1456ad01_160c_47b9_8bed_808a9b3bb5c7"/>
      <w:bookmarkStart w:id="2097" w:name="Tc_FeZLVhuLQkK9SB33PXOHbA_11_0"/>
      <w:bookmarkStart w:id="2098" w:name="Tc_d59eDBjfOUiqiGlq_gDoZg_10_6"/>
      <w:bookmarkStart w:id="2099" w:name="Tc_68brDoY3RECBv-PsH2k_UQ_10_4"/>
      <w:bookmarkStart w:id="2100" w:name="Tc_xijtJuArEEG9Lzoim3Ekjw_10_0"/>
      <w:bookmarkStart w:id="2101" w:name="Tc_M7R3KIg0pkyKqsvAif-Q1A_9_8"/>
      <w:bookmarkStart w:id="2102" w:name="Tc_rC0fBJ_R2kC2ZdI86jTphg_9_4"/>
      <w:bookmarkStart w:id="2103" w:name="Tc_LKtHC_4Kp0Snzl0dVx1GzA_9_0"/>
      <w:bookmarkStart w:id="2104" w:name="Tc__IOiaNhCpEmhLz50v_DB8g_8_8"/>
      <w:bookmarkStart w:id="2105" w:name="Tc__S53cZFzXUeQLW3_YjcYbg_8_6"/>
      <w:bookmarkStart w:id="2106" w:name="Tc_dFqiJyPPEEapJOznKi2lCg_8_0"/>
      <w:bookmarkStart w:id="2107" w:name="Tc_UeoK7ovCh0-N1CROq5IGJA_7_8"/>
      <w:bookmarkStart w:id="2108" w:name="Tc_c9muIsg_ZU2h1DvvoimjqQ_7_6"/>
      <w:bookmarkStart w:id="2109" w:name="Tc_19KlzAEqwUW2rr9Hcnm39Q_7_4"/>
      <w:bookmarkStart w:id="2110" w:name="Tc_NkB9vqJEYEee_y3cJ8B5EQ_7_2"/>
      <w:bookmarkStart w:id="2111" w:name="Tc_NoPk_jPoA0iVXed6Dpg_EA_6_8"/>
      <w:bookmarkStart w:id="2112" w:name="Tc_TLxACgR7SUe4kJw6sbdYow_6_6"/>
      <w:bookmarkStart w:id="2113" w:name="Tc_q7HfFv_iL02cTG0XAkBfcA_6_4"/>
      <w:bookmarkStart w:id="2114" w:name="Tc_1XZD9Ksi-0i8oUUuFJ5MkQ_5_8"/>
      <w:bookmarkStart w:id="2115" w:name="Tc_m-IyV78WM0eO8cGdSWZH2A_5_6"/>
      <w:bookmarkStart w:id="2116" w:name="Tc_njkp9ThNVkKlcHGrXq2FXg_5_4"/>
      <w:bookmarkStart w:id="2117" w:name="Tc_6ykS82fGV0-bm1Hfb2892A_4_8"/>
      <w:bookmarkStart w:id="2118" w:name="Tc__AWHdwW81k6YzXjqrHyaew_4_6"/>
      <w:bookmarkStart w:id="2119" w:name="Tc_OxuddHwwnU6siJ4iNFKHqw_4_4"/>
      <w:bookmarkStart w:id="2120" w:name="Tc_eAmqgP7tT0SjaGCooCla-w_3_4"/>
      <w:bookmarkStart w:id="2121" w:name="Tc_bG1gW7vFcUCydFYs7enD3A_2_4"/>
      <w:bookmarkStart w:id="2122" w:name="Tc_acEasPAFr02l8XaazA3gtg_1_2"/>
      <w:bookmarkStart w:id="2123" w:name="_1456ad01_160c_47b9_8bed_808a9b3bb5c7"/>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p>
    <w:tbl>
      <w:tblPr>
        <w:tblW w:w="2387" w:type="dxa"/>
        <w:jc w:val="left"/>
        <w:tblInd w:w="0" w:type="dxa"/>
        <w:tblLayout w:type="fixed"/>
        <w:tblCellMar>
          <w:top w:w="0" w:type="dxa"/>
          <w:left w:w="0" w:type="dxa"/>
          <w:bottom w:w="0" w:type="dxa"/>
          <w:right w:w="0" w:type="dxa"/>
        </w:tblCellMar>
      </w:tblPr>
      <w:tblGrid>
        <w:gridCol w:w="376"/>
        <w:gridCol w:w="2011"/>
      </w:tblGrid>
      <w:tr>
        <w:trPr/>
        <w:tc>
          <w:tcPr>
            <w:tcW w:w="376" w:type="dxa"/>
            <w:tcBorders/>
            <w:vAlign w:val="center"/>
          </w:tcPr>
          <w:p>
            <w:pPr>
              <w:pStyle w:val="TableContents"/>
              <w:bidi w:val="0"/>
              <w:spacing w:before="0" w:after="120"/>
              <w:jc w:val="both"/>
              <w:rPr>
                <w:rFonts w:ascii="Times New Roman;Times;serif" w:hAnsi="Times New Roman;Times;serif"/>
                <w:b/>
                <w:sz w:val="20"/>
              </w:rPr>
            </w:pPr>
            <w:r>
              <w:rPr>
                <w:rFonts w:ascii="Times New Roman;Times;serif" w:hAnsi="Times New Roman;Times;serif"/>
                <w:b/>
                <w:sz w:val="20"/>
              </w:rPr>
              <w:t>29.</w:t>
            </w:r>
          </w:p>
        </w:tc>
        <w:tc>
          <w:tcPr>
            <w:tcW w:w="2011" w:type="dxa"/>
            <w:tcBorders/>
            <w:vAlign w:val="center"/>
          </w:tcPr>
          <w:p>
            <w:pPr>
              <w:pStyle w:val="TableContents"/>
              <w:bidi w:val="0"/>
              <w:spacing w:before="0" w:after="120"/>
              <w:jc w:val="both"/>
              <w:rPr>
                <w:rFonts w:ascii="Times New Roman;Times;serif" w:hAnsi="Times New Roman;Times;serif"/>
                <w:b/>
                <w:sz w:val="20"/>
              </w:rPr>
            </w:pPr>
            <w:r>
              <w:rPr>
                <w:rFonts w:ascii="Times New Roman;Times;serif" w:hAnsi="Times New Roman;Times;serif"/>
                <w:b/>
                <w:sz w:val="20"/>
              </w:rPr>
              <w:t>Financial Instruments</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sets forth the financial instruments, measured at fair value, by level within the fair value hierarchy as of December 31, 2022 (in thousands):</w:t>
      </w:r>
    </w:p>
    <w:p>
      <w:pPr>
        <w:pStyle w:val="TextBody"/>
        <w:pBdr/>
        <w:bidi w:val="0"/>
        <w:spacing w:before="0" w:after="0"/>
        <w:ind w:left="0" w:right="0" w:hanging="490"/>
        <w:jc w:val="both"/>
        <w:rPr/>
      </w:pPr>
      <w:r>
        <w:rPr/>
        <w:t>​</w:t>
      </w:r>
    </w:p>
    <w:tbl>
      <w:tblPr>
        <w:tblW w:w="10205" w:type="dxa"/>
        <w:jc w:val="left"/>
        <w:tblInd w:w="0" w:type="dxa"/>
        <w:tblLayout w:type="fixed"/>
        <w:tblCellMar>
          <w:top w:w="0" w:type="dxa"/>
          <w:left w:w="0" w:type="dxa"/>
          <w:bottom w:w="0" w:type="dxa"/>
          <w:right w:w="0" w:type="dxa"/>
        </w:tblCellMar>
      </w:tblPr>
      <w:tblGrid>
        <w:gridCol w:w="4052"/>
        <w:gridCol w:w="326"/>
        <w:gridCol w:w="1036"/>
        <w:gridCol w:w="326"/>
        <w:gridCol w:w="1306"/>
        <w:gridCol w:w="326"/>
        <w:gridCol w:w="1366"/>
        <w:gridCol w:w="326"/>
        <w:gridCol w:w="1141"/>
      </w:tblGrid>
      <w:tr>
        <w:trPr/>
        <w:tc>
          <w:tcPr>
            <w:tcW w:w="40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2573020" cy="175260"/>
                      <wp:effectExtent l="0" t="0" r="0" b="0"/>
                      <wp:wrapNone/>
                      <wp:docPr id="576" name="Frame575"/>
                      <a:graphic xmlns:a="http://schemas.openxmlformats.org/drawingml/2006/main">
                        <a:graphicData uri="http://schemas.microsoft.com/office/word/2010/wordprocessingShape">
                          <wps:wsp>
                            <wps:cNvSpPr txBox="1"/>
                            <wps:spPr>
                              <a:xfrm>
                                <a:off x="0" y="0"/>
                                <a:ext cx="2573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207010" cy="175260"/>
                      <wp:effectExtent l="0" t="0" r="0" b="0"/>
                      <wp:wrapNone/>
                      <wp:docPr id="577" name="Frame5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657860" cy="175260"/>
                      <wp:effectExtent l="0" t="0" r="0" b="0"/>
                      <wp:wrapNone/>
                      <wp:docPr id="578" name="Frame57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207010" cy="175260"/>
                      <wp:effectExtent l="0" t="0" r="0" b="0"/>
                      <wp:wrapNone/>
                      <wp:docPr id="579" name="Frame5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829310" cy="175260"/>
                      <wp:effectExtent l="0" t="0" r="0" b="0"/>
                      <wp:wrapNone/>
                      <wp:docPr id="580" name="Frame579"/>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207010" cy="175260"/>
                      <wp:effectExtent l="0" t="0" r="0" b="0"/>
                      <wp:wrapNone/>
                      <wp:docPr id="581" name="Frame5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867410" cy="175260"/>
                      <wp:effectExtent l="0" t="0" r="0" b="0"/>
                      <wp:wrapNone/>
                      <wp:docPr id="582" name="Frame581"/>
                      <a:graphic xmlns:a="http://schemas.openxmlformats.org/drawingml/2006/main">
                        <a:graphicData uri="http://schemas.microsoft.com/office/word/2010/wordprocessingShape">
                          <wps:wsp>
                            <wps:cNvSpPr txBox="1"/>
                            <wps:spPr>
                              <a:xfrm>
                                <a:off x="0" y="0"/>
                                <a:ext cx="867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207010" cy="175260"/>
                      <wp:effectExtent l="0" t="0" r="0" b="0"/>
                      <wp:wrapNone/>
                      <wp:docPr id="583" name="Frame5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724535" cy="175260"/>
                      <wp:effectExtent l="0" t="0" r="0" b="0"/>
                      <wp:wrapNone/>
                      <wp:docPr id="584" name="Frame583"/>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5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82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Measurements</w:t>
            </w:r>
          </w:p>
        </w:tc>
      </w:tr>
      <w:tr>
        <w:trPr/>
        <w:tc>
          <w:tcPr>
            <w:tcW w:w="405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3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13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center"/>
              <w:rPr/>
            </w:pPr>
            <w:r>
              <w:rPr/>
              <w:t>​</w:t>
            </w:r>
          </w:p>
        </w:tc>
      </w:tr>
      <w:tr>
        <w:trPr/>
        <w:tc>
          <w:tcPr>
            <w:tcW w:w="405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 Prices in</w:t>
            </w:r>
          </w:p>
        </w:tc>
        <w:tc>
          <w:tcPr>
            <w:tcW w:w="326" w:type="dxa"/>
            <w:tcBorders/>
            <w:vAlign w:val="center"/>
          </w:tcPr>
          <w:p>
            <w:pPr>
              <w:pStyle w:val="TableContents"/>
              <w:bidi w:val="0"/>
              <w:spacing w:before="0" w:after="0"/>
              <w:ind w:left="0" w:right="0" w:hanging="0"/>
              <w:jc w:val="left"/>
              <w:rPr/>
            </w:pPr>
            <w:r>
              <w:rPr/>
              <w:t>​</w:t>
            </w:r>
          </w:p>
        </w:tc>
        <w:tc>
          <w:tcPr>
            <w:tcW w:w="13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pPr>
            <w:r>
              <w:rPr/>
              <w:t>​</w:t>
            </w:r>
          </w:p>
        </w:tc>
      </w:tr>
      <w:tr>
        <w:trPr/>
        <w:tc>
          <w:tcPr>
            <w:tcW w:w="405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Active Market</w:t>
            </w:r>
          </w:p>
        </w:tc>
        <w:tc>
          <w:tcPr>
            <w:tcW w:w="326" w:type="dxa"/>
            <w:tcBorders/>
            <w:vAlign w:val="center"/>
          </w:tcPr>
          <w:p>
            <w:pPr>
              <w:pStyle w:val="TableContents"/>
              <w:bidi w:val="0"/>
              <w:spacing w:before="0" w:after="0"/>
              <w:ind w:left="0" w:right="0" w:hanging="0"/>
              <w:jc w:val="left"/>
              <w:rPr/>
            </w:pPr>
            <w:r>
              <w:rPr/>
              <w:t>​</w:t>
            </w:r>
          </w:p>
        </w:tc>
        <w:tc>
          <w:tcPr>
            <w:tcW w:w="13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 Other</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r>
      <w:tr>
        <w:trPr/>
        <w:tc>
          <w:tcPr>
            <w:tcW w:w="405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Identical</w:t>
            </w:r>
          </w:p>
        </w:tc>
        <w:tc>
          <w:tcPr>
            <w:tcW w:w="326" w:type="dxa"/>
            <w:tcBorders/>
            <w:vAlign w:val="center"/>
          </w:tcPr>
          <w:p>
            <w:pPr>
              <w:pStyle w:val="TableContents"/>
              <w:bidi w:val="0"/>
              <w:spacing w:before="0" w:after="0"/>
              <w:ind w:left="0" w:right="0" w:hanging="0"/>
              <w:jc w:val="left"/>
              <w:rPr/>
            </w:pPr>
            <w:r>
              <w:rPr/>
              <w:t>​</w:t>
            </w:r>
          </w:p>
        </w:tc>
        <w:tc>
          <w:tcPr>
            <w:tcW w:w="13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405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326" w:type="dxa"/>
            <w:tcBorders/>
            <w:vAlign w:val="center"/>
          </w:tcPr>
          <w:p>
            <w:pPr>
              <w:pStyle w:val="TableContents"/>
              <w:bidi w:val="0"/>
              <w:spacing w:before="0" w:after="0"/>
              <w:ind w:left="0" w:right="0" w:hanging="0"/>
              <w:jc w:val="left"/>
              <w:rPr/>
            </w:pPr>
            <w:r>
              <w:rPr/>
              <w:t>​</w:t>
            </w:r>
          </w:p>
        </w:tc>
        <w:tc>
          <w:tcPr>
            <w:tcW w:w="13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r>
      <w:tr>
        <w:trPr/>
        <w:tc>
          <w:tcPr>
            <w:tcW w:w="405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0"/>
              <w:ind w:left="0" w:right="0" w:hanging="0"/>
              <w:jc w:val="left"/>
              <w:rPr/>
            </w:pPr>
            <w:r>
              <w:rPr/>
              <w:t>    </w:t>
            </w:r>
          </w:p>
        </w:tc>
        <w:tc>
          <w:tcPr>
            <w:tcW w:w="13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0"/>
              <w:ind w:left="0" w:right="0" w:hanging="0"/>
              <w:jc w:val="left"/>
              <w:rPr/>
            </w:pPr>
            <w:r>
              <w:rPr/>
              <w:t>    </w:t>
            </w:r>
          </w:p>
        </w:tc>
        <w:tc>
          <w:tcPr>
            <w:tcW w:w="13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40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investments with readily determinable fair values</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2,567,268</w:t>
            </w:r>
          </w:p>
        </w:tc>
        <w:tc>
          <w:tcPr>
            <w:tcW w:w="326" w:type="dxa"/>
            <w:tcBorders/>
            <w:shd w:fill="CCEEFF" w:val="clear"/>
            <w:vAlign w:val="center"/>
          </w:tcPr>
          <w:p>
            <w:pPr>
              <w:pStyle w:val="TableContents"/>
              <w:bidi w:val="0"/>
              <w:spacing w:before="0" w:after="0"/>
              <w:ind w:left="0" w:right="0" w:hanging="0"/>
              <w:jc w:val="left"/>
              <w:rPr/>
            </w:pPr>
            <w:r>
              <w:rPr/>
              <w:t>​</w:t>
            </w:r>
          </w:p>
        </w:tc>
        <w:tc>
          <w:tcPr>
            <w:tcW w:w="13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2,567,268</w:t>
            </w:r>
          </w:p>
        </w:tc>
        <w:tc>
          <w:tcPr>
            <w:tcW w:w="326" w:type="dxa"/>
            <w:tcBorders/>
            <w:shd w:fill="CCEEFF" w:val="clear"/>
            <w:vAlign w:val="center"/>
          </w:tcPr>
          <w:p>
            <w:pPr>
              <w:pStyle w:val="TableContents"/>
              <w:bidi w:val="0"/>
              <w:spacing w:before="0" w:after="0"/>
              <w:ind w:left="0" w:right="0" w:hanging="0"/>
              <w:jc w:val="left"/>
              <w:rPr/>
            </w:pPr>
            <w:r>
              <w:rPr/>
              <w:t>​</w:t>
            </w:r>
          </w:p>
        </w:tc>
        <w:tc>
          <w:tcPr>
            <w:tcW w:w="13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r>
      <w:tr>
        <w:trPr/>
        <w:tc>
          <w:tcPr>
            <w:tcW w:w="40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7,622,673</w:t>
            </w:r>
          </w:p>
        </w:tc>
        <w:tc>
          <w:tcPr>
            <w:tcW w:w="32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3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7,622,673</w:t>
            </w:r>
          </w:p>
        </w:tc>
        <w:tc>
          <w:tcPr>
            <w:tcW w:w="326" w:type="dxa"/>
            <w:tcBorders/>
            <w:vAlign w:val="center"/>
          </w:tcPr>
          <w:p>
            <w:pPr>
              <w:pStyle w:val="TableContents"/>
              <w:bidi w:val="0"/>
              <w:spacing w:before="0" w:after="0"/>
              <w:ind w:left="0" w:right="0" w:hanging="0"/>
              <w:jc w:val="right"/>
              <w:rPr/>
            </w:pPr>
            <w:r>
              <w:rPr/>
              <w:t>​</w:t>
            </w:r>
          </w:p>
        </w:tc>
        <w:tc>
          <w:tcPr>
            <w:tcW w:w="1141" w:type="dxa"/>
            <w:tcBorders/>
            <w:vAlign w:val="center"/>
          </w:tcPr>
          <w:p>
            <w:pPr>
              <w:pStyle w:val="TableContents"/>
              <w:bidi w:val="0"/>
              <w:spacing w:before="0" w:after="0"/>
              <w:ind w:left="0" w:right="0" w:hanging="0"/>
              <w:jc w:val="right"/>
              <w:rPr/>
            </w:pPr>
            <w:r>
              <w:rPr/>
              <w:t>—</w:t>
            </w:r>
          </w:p>
        </w:tc>
      </w:tr>
      <w:tr>
        <w:trPr/>
        <w:tc>
          <w:tcPr>
            <w:tcW w:w="40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 accounted for at fair values</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246,073</w:t>
            </w:r>
          </w:p>
        </w:tc>
        <w:tc>
          <w:tcPr>
            <w:tcW w:w="326" w:type="dxa"/>
            <w:tcBorders/>
            <w:shd w:fill="CCEEFF" w:val="clear"/>
            <w:vAlign w:val="center"/>
          </w:tcPr>
          <w:p>
            <w:pPr>
              <w:pStyle w:val="TableContents"/>
              <w:bidi w:val="0"/>
              <w:spacing w:before="0" w:after="0"/>
              <w:ind w:left="0" w:right="0" w:hanging="0"/>
              <w:jc w:val="left"/>
              <w:rPr/>
            </w:pPr>
            <w:r>
              <w:rPr/>
              <w:t>​</w:t>
            </w:r>
          </w:p>
        </w:tc>
        <w:tc>
          <w:tcPr>
            <w:tcW w:w="13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3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246,073</w:t>
            </w:r>
          </w:p>
        </w:tc>
      </w:tr>
      <w:tr>
        <w:trPr/>
        <w:tc>
          <w:tcPr>
            <w:tcW w:w="40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10,436,014</w:t>
            </w:r>
          </w:p>
        </w:tc>
        <w:tc>
          <w:tcPr>
            <w:tcW w:w="326" w:type="dxa"/>
            <w:tcBorders/>
            <w:vAlign w:val="center"/>
          </w:tcPr>
          <w:p>
            <w:pPr>
              <w:pStyle w:val="TableContents"/>
              <w:bidi w:val="0"/>
              <w:spacing w:before="0" w:after="0"/>
              <w:ind w:left="0" w:right="0" w:hanging="0"/>
              <w:jc w:val="left"/>
              <w:rPr/>
            </w:pPr>
            <w:r>
              <w:rPr/>
              <w:t>​</w:t>
            </w:r>
          </w:p>
        </w:tc>
        <w:tc>
          <w:tcPr>
            <w:tcW w:w="13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2,567,268</w:t>
            </w:r>
          </w:p>
        </w:tc>
        <w:tc>
          <w:tcPr>
            <w:tcW w:w="326" w:type="dxa"/>
            <w:tcBorders/>
            <w:vAlign w:val="center"/>
          </w:tcPr>
          <w:p>
            <w:pPr>
              <w:pStyle w:val="TableContents"/>
              <w:bidi w:val="0"/>
              <w:spacing w:before="0" w:after="0"/>
              <w:ind w:left="0" w:right="0" w:hanging="0"/>
              <w:jc w:val="left"/>
              <w:rPr/>
            </w:pPr>
            <w:r>
              <w:rPr/>
              <w:t> </w:t>
            </w:r>
          </w:p>
        </w:tc>
        <w:tc>
          <w:tcPr>
            <w:tcW w:w="13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7,622,673</w:t>
            </w:r>
          </w:p>
        </w:tc>
        <w:tc>
          <w:tcPr>
            <w:tcW w:w="326" w:type="dxa"/>
            <w:tcBorders/>
            <w:vAlign w:val="center"/>
          </w:tcPr>
          <w:p>
            <w:pPr>
              <w:pStyle w:val="TableContents"/>
              <w:bidi w:val="0"/>
              <w:spacing w:before="0" w:after="0"/>
              <w:ind w:left="0" w:right="0" w:hanging="0"/>
              <w:jc w:val="right"/>
              <w:rPr/>
            </w:pPr>
            <w:r>
              <w:rPr/>
              <w:t>​</w:t>
            </w:r>
          </w:p>
        </w:tc>
        <w:tc>
          <w:tcPr>
            <w:tcW w:w="114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246,073</w:t>
            </w:r>
          </w:p>
        </w:tc>
      </w:tr>
    </w:tbl>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2124" w:name="Tc_R8fDRaKOYkq_KFXTYEZJVg_11_0"/>
      <w:bookmarkStart w:id="2125" w:name="Tc_OYiv7Z0MYkeY5EDp7QuMaw_10_6"/>
      <w:bookmarkStart w:id="2126" w:name="Tc_OrPXbqKMl0GvQrj2NJAjmQ_10_4"/>
      <w:bookmarkStart w:id="2127" w:name="Tc_8fwES6xWaUOyEfl9E_ElfA_10_0"/>
      <w:bookmarkStart w:id="2128" w:name="Tc_Tt79ECpbHUyIZB_E-gaMwg_9_8"/>
      <w:bookmarkStart w:id="2129" w:name="Tc_J9l7JmvbYESKN5Lvlnl3UQ_9_4"/>
      <w:bookmarkStart w:id="2130" w:name="Tc_uGroEznX9EefrHx8vmFeuQ_9_0"/>
      <w:bookmarkStart w:id="2131" w:name="Tc_5rsUJWdVA0WAttvasOYmog_8_8"/>
      <w:bookmarkStart w:id="2132" w:name="Tc_0-17rhy4HUm3LXhP65m1LA_8_6"/>
      <w:bookmarkStart w:id="2133" w:name="Tc_uR-5n3xbuEq2JrgfL0Rfrw_8_0"/>
      <w:bookmarkStart w:id="2134" w:name="Tc_Cn1DggcDAkm31jGroCwwZQ_7_8"/>
      <w:bookmarkStart w:id="2135" w:name="Tc_IT7RAAXAGkOHJoN86ejTPA_7_6"/>
      <w:bookmarkStart w:id="2136" w:name="Tc_7pZ0xMx9WkaPok5zBdo0NA_7_4"/>
      <w:bookmarkStart w:id="2137" w:name="Tc_VF9IXjP87Ue07-D9oQRnnQ_7_2"/>
      <w:bookmarkStart w:id="2138" w:name="Tc_ANKfzyH3VkWaNoCxCdv5jg_6_8"/>
      <w:bookmarkStart w:id="2139" w:name="Tc_HkGYqA8EfUaaM_PjCoMmXw_6_6"/>
      <w:bookmarkStart w:id="2140" w:name="Tc_uI8fccZHGEKJt4X5vnfRZw_6_4"/>
      <w:bookmarkStart w:id="2141" w:name="Tc_3O2vWECLBkW0aMCgIQTzBA_5_8"/>
      <w:bookmarkStart w:id="2142" w:name="Tc_d0Zn3-onI0-68DC2jlhN8g_5_6"/>
      <w:bookmarkStart w:id="2143" w:name="Tc_Yv0o4Bui9EaB90IcZbiqRw_5_4"/>
      <w:bookmarkStart w:id="2144" w:name="Tc_3Sm0CjLdsUOaiF517GE6hg_4_8"/>
      <w:bookmarkStart w:id="2145" w:name="Tc_WHF6Gb3jZUqqfpINJ8ORzQ_4_6"/>
      <w:bookmarkStart w:id="2146" w:name="Tc_lC_YSAcAUkWvRN-F63qUsQ_4_4"/>
      <w:bookmarkStart w:id="2147" w:name="Tc_Tcl109rUhU6k-qGxcTDLYw_3_4"/>
      <w:bookmarkStart w:id="2148" w:name="Tc_QyADRu189kKTyfefVwUyQw_2_4"/>
      <w:bookmarkStart w:id="2149" w:name="Tc_L97tg8NR8UCIKiP8tT5Pqw_1_2"/>
      <w:bookmarkStart w:id="2150" w:name="_d8e8550c_1a2e_465f_a163_67a6217c585d"/>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r>
        <w:rPr>
          <w:rFonts w:ascii="Times New Roman;Times;serif" w:hAnsi="Times New Roman;Times;serif"/>
          <w:sz w:val="20"/>
        </w:rPr>
        <w:t>The following table sets forth the financial instruments, measured at fair value, by level within the fair value hierarchy as of December 31, 2023 (in thousands):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4157"/>
        <w:gridCol w:w="326"/>
        <w:gridCol w:w="931"/>
        <w:gridCol w:w="326"/>
        <w:gridCol w:w="1306"/>
        <w:gridCol w:w="326"/>
        <w:gridCol w:w="1366"/>
        <w:gridCol w:w="326"/>
        <w:gridCol w:w="1141"/>
      </w:tblGrid>
      <w:tr>
        <w:trPr/>
        <w:tc>
          <w:tcPr>
            <w:tcW w:w="41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2639695" cy="175260"/>
                      <wp:effectExtent l="0" t="0" r="0" b="0"/>
                      <wp:wrapNone/>
                      <wp:docPr id="585" name="Frame584"/>
                      <a:graphic xmlns:a="http://schemas.openxmlformats.org/drawingml/2006/main">
                        <a:graphicData uri="http://schemas.microsoft.com/office/word/2010/wordprocessingShape">
                          <wps:wsp>
                            <wps:cNvSpPr txBox="1"/>
                            <wps:spPr>
                              <a:xfrm>
                                <a:off x="0" y="0"/>
                                <a:ext cx="2639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207010" cy="175260"/>
                      <wp:effectExtent l="0" t="0" r="0" b="0"/>
                      <wp:wrapNone/>
                      <wp:docPr id="586" name="Frame5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591185" cy="175260"/>
                      <wp:effectExtent l="0" t="0" r="0" b="0"/>
                      <wp:wrapNone/>
                      <wp:docPr id="587" name="Frame58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207010" cy="175260"/>
                      <wp:effectExtent l="0" t="0" r="0" b="0"/>
                      <wp:wrapNone/>
                      <wp:docPr id="588" name="Frame5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829310" cy="175260"/>
                      <wp:effectExtent l="0" t="0" r="0" b="0"/>
                      <wp:wrapNone/>
                      <wp:docPr id="589" name="Frame588"/>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207010" cy="175260"/>
                      <wp:effectExtent l="0" t="0" r="0" b="0"/>
                      <wp:wrapNone/>
                      <wp:docPr id="590" name="Frame5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867410" cy="175260"/>
                      <wp:effectExtent l="0" t="0" r="0" b="0"/>
                      <wp:wrapNone/>
                      <wp:docPr id="591" name="Frame590"/>
                      <a:graphic xmlns:a="http://schemas.openxmlformats.org/drawingml/2006/main">
                        <a:graphicData uri="http://schemas.microsoft.com/office/word/2010/wordprocessingShape">
                          <wps:wsp>
                            <wps:cNvSpPr txBox="1"/>
                            <wps:spPr>
                              <a:xfrm>
                                <a:off x="0" y="0"/>
                                <a:ext cx="867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207010" cy="175260"/>
                      <wp:effectExtent l="0" t="0" r="0" b="0"/>
                      <wp:wrapNone/>
                      <wp:docPr id="592" name="Frame5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724535" cy="175260"/>
                      <wp:effectExtent l="0" t="0" r="0" b="0"/>
                      <wp:wrapNone/>
                      <wp:docPr id="593" name="Frame592"/>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5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2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Measurements</w:t>
            </w:r>
          </w:p>
        </w:tc>
      </w:tr>
      <w:tr>
        <w:trPr/>
        <w:tc>
          <w:tcPr>
            <w:tcW w:w="415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3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    </w:t>
            </w:r>
          </w:p>
        </w:tc>
        <w:tc>
          <w:tcPr>
            <w:tcW w:w="13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141" w:type="dxa"/>
            <w:tcBorders/>
            <w:vAlign w:val="center"/>
          </w:tcPr>
          <w:p>
            <w:pPr>
              <w:pStyle w:val="TableContents"/>
              <w:bidi w:val="0"/>
              <w:spacing w:before="0" w:after="0"/>
              <w:ind w:left="0" w:right="0" w:hanging="0"/>
              <w:jc w:val="center"/>
              <w:rPr/>
            </w:pPr>
            <w:r>
              <w:rPr/>
              <w:t>​</w:t>
            </w:r>
          </w:p>
        </w:tc>
      </w:tr>
      <w:tr>
        <w:trPr/>
        <w:tc>
          <w:tcPr>
            <w:tcW w:w="415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 Prices in</w:t>
            </w:r>
          </w:p>
        </w:tc>
        <w:tc>
          <w:tcPr>
            <w:tcW w:w="326" w:type="dxa"/>
            <w:tcBorders/>
            <w:vAlign w:val="center"/>
          </w:tcPr>
          <w:p>
            <w:pPr>
              <w:pStyle w:val="TableContents"/>
              <w:bidi w:val="0"/>
              <w:spacing w:before="0" w:after="0"/>
              <w:ind w:left="0" w:right="0" w:hanging="0"/>
              <w:jc w:val="left"/>
              <w:rPr/>
            </w:pPr>
            <w:r>
              <w:rPr/>
              <w:t>​</w:t>
            </w:r>
          </w:p>
        </w:tc>
        <w:tc>
          <w:tcPr>
            <w:tcW w:w="13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pPr>
            <w:r>
              <w:rPr/>
              <w:t>​</w:t>
            </w:r>
          </w:p>
        </w:tc>
      </w:tr>
      <w:tr>
        <w:trPr/>
        <w:tc>
          <w:tcPr>
            <w:tcW w:w="415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Active Market</w:t>
            </w:r>
          </w:p>
        </w:tc>
        <w:tc>
          <w:tcPr>
            <w:tcW w:w="326" w:type="dxa"/>
            <w:tcBorders/>
            <w:vAlign w:val="center"/>
          </w:tcPr>
          <w:p>
            <w:pPr>
              <w:pStyle w:val="TableContents"/>
              <w:bidi w:val="0"/>
              <w:spacing w:before="0" w:after="0"/>
              <w:ind w:left="0" w:right="0" w:hanging="0"/>
              <w:jc w:val="left"/>
              <w:rPr/>
            </w:pPr>
            <w:r>
              <w:rPr/>
              <w:t>​</w:t>
            </w:r>
          </w:p>
        </w:tc>
        <w:tc>
          <w:tcPr>
            <w:tcW w:w="13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 Other</w:t>
            </w:r>
          </w:p>
        </w:tc>
        <w:tc>
          <w:tcPr>
            <w:tcW w:w="32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r>
      <w:tr>
        <w:trPr/>
        <w:tc>
          <w:tcPr>
            <w:tcW w:w="415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Identical</w:t>
            </w:r>
          </w:p>
        </w:tc>
        <w:tc>
          <w:tcPr>
            <w:tcW w:w="326" w:type="dxa"/>
            <w:tcBorders/>
            <w:vAlign w:val="center"/>
          </w:tcPr>
          <w:p>
            <w:pPr>
              <w:pStyle w:val="TableContents"/>
              <w:bidi w:val="0"/>
              <w:spacing w:before="0" w:after="0"/>
              <w:ind w:left="0" w:right="0" w:hanging="0"/>
              <w:jc w:val="left"/>
              <w:rPr/>
            </w:pPr>
            <w:r>
              <w:rPr/>
              <w:t>​</w:t>
            </w:r>
          </w:p>
        </w:tc>
        <w:tc>
          <w:tcPr>
            <w:tcW w:w="13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2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415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326" w:type="dxa"/>
            <w:tcBorders/>
            <w:vAlign w:val="center"/>
          </w:tcPr>
          <w:p>
            <w:pPr>
              <w:pStyle w:val="TableContents"/>
              <w:bidi w:val="0"/>
              <w:spacing w:before="0" w:after="0"/>
              <w:ind w:left="0" w:right="0" w:hanging="0"/>
              <w:jc w:val="left"/>
              <w:rPr/>
            </w:pPr>
            <w:r>
              <w:rPr/>
              <w:t>​</w:t>
            </w:r>
          </w:p>
        </w:tc>
        <w:tc>
          <w:tcPr>
            <w:tcW w:w="13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2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r>
      <w:tr>
        <w:trPr/>
        <w:tc>
          <w:tcPr>
            <w:tcW w:w="415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0"/>
              <w:ind w:left="0" w:right="0" w:hanging="0"/>
              <w:jc w:val="left"/>
              <w:rPr/>
            </w:pPr>
            <w:r>
              <w:rPr/>
              <w:t>    </w:t>
            </w:r>
          </w:p>
        </w:tc>
        <w:tc>
          <w:tcPr>
            <w:tcW w:w="13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0"/>
              <w:ind w:left="0" w:right="0" w:hanging="0"/>
              <w:jc w:val="left"/>
              <w:rPr/>
            </w:pPr>
            <w:r>
              <w:rPr/>
              <w:t>    </w:t>
            </w:r>
          </w:p>
        </w:tc>
        <w:tc>
          <w:tcPr>
            <w:tcW w:w="13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0"/>
              <w:ind w:left="0" w:right="0" w:hanging="0"/>
              <w:jc w:val="center"/>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41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investments with readily determinable fair values</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3,107,266</w:t>
            </w:r>
          </w:p>
        </w:tc>
        <w:tc>
          <w:tcPr>
            <w:tcW w:w="326" w:type="dxa"/>
            <w:tcBorders/>
            <w:shd w:fill="CCEEFF" w:val="clear"/>
            <w:vAlign w:val="center"/>
          </w:tcPr>
          <w:p>
            <w:pPr>
              <w:pStyle w:val="TableContents"/>
              <w:bidi w:val="0"/>
              <w:spacing w:before="0" w:after="0"/>
              <w:ind w:left="0" w:right="0" w:hanging="0"/>
              <w:jc w:val="left"/>
              <w:rPr/>
            </w:pPr>
            <w:r>
              <w:rPr/>
              <w:t>​</w:t>
            </w:r>
          </w:p>
        </w:tc>
        <w:tc>
          <w:tcPr>
            <w:tcW w:w="13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3,107,266</w:t>
            </w:r>
          </w:p>
        </w:tc>
        <w:tc>
          <w:tcPr>
            <w:tcW w:w="326" w:type="dxa"/>
            <w:tcBorders/>
            <w:shd w:fill="CCEEFF" w:val="clear"/>
            <w:vAlign w:val="center"/>
          </w:tcPr>
          <w:p>
            <w:pPr>
              <w:pStyle w:val="TableContents"/>
              <w:bidi w:val="0"/>
              <w:spacing w:before="0" w:after="0"/>
              <w:ind w:left="0" w:right="0" w:hanging="0"/>
              <w:jc w:val="left"/>
              <w:rPr/>
            </w:pPr>
            <w:r>
              <w:rPr/>
              <w:t>​</w:t>
            </w:r>
          </w:p>
        </w:tc>
        <w:tc>
          <w:tcPr>
            <w:tcW w:w="13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r>
      <w:tr>
        <w:trPr/>
        <w:tc>
          <w:tcPr>
            <w:tcW w:w="41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4,436,057</w:t>
            </w:r>
          </w:p>
        </w:tc>
        <w:tc>
          <w:tcPr>
            <w:tcW w:w="32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3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4,436,057</w:t>
            </w:r>
          </w:p>
        </w:tc>
        <w:tc>
          <w:tcPr>
            <w:tcW w:w="326" w:type="dxa"/>
            <w:tcBorders/>
            <w:vAlign w:val="center"/>
          </w:tcPr>
          <w:p>
            <w:pPr>
              <w:pStyle w:val="TableContents"/>
              <w:bidi w:val="0"/>
              <w:spacing w:before="0" w:after="0"/>
              <w:ind w:left="0" w:right="0" w:hanging="0"/>
              <w:jc w:val="right"/>
              <w:rPr/>
            </w:pPr>
            <w:r>
              <w:rPr/>
              <w:t>​</w:t>
            </w:r>
          </w:p>
        </w:tc>
        <w:tc>
          <w:tcPr>
            <w:tcW w:w="1141" w:type="dxa"/>
            <w:tcBorders/>
            <w:vAlign w:val="center"/>
          </w:tcPr>
          <w:p>
            <w:pPr>
              <w:pStyle w:val="TableContents"/>
              <w:bidi w:val="0"/>
              <w:spacing w:before="0" w:after="0"/>
              <w:ind w:left="0" w:right="0" w:hanging="0"/>
              <w:jc w:val="right"/>
              <w:rPr/>
            </w:pPr>
            <w:r>
              <w:rPr/>
              <w:t>—</w:t>
            </w:r>
          </w:p>
        </w:tc>
      </w:tr>
      <w:tr>
        <w:trPr/>
        <w:tc>
          <w:tcPr>
            <w:tcW w:w="41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 accounted for at fair values</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490,781</w:t>
            </w:r>
          </w:p>
        </w:tc>
        <w:tc>
          <w:tcPr>
            <w:tcW w:w="326" w:type="dxa"/>
            <w:tcBorders/>
            <w:shd w:fill="CCEEFF" w:val="clear"/>
            <w:vAlign w:val="center"/>
          </w:tcPr>
          <w:p>
            <w:pPr>
              <w:pStyle w:val="TableContents"/>
              <w:bidi w:val="0"/>
              <w:spacing w:before="0" w:after="0"/>
              <w:ind w:left="0" w:right="0" w:hanging="0"/>
              <w:jc w:val="left"/>
              <w:rPr/>
            </w:pPr>
            <w:r>
              <w:rPr/>
              <w:t>​</w:t>
            </w:r>
          </w:p>
        </w:tc>
        <w:tc>
          <w:tcPr>
            <w:tcW w:w="13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3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490,781</w:t>
            </w:r>
          </w:p>
        </w:tc>
      </w:tr>
      <w:tr>
        <w:trPr/>
        <w:tc>
          <w:tcPr>
            <w:tcW w:w="41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8,034,104</w:t>
            </w:r>
          </w:p>
        </w:tc>
        <w:tc>
          <w:tcPr>
            <w:tcW w:w="326" w:type="dxa"/>
            <w:tcBorders/>
            <w:vAlign w:val="center"/>
          </w:tcPr>
          <w:p>
            <w:pPr>
              <w:pStyle w:val="TableContents"/>
              <w:bidi w:val="0"/>
              <w:spacing w:before="0" w:after="0"/>
              <w:ind w:left="0" w:right="0" w:hanging="0"/>
              <w:jc w:val="left"/>
              <w:rPr/>
            </w:pPr>
            <w:r>
              <w:rPr/>
              <w:t>​</w:t>
            </w:r>
          </w:p>
        </w:tc>
        <w:tc>
          <w:tcPr>
            <w:tcW w:w="13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3,107,266</w:t>
            </w:r>
          </w:p>
        </w:tc>
        <w:tc>
          <w:tcPr>
            <w:tcW w:w="326" w:type="dxa"/>
            <w:tcBorders/>
            <w:vAlign w:val="center"/>
          </w:tcPr>
          <w:p>
            <w:pPr>
              <w:pStyle w:val="TableContents"/>
              <w:bidi w:val="0"/>
              <w:spacing w:before="0" w:after="0"/>
              <w:ind w:left="0" w:right="0" w:hanging="0"/>
              <w:jc w:val="left"/>
              <w:rPr/>
            </w:pPr>
            <w:r>
              <w:rPr/>
              <w:t> </w:t>
            </w:r>
          </w:p>
        </w:tc>
        <w:tc>
          <w:tcPr>
            <w:tcW w:w="13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4,436,057</w:t>
            </w:r>
          </w:p>
        </w:tc>
        <w:tc>
          <w:tcPr>
            <w:tcW w:w="326" w:type="dxa"/>
            <w:tcBorders/>
            <w:vAlign w:val="center"/>
          </w:tcPr>
          <w:p>
            <w:pPr>
              <w:pStyle w:val="TableContents"/>
              <w:bidi w:val="0"/>
              <w:spacing w:before="0" w:after="0"/>
              <w:ind w:left="0" w:right="0" w:hanging="0"/>
              <w:jc w:val="right"/>
              <w:rPr/>
            </w:pPr>
            <w:r>
              <w:rPr/>
              <w:t>​</w:t>
            </w:r>
          </w:p>
        </w:tc>
        <w:tc>
          <w:tcPr>
            <w:tcW w:w="114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490,781</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rates of interest under the loan agreements with the lending banks were determined based on the prevailing interest rates in the market. The Group classifies the valuation techniques that use these inputs as Level 2 of fair value measurements of short-term bank loans. For other financial assets and liabilities with carrying values that approximate fair value, if measured at fair value in the financial statements, these financial instruments would be classified as Level 3 in the fair value hierarchy. As of December 31, 2022 and 2023, certain equity investments without determinable fair value (Note 11) were measured using significant unobservable inputs (Level 3) and written down from their respective carrying value to fair value, with impairment charges of RMB85.2 million and RMB274.2 million incurred and recorded in earnings for the years then ended.</w:t>
      </w:r>
    </w:p>
    <w:p>
      <w:pPr>
        <w:pStyle w:val="TextBody"/>
        <w:bidi w:val="0"/>
        <w:spacing w:before="0" w:after="0"/>
        <w:ind w:left="0" w:right="0" w:hanging="0"/>
        <w:jc w:val="both"/>
        <w:rPr/>
      </w:pPr>
      <w:r>
        <w:rPr/>
        <w:t>​</w:t>
      </w:r>
    </w:p>
    <w:tbl>
      <w:tblPr>
        <w:tblW w:w="2267" w:type="dxa"/>
        <w:jc w:val="left"/>
        <w:tblInd w:w="0" w:type="dxa"/>
        <w:tblLayout w:type="fixed"/>
        <w:tblCellMar>
          <w:top w:w="0" w:type="dxa"/>
          <w:left w:w="0" w:type="dxa"/>
          <w:bottom w:w="0" w:type="dxa"/>
          <w:right w:w="0" w:type="dxa"/>
        </w:tblCellMar>
      </w:tblPr>
      <w:tblGrid>
        <w:gridCol w:w="376"/>
        <w:gridCol w:w="1891"/>
      </w:tblGrid>
      <w:tr>
        <w:trPr/>
        <w:tc>
          <w:tcPr>
            <w:tcW w:w="376" w:type="dxa"/>
            <w:tcBorders/>
            <w:vAlign w:val="center"/>
          </w:tcPr>
          <w:p>
            <w:pPr>
              <w:pStyle w:val="TableContents"/>
              <w:bidi w:val="0"/>
              <w:spacing w:before="0" w:after="160"/>
              <w:jc w:val="both"/>
              <w:rPr>
                <w:rFonts w:ascii="Times New Roman;Times;serif" w:hAnsi="Times New Roman;Times;serif"/>
                <w:b/>
                <w:sz w:val="20"/>
              </w:rPr>
            </w:pPr>
            <w:r>
              <w:rPr>
                <w:rFonts w:ascii="Times New Roman;Times;serif" w:hAnsi="Times New Roman;Times;serif"/>
                <w:b/>
                <w:sz w:val="20"/>
              </w:rPr>
              <w:t>30.</w:t>
            </w:r>
          </w:p>
        </w:tc>
        <w:tc>
          <w:tcPr>
            <w:tcW w:w="1891" w:type="dxa"/>
            <w:tcBorders/>
            <w:vAlign w:val="center"/>
          </w:tcPr>
          <w:p>
            <w:pPr>
              <w:pStyle w:val="TableContents"/>
              <w:bidi w:val="0"/>
              <w:spacing w:before="0" w:after="160"/>
              <w:jc w:val="both"/>
              <w:rPr>
                <w:rFonts w:ascii="Times New Roman;Times;serif" w:hAnsi="Times New Roman;Times;serif"/>
                <w:b/>
                <w:sz w:val="20"/>
              </w:rPr>
            </w:pPr>
            <w:r>
              <w:rPr>
                <w:rFonts w:ascii="Times New Roman;Times;serif" w:hAnsi="Times New Roman;Times;serif"/>
                <w:b/>
                <w:sz w:val="20"/>
              </w:rPr>
              <w:t>Restricted Net Assets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Relevant PRC laws and regulations permit PRC companies to pay dividends only out of their retained earnings, if any, as determined in accordance with PRC accounting standards and regulations. Additionally, the Company’s PRC subsidiaries and the VIEs can only distribute dividends upon approval of the shareholders after they have met the PRC requirements for appropriation to the general reserve fund and the </w:t>
      </w:r>
      <w:r>
        <w:rPr>
          <w:rFonts w:ascii="Times New Roman;Times;serif" w:hAnsi="Times New Roman;Times;serif"/>
          <w:b w:val="false"/>
          <w:i w:val="false"/>
          <w:caps w:val="false"/>
          <w:smallCaps w:val="false"/>
          <w:sz w:val="20"/>
        </w:rPr>
        <w:t>statutory surplus fund</w:t>
      </w:r>
      <w:r>
        <w:rPr>
          <w:rFonts w:ascii="Times New Roman;Times;serif" w:hAnsi="Times New Roman;Times;serif"/>
          <w:sz w:val="20"/>
        </w:rPr>
        <w:t xml:space="preserve"> respectively. The general reserve fund and the statutory surplus fund require that annual appropriations of 10% of net after-tax income should be set aside prior to payment of any dividends. As a result of these and other restrictions under PRC laws and regulations, the PRC subsidiaries and the VIEs are restricted in their ability to transfer a portion of their net assets to the Company either in the form of dividends, loans or advances, which restricted portion amounted to approximately RMB13.8 billion, or 11% of the Company’s total consolidated net assets, as of December 31, 2023. Even though the Company currently does not require any such dividends, loans or advances from the PRC subsidiaries and the VIEs for working capital and other funding purposes, the Company may in the future require additional cash resources from its PRC subsidiaries and the VIEs due to changes in business conditions, to fund future acquisitions and developments, or merely declare and pay dividends to or distributions to the Company’s shareholders.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F-47</w:t>
      </w:r>
    </w:p>
    <w:p>
      <w:pPr>
        <w:pStyle w:val="TextBody"/>
        <w:bidi w:val="0"/>
        <w:spacing w:before="0" w:after="0"/>
        <w:ind w:left="0" w:right="0" w:hanging="0"/>
        <w:jc w:val="left"/>
        <w:rPr/>
      </w:pPr>
      <w:bookmarkStart w:id="2151" w:name="ntes-20231231xex2d4.htm"/>
      <w:bookmarkStart w:id="2152" w:name="ksntes20231231xex2d4"/>
      <w:bookmarkEnd w:id="2151"/>
      <w:bookmarkEnd w:id="2152"/>
      <w:r>
        <w:rPr/>
        <w:t>​</w:t>
      </w:r>
      <w:r>
        <w:br w:type="page"/>
      </w:r>
    </w:p>
    <w:p>
      <w:pPr>
        <w:pStyle w:val="TextBody"/>
        <w:bidi w:val="0"/>
        <w:spacing w:before="0" w:after="200"/>
        <w:ind w:left="0" w:right="0" w:hanging="0"/>
        <w:jc w:val="right"/>
        <w:rPr>
          <w:rFonts w:ascii="Times New Roman;Times;serif" w:hAnsi="Times New Roman;Times;serif"/>
          <w:b/>
          <w:sz w:val="20"/>
        </w:rPr>
      </w:pPr>
      <w:r>
        <w:rPr>
          <w:rFonts w:ascii="Times New Roman;Times;serif" w:hAnsi="Times New Roman;Times;serif"/>
          <w:b/>
          <w:sz w:val="20"/>
        </w:rPr>
        <w:t>Exhibit 2.4</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Description of Ordinary Shares</w:t>
      </w:r>
    </w:p>
    <w:p>
      <w:pPr>
        <w:pStyle w:val="TextBody"/>
        <w:bidi w:val="0"/>
        <w:spacing w:before="0" w:after="34"/>
        <w:ind w:left="0" w:right="0" w:firstLine="720"/>
        <w:jc w:val="left"/>
        <w:rPr>
          <w:rFonts w:ascii="Times New Roman;Times;serif" w:hAnsi="Times New Roman;Times;serif"/>
          <w:sz w:val="20"/>
        </w:rPr>
      </w:pPr>
      <w:r>
        <w:rPr>
          <w:rFonts w:ascii="Times New Roman;Times;serif" w:hAnsi="Times New Roman;Times;serif"/>
          <w:sz w:val="20"/>
        </w:rPr>
        <w:t>As of the end of the fiscal year covered by the annual report on Form 20-F (the “Annual Report”) of NetEase, Inc. (“we,” “us” or “our”) to which this description is attached or incorporated by reference as an exhibit, we registered the securities as set forth below, pursuant to Section 12 of the Securities Exchange Act of 1934, as amended:</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5819"/>
        <w:gridCol w:w="1394"/>
        <w:gridCol w:w="2992"/>
      </w:tblGrid>
      <w:tr>
        <w:trPr/>
        <w:tc>
          <w:tcPr>
            <w:tcW w:w="5819" w:type="dxa"/>
            <w:tcBorders/>
            <w:vAlign w:val="center"/>
          </w:tcPr>
          <w:p>
            <w:pPr>
              <w:pStyle w:val="TableContents"/>
              <w:bidi w:val="0"/>
              <w:spacing w:before="0" w:after="0"/>
              <w:ind w:left="0" w:right="0" w:hanging="0"/>
              <w:jc w:val="left"/>
              <w:rPr/>
            </w:pPr>
            <w:r>
              <w:rPr/>
              <w:t>​</w:t>
            </w:r>
          </w:p>
        </w:tc>
        <w:tc>
          <w:tcPr>
            <w:tcW w:w="1394" w:type="dxa"/>
            <w:tcBorders/>
            <w:vAlign w:val="center"/>
          </w:tcPr>
          <w:p>
            <w:pPr>
              <w:pStyle w:val="TableContents"/>
              <w:bidi w:val="0"/>
              <w:spacing w:before="0" w:after="0"/>
              <w:ind w:left="0" w:right="0" w:hanging="0"/>
              <w:jc w:val="left"/>
              <w:rPr/>
            </w:pPr>
            <w:r>
              <w:rPr/>
              <w:t>​</w:t>
            </w:r>
          </w:p>
        </w:tc>
        <w:tc>
          <w:tcPr>
            <w:tcW w:w="2992" w:type="dxa"/>
            <w:tcBorders/>
            <w:vAlign w:val="center"/>
          </w:tcPr>
          <w:p>
            <w:pPr>
              <w:pStyle w:val="TableContents"/>
              <w:bidi w:val="0"/>
              <w:spacing w:before="0" w:after="0"/>
              <w:ind w:left="0" w:right="0" w:hanging="0"/>
              <w:jc w:val="left"/>
              <w:rPr/>
            </w:pPr>
            <w:r>
              <w:rPr/>
              <w:t>​</w:t>
            </w:r>
          </w:p>
        </w:tc>
      </w:tr>
      <w:tr>
        <w:trPr/>
        <w:tc>
          <w:tcPr>
            <w:tcW w:w="581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1"/>
              </w:rPr>
            </w:pPr>
            <w:r>
              <w:rPr>
                <w:rFonts w:ascii="Times New Roman;Times;serif" w:hAnsi="Times New Roman;Times;serif"/>
                <w:sz w:val="21"/>
              </w:rPr>
              <w:t>Title of Each Class</w:t>
            </w:r>
          </w:p>
        </w:tc>
        <w:tc>
          <w:tcPr>
            <w:tcW w:w="139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1"/>
              </w:rPr>
            </w:pPr>
            <w:r>
              <w:rPr>
                <w:rFonts w:ascii="Times New Roman;Times;serif" w:hAnsi="Times New Roman;Times;serif"/>
                <w:sz w:val="21"/>
              </w:rPr>
              <w:t>Trading Symbol(s)</w:t>
            </w:r>
          </w:p>
        </w:tc>
        <w:tc>
          <w:tcPr>
            <w:tcW w:w="299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1"/>
              </w:rPr>
            </w:pPr>
            <w:r>
              <w:rPr>
                <w:rFonts w:ascii="Times New Roman;Times;serif" w:hAnsi="Times New Roman;Times;serif"/>
                <w:sz w:val="21"/>
              </w:rPr>
              <w:t>Name of Each Exchange On Which Registered</w:t>
            </w:r>
          </w:p>
        </w:tc>
      </w:tr>
      <w:tr>
        <w:trPr/>
        <w:tc>
          <w:tcPr>
            <w:tcW w:w="5819"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1"/>
              </w:rPr>
            </w:pPr>
            <w:r>
              <w:rPr>
                <w:rFonts w:ascii="Times New Roman;Times;serif" w:hAnsi="Times New Roman;Times;serif"/>
                <w:sz w:val="21"/>
              </w:rPr>
              <w:t>American Depositary Shares, each representing five ordinary shares, par value US$0.0001 per share</w:t>
            </w:r>
          </w:p>
        </w:tc>
        <w:tc>
          <w:tcPr>
            <w:tcW w:w="1394"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1"/>
              </w:rPr>
            </w:pPr>
            <w:r>
              <w:rPr>
                <w:rFonts w:ascii="Times New Roman;Times;serif" w:hAnsi="Times New Roman;Times;serif"/>
                <w:sz w:val="21"/>
              </w:rPr>
              <w:t>NTES</w:t>
            </w:r>
          </w:p>
        </w:tc>
        <w:tc>
          <w:tcPr>
            <w:tcW w:w="2992"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1"/>
              </w:rPr>
            </w:pPr>
            <w:r>
              <w:rPr>
                <w:rFonts w:ascii="Times New Roman;Times;serif" w:hAnsi="Times New Roman;Times;serif"/>
                <w:sz w:val="21"/>
              </w:rPr>
              <w:t>The Nasdaq Stock Market LLC</w:t>
              <w:br/>
              <w:t>(NASDAQ Global Select Market)</w:t>
            </w:r>
          </w:p>
        </w:tc>
      </w:tr>
      <w:tr>
        <w:trPr/>
        <w:tc>
          <w:tcPr>
            <w:tcW w:w="5819" w:type="dxa"/>
            <w:tcBorders/>
            <w:vAlign w:val="center"/>
          </w:tcPr>
          <w:p>
            <w:pPr>
              <w:pStyle w:val="TableContents"/>
              <w:bidi w:val="0"/>
              <w:spacing w:before="0" w:after="0"/>
              <w:ind w:left="0" w:right="0" w:hanging="0"/>
              <w:jc w:val="center"/>
              <w:rPr/>
            </w:pPr>
            <w:r>
              <w:rPr/>
              <w:t>​</w:t>
            </w:r>
            <w:r>
              <w:rPr>
                <w:rFonts w:ascii="Times New Roman;Times;serif" w:hAnsi="Times New Roman;Times;serif"/>
                <w:sz w:val="21"/>
              </w:rPr>
              <w:br/>
              <w:t>Ordinary shares, par value US$0.0001 per share*</w:t>
            </w:r>
          </w:p>
          <w:p>
            <w:pPr>
              <w:pStyle w:val="TableContents"/>
              <w:bidi w:val="0"/>
              <w:spacing w:before="0" w:after="0"/>
              <w:ind w:left="0" w:right="0" w:hanging="0"/>
              <w:jc w:val="center"/>
              <w:rPr/>
            </w:pPr>
            <w:r>
              <w:rPr/>
              <w:t>​</w:t>
            </w:r>
          </w:p>
        </w:tc>
        <w:tc>
          <w:tcPr>
            <w:tcW w:w="1394" w:type="dxa"/>
            <w:tcBorders/>
            <w:vAlign w:val="center"/>
          </w:tcPr>
          <w:p>
            <w:pPr>
              <w:pStyle w:val="TableContents"/>
              <w:bidi w:val="0"/>
              <w:spacing w:before="0" w:after="0"/>
              <w:ind w:left="0" w:right="0" w:hanging="0"/>
              <w:jc w:val="center"/>
              <w:rPr/>
            </w:pPr>
            <w:r>
              <w:rPr/>
              <w:t>​</w:t>
            </w:r>
          </w:p>
        </w:tc>
        <w:tc>
          <w:tcPr>
            <w:tcW w:w="2992" w:type="dxa"/>
            <w:tcBorders/>
            <w:vAlign w:val="center"/>
          </w:tcPr>
          <w:p>
            <w:pPr>
              <w:pStyle w:val="TableContents"/>
              <w:bidi w:val="0"/>
              <w:spacing w:before="0" w:after="0"/>
              <w:ind w:left="0" w:right="0" w:hanging="0"/>
              <w:jc w:val="center"/>
              <w:rPr/>
            </w:pPr>
            <w:r>
              <w:rPr/>
              <w:t>​</w:t>
            </w:r>
            <w:r>
              <w:rPr>
                <w:rFonts w:ascii="Times New Roman;Times;serif" w:hAnsi="Times New Roman;Times;serif"/>
                <w:sz w:val="21"/>
              </w:rPr>
              <w:br/>
              <w:t>NASDAQ Global Select Market*</w:t>
            </w:r>
          </w:p>
          <w:p>
            <w:pPr>
              <w:pStyle w:val="TableContents"/>
              <w:bidi w:val="0"/>
              <w:spacing w:before="0" w:after="0"/>
              <w:ind w:left="0" w:right="0" w:hanging="0"/>
              <w:jc w:val="center"/>
              <w:rPr/>
            </w:pPr>
            <w:r>
              <w:rPr/>
              <w:t>​</w:t>
            </w:r>
          </w:p>
        </w:tc>
      </w:tr>
      <w:tr>
        <w:trPr/>
        <w:tc>
          <w:tcPr>
            <w:tcW w:w="5819" w:type="dxa"/>
            <w:tcBorders/>
            <w:vAlign w:val="center"/>
          </w:tcPr>
          <w:p>
            <w:pPr>
              <w:pStyle w:val="TableContents"/>
              <w:bidi w:val="0"/>
              <w:spacing w:before="0" w:after="0"/>
              <w:ind w:left="0" w:right="0" w:hanging="0"/>
              <w:jc w:val="center"/>
              <w:rPr>
                <w:rFonts w:ascii="Times New Roman;Times;serif" w:hAnsi="Times New Roman;Times;serif"/>
                <w:sz w:val="21"/>
              </w:rPr>
            </w:pPr>
            <w:r>
              <w:rPr>
                <w:rFonts w:ascii="Times New Roman;Times;serif" w:hAnsi="Times New Roman;Times;serif"/>
                <w:sz w:val="21"/>
              </w:rPr>
              <w:t>Ordinary shares, par value US$0.0001 per share</w:t>
            </w:r>
          </w:p>
        </w:tc>
        <w:tc>
          <w:tcPr>
            <w:tcW w:w="1394" w:type="dxa"/>
            <w:tcBorders/>
            <w:vAlign w:val="center"/>
          </w:tcPr>
          <w:p>
            <w:pPr>
              <w:pStyle w:val="TableContents"/>
              <w:bidi w:val="0"/>
              <w:spacing w:before="0" w:after="0"/>
              <w:ind w:left="0" w:right="0" w:hanging="0"/>
              <w:jc w:val="center"/>
              <w:rPr>
                <w:rFonts w:ascii="Times New Roman;Times;serif" w:hAnsi="Times New Roman;Times;serif"/>
                <w:sz w:val="21"/>
              </w:rPr>
            </w:pPr>
            <w:r>
              <w:rPr>
                <w:rFonts w:ascii="Times New Roman;Times;serif" w:hAnsi="Times New Roman;Times;serif"/>
                <w:sz w:val="21"/>
              </w:rPr>
              <w:t>9999</w:t>
            </w:r>
          </w:p>
        </w:tc>
        <w:tc>
          <w:tcPr>
            <w:tcW w:w="2992" w:type="dxa"/>
            <w:tcBorders/>
            <w:vAlign w:val="center"/>
          </w:tcPr>
          <w:p>
            <w:pPr>
              <w:pStyle w:val="TableContents"/>
              <w:bidi w:val="0"/>
              <w:spacing w:before="0" w:after="0"/>
              <w:ind w:left="0" w:right="0" w:hanging="0"/>
              <w:jc w:val="center"/>
              <w:rPr>
                <w:rFonts w:ascii="Times New Roman;Times;serif" w:hAnsi="Times New Roman;Times;serif"/>
                <w:sz w:val="21"/>
              </w:rPr>
            </w:pPr>
            <w:r>
              <w:rPr>
                <w:rFonts w:ascii="Times New Roman;Times;serif" w:hAnsi="Times New Roman;Times;serif"/>
                <w:sz w:val="21"/>
              </w:rPr>
              <w:t>The Stock Exchange of Hong Kong Limited</w:t>
            </w:r>
          </w:p>
        </w:tc>
      </w:tr>
    </w:tbl>
    <w:p>
      <w:pPr>
        <w:pStyle w:val="TextBody"/>
        <w:bidi w:val="0"/>
        <w:spacing w:before="0" w:after="0"/>
        <w:ind w:left="0" w:right="0" w:hanging="0"/>
        <w:jc w:val="left"/>
        <w:rPr/>
      </w:pPr>
      <w:r>
        <w:rPr/>
        <w:t>​</w:t>
      </w:r>
    </w:p>
    <w:p>
      <w:pPr>
        <w:pStyle w:val="HorizontalLine"/>
        <w:pBdr>
          <w:bottom w:val="single" w:sz="6" w:space="0" w:color="000000"/>
        </w:pBdr>
        <w:bidi w:val="0"/>
        <w:spacing w:before="0" w:after="0"/>
        <w:ind w:left="0" w:right="7654" w:hanging="0"/>
        <w:jc w:val="left"/>
        <w:rPr/>
      </w:pPr>
      <w:r>
        <w:rPr/>
      </w:r>
    </w:p>
    <w:p>
      <w:pPr>
        <w:pStyle w:val="TextBody"/>
        <w:bidi w:val="0"/>
        <w:spacing w:before="0" w:after="240"/>
        <w:ind w:left="0" w:right="0" w:hanging="0"/>
        <w:jc w:val="both"/>
        <w:rPr>
          <w:rFonts w:ascii="Times New Roman;Times;serif" w:hAnsi="Times New Roman;Times;serif"/>
          <w:sz w:val="16"/>
        </w:rPr>
      </w:pPr>
      <w:r>
        <w:rPr>
          <w:rFonts w:ascii="Times New Roman;Times;serif" w:hAnsi="Times New Roman;Times;serif"/>
          <w:sz w:val="16"/>
        </w:rPr>
        <w:t>* Not for trading, but only in connection with the listing of American depositary shares on the NASDAQ Global Select Market.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As of the end of the fiscal year covered by the Annual Report, our share capital is US$100,030,000 divided into 1,000,300,000,000 shares of a nominal or par value of US$0.0001. As of the end of the fiscal year covered by the Annual Report, the number of ordinary shares issued and outstanding is given on the cover page of the Annual Report to which this description is attached or incorporated by reference as an exhibit.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following are summaries of material provisions of our currently effective memorandum and articles of association, which are not intended to be a complete summary of the rights and preferences of our ordinary shares, and the Cayman Islands Companies Act (As Revised), or the Companies Act, insofar as they relate to the material terms of our ordinary shares. This summary is subject to and qualified in its entirety by reference to our memorandum and articles of association, as amended and restated from time to time (“our memorandum and articles of association”). We urge you to refer to our currently effective memorandum and articles of association in its entirety for a complete description of the rights and preferences of our ordinary shares. A copy of our second amended and restated memorandum and articles of association adopted by special resolution passed on June 15, 2023 was filed as Exhibit 1.1 to our current report on Form 6-K (file no. 000-30666) furnished to the U.S. Securities and Exchange Commission on June 15, 2023).</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Rights, Preferences and Restrictions of Ordinary Shares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 xml:space="preserve">General. </w:t>
      </w:r>
      <w:r>
        <w:rPr>
          <w:rFonts w:ascii="Times New Roman;Times;serif" w:hAnsi="Times New Roman;Times;serif"/>
          <w:sz w:val="20"/>
        </w:rPr>
        <w:t>All of our issued and outstanding shares are fully paid and non-assessable. Shares are issued in registered form. Our shareholders who are non-residents of the Cayman Islands may freely hold and vote their shares.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Dividends.</w:t>
      </w:r>
      <w:r>
        <w:rPr>
          <w:rFonts w:ascii="Times New Roman;Times;serif" w:hAnsi="Times New Roman;Times;serif"/>
          <w:sz w:val="20"/>
        </w:rPr>
        <w:t xml:space="preserve"> The holders of shares are entitled to such dividends as may be declared by our board of directors. Under Cayman Islands law, dividends may be declared and paid only out of funds legally available therefor, namely out of either profit or our share premium account, and provided further that a dividend may not be paid if this would result in our company being, immediately following such payment, unable to pay its debts as they fall due in the ordinary course of business. Any dividend which cannot be paid to a shareholder and/or which remains unclaimed after six (6) months from the date of declaration of such dividend may, in the discretion of our directors, be invested or otherwise made use of by our board for the benefit of our company until claimed. Any dividend which remains unclaimed after a period of six years from the date of declaration of such dividend shall be forfeited and shall revert to our company.</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Voting Rights.</w:t>
      </w:r>
      <w:r>
        <w:rPr>
          <w:rFonts w:ascii="Times New Roman;Times;serif" w:hAnsi="Times New Roman;Times;serif"/>
          <w:sz w:val="20"/>
        </w:rPr>
        <w:t xml:space="preserve"> Each share is entitled to one vote on all matters upon which the shares are entitled to vote, including the election of directors. A resolution put to the vote of any general meeting shall be decided on the vote of the requisite majority pursuant to a poll of the shareholders. A quorum required for a meeting of shareholders consists of one or more member’s holding shares which carry, in aggregate, not less than one third of the votes attaching to all issued and outstanding shares and entitled to vote, present at the meeting.</w:t>
      </w:r>
    </w:p>
    <w:p>
      <w:pPr>
        <w:pStyle w:val="TextBody"/>
        <w:bidi w:val="0"/>
        <w:spacing w:before="0" w:after="160"/>
        <w:ind w:left="0" w:right="0" w:hanging="0"/>
        <w:jc w:val="left"/>
        <w:rPr/>
      </w:pPr>
      <w:r>
        <w:rPr/>
        <w:t>​</w:t>
      </w:r>
    </w:p>
    <w:p>
      <w:pPr>
        <w:pStyle w:val="TextBody"/>
        <w:bidi w:val="0"/>
        <w:spacing w:before="0" w:after="0"/>
        <w:ind w:left="0" w:right="0" w:hanging="0"/>
        <w:jc w:val="center"/>
        <w:rPr>
          <w:rFonts w:ascii="Times New Roman;Times;serif" w:hAnsi="Times New Roman;Times;serif"/>
          <w:caps/>
          <w:sz w:val="20"/>
        </w:rPr>
      </w:pPr>
      <w:r>
        <w:rPr>
          <w:rFonts w:ascii="Times New Roman;Times;serif" w:hAnsi="Times New Roman;Times;serif"/>
          <w:caps/>
          <w:sz w:val="20"/>
        </w:rPr>
        <w:t>1</w:t>
      </w:r>
    </w:p>
    <w:p>
      <w:pPr>
        <w:pStyle w:val="TextBody"/>
        <w:bidi w:val="0"/>
        <w:spacing w:before="48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Any ordinary resolution to be made by the shareholders requires the affirmative vote of a simple majority of the votes which are cast by those shareholders who, being entitled to do so, vote at the shareholders’ meeting, while a special resolution (a) in respect of (i) any amendment to our memorandum of association or articles of association, or (ii) the voluntary liquidation or winding up of our company, requires the affirmative vote of no less than three-fourths (3/4) of the votes which are cast by those shareholders who, being entitled to do so, vote at the shareholders’ meeting, or (b) in respect of any other matter that requires a special resolution (other than those specified in (a) above), requires the affirmative vote of no less than two-thirds (2/3) of the votes which are cast by those shareholders who, being entitled to do so, vote at the shareholders’ meeting. A special resolution is required for certain significant corporate actions, such as amending our memorandum of association or articles or association, changing our company’s name, approving a statutory merger, or commencing a voluntary winding up. Our shareholders may by ordinary resolution, among other things, appoint or remove directors, appoint auditors, and increase our share capital. Both ordinary resolutions and special resolutions may also be passed by a unanimous written resolution signed by all the shareholders of our company entitled to vote.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 xml:space="preserve">Liquidation. </w:t>
      </w:r>
      <w:r>
        <w:rPr>
          <w:rFonts w:ascii="Times New Roman;Times;serif" w:hAnsi="Times New Roman;Times;serif"/>
          <w:sz w:val="20"/>
        </w:rPr>
        <w:t>Upon the winding up of our company, if the assets available for distribution among the holders of our shares shall be more than sufficient to repay the whole of the capital paid up at the commencement of the winding up, the excess shall be distributed among the holders of the shares in proportion to the capital paid up at the commencement of the winding up on the shares held by them respectively. If the assets available for distribution are insufficient to repay all of the paid-up capital, the assets will be distributed so that the losses are borne by our shareholders in proportion to the capital paid up, or which ought to have been paid up, at the commencement of the winding up on the shares held by them respectively.</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 xml:space="preserve">Calls on Shares and Forfeiture of Shares. </w:t>
      </w:r>
      <w:r>
        <w:rPr>
          <w:rFonts w:ascii="Times New Roman;Times;serif" w:hAnsi="Times New Roman;Times;serif"/>
          <w:sz w:val="20"/>
        </w:rPr>
        <w:t>Our board of directors may from time to time make calls upon shareholders for any amounts unpaid on their shares in a notice served to such shareholders at least fourteen (14) days prior to the specified time or times of payment. The shares that have been called upon and remain unpaid are subject to forfeiture.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 xml:space="preserve">Redemption, Repurchase and Surrender of Shares. </w:t>
      </w:r>
      <w:r>
        <w:rPr>
          <w:rFonts w:ascii="Times New Roman;Times;serif" w:hAnsi="Times New Roman;Times;serif"/>
          <w:sz w:val="20"/>
        </w:rPr>
        <w:t>Subject to the provisions of the Companies Act, our memorandum and articles of association and, where applicable, the designated stock exchange rules and/or the rules of any competent governmental authority, we may issue shares on the terms that they are, or at our option or at the option of the holders are, subject to redemption on such terms and in such manner as may, before the issue of the shares, be determined by our board of directors or by a special resolution of our shareholders. Subject to the provisions of the Companies Act, our memorandum and articles of association and, where applicable, the designated stock exchange rules and/or the rules of any competent governmental authority, we may also repurchase any of our shares provided that the manner of such purchase has first been authorized by our board of directors or by our company in general meeting, provided that no repurchase may be made contrary to the terms or manner recommended by our directors. Under the Companies Act, the redemption or repurchase of any share may be paid out of our profits or out of the proceeds of a fresh issue of shares made for the purpose of such redemption or repurchase, or out of capital (including share premium account and capital redemption reserve) if we can, immediately following such payment, pay our debts as they fall due in the ordinary course of business. In addition, under the Companies Act no such share may be redeemed or repurchased (a) unless it is fully paid up, (b) if such redemption or repurchase would result in there being no shares outstanding, or (c) if we have commenced liquidation. In addition, we may accept the surrender of any fully paid share for no consideration.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Preemptive Rights</w:t>
      </w:r>
      <w:r>
        <w:rPr>
          <w:rFonts w:ascii="Times New Roman;Times;serif" w:hAnsi="Times New Roman;Times;serif"/>
          <w:sz w:val="20"/>
        </w:rPr>
        <w:t>. Holders of our ordinary shares do not have preemptive rights.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Variations of Rights of Shares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rights attached to any class of shares (unless otherwise provided by the terms of issue of the shares of that class) may only be varied either with the consent in writing of the holders of three-fourths of the voting rights of the issued shares of that class or with the sanction of a resolution passed at a separate general meeting by the holders of a majority of not less than three-fourths of the shares of that class present and voting at such a meeting.</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rights conferred upon the holders of the shares of any class issued with preferred or other rights shall not, unless otherwise expressly provided by the terms of issue of the shares of that class, be deemed to be varied by the creation or issue of further shares ranking equally with or in priority or subsequent to such existing class or the redemption or purchase of any shares of any class by our company. The rights of the holders of shares shall not be deemed to be varied or abrogated by the creation or issue of shares with preferred or other rights.</w:t>
      </w:r>
    </w:p>
    <w:p>
      <w:pPr>
        <w:pStyle w:val="TextBody"/>
        <w:bidi w:val="0"/>
        <w:spacing w:before="0" w:after="160"/>
        <w:ind w:left="0" w:right="0" w:hanging="0"/>
        <w:jc w:val="left"/>
        <w:rPr/>
      </w:pPr>
      <w:r>
        <w:rPr/>
        <w:t>​</w:t>
      </w:r>
    </w:p>
    <w:p>
      <w:pPr>
        <w:pStyle w:val="TextBody"/>
        <w:bidi w:val="0"/>
        <w:spacing w:before="0" w:after="0"/>
        <w:ind w:left="0" w:right="0" w:hanging="0"/>
        <w:jc w:val="center"/>
        <w:rPr>
          <w:rFonts w:ascii="Times New Roman;Times;serif" w:hAnsi="Times New Roman;Times;serif"/>
          <w:caps/>
          <w:sz w:val="20"/>
        </w:rPr>
      </w:pPr>
      <w:r>
        <w:rPr>
          <w:rFonts w:ascii="Times New Roman;Times;serif" w:hAnsi="Times New Roman;Times;serif"/>
          <w:caps/>
          <w:sz w:val="20"/>
        </w:rPr>
        <w:t>2</w:t>
      </w:r>
    </w:p>
    <w:p>
      <w:pPr>
        <w:pStyle w:val="TextBody"/>
        <w:bidi w:val="0"/>
        <w:spacing w:before="48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General Meetings of Shareholders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company is required, in each financial year, to hold a general meeting as its annual general meeting, to be held within six (6) months after the end of such financial year (or such other period as may be permitted by the designated stock exchange rules), to be held at such time and place as our directors shall determine.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directors may whenever they think fit, and they shall on the requisition of one or more our shareholders holding together, at the date of the deposit of the requisition, shares representing not less than 10% of the voting rights of our company which carry the right of voting at general meetings of our company, on a one vote per share basis in the share capital of our company, proceed to convene a general meeting of our company and add resolutions to the meeting agenda. If the directors do not within twenty-one (21) days from the date of the deposit of the requisition duly proceed to convene a general meeting, the requisitionists, or any of them representing more than one-half of the total voting rights of all of them, may themselves convene a general meeting, but any meeting so convened shall not be held after the expiration of three months after the expiration of such twenty-one (21) days. At least twenty-one (21) days’ notice in writing shall be given of an annual general meeting and at least fourteen (14) days’ notice in writing shall be given of any extraordinary general meeting.</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Limitations on the Right to Own Shares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There are no limitations on the right to own our shares.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Limitations on Transfer of Shares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Subject to our articles of association and the designated stock exchanges rules, any shareholder may transfer all or any of his shares by an instrument of transfer in the usual or common form or in a form prescribed by the designated stock exchanges or in any other form approved by our board and may be under hand or, if the transferor or transferee is a clearing house or a central depository house or its nominee(s), by hand or by machine imprinted signature or by such other manner of execution as our board may approve from time to time.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directors may (a) decline to register any transfer of shares where holders proposing or effecting the transfers of the shares are subject to binding written agreements or applicable laws which restrict the transfer of the shares held by such holders and such holders have not complied with the terms of such agreements or the restrictions have not been waived in accordance with their terms, or such applicable law, as the case may be; (b) in their absolute discretion decline to register any transfer of shares which is not fully paid up or on which our company has a lien; and (c) decline to register any transfer of any share unless certain requirements as specified in our memorandum and articles of association have been satisfied.</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Anti-Takeover Provisions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Some provisions of our memorandum and articles of association may have the effect of delaying, deferring or preventing a change of control of our company, including provisions that authorize our board of directors to issue preference shares in one or more series and to designate the rights (including, without limitation, voting, dividend and redemption rights), restrictions, preferences, privileges and payment obligations of such preference shares without any further vote or action by our shareholders, and provisions which limit the ability of our shareholders to requisition and convene general meetings of shareholders.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However, under Cayman Islands law, our directors may only exercise the rights and powers granted to them under our currently effective amended and restated memorandum and articles of association for a proper purpose and for what they believe in good faith to be in the best interests of our company.</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Disclosure of Shareholder Ownership</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There are no provisions in our memorandum or articles of association that require our company to disclose shareholder ownership above any particular ownership threshold.</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Changes in Capital</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may from time to time by ordinary resolution increase our share capital by such sum, to be divided into shares of such amount, as the resolution shall prescribe. The new shares shall be subject to the same provisions with reference to the payment of calls, lien, transfer, transmission, forfeiture and otherwise as the shares in the original share capital. We may by ordinary resolution:</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caps/>
          <w:sz w:val="20"/>
        </w:rPr>
      </w:pPr>
      <w:r>
        <w:rPr>
          <w:rFonts w:ascii="Times New Roman;Times;serif" w:hAnsi="Times New Roman;Times;serif"/>
          <w:caps/>
          <w:sz w:val="20"/>
        </w:rPr>
        <w:t>3</w:t>
      </w:r>
    </w:p>
    <w:p>
      <w:pPr>
        <w:pStyle w:val="TextBody"/>
        <w:bidi w:val="0"/>
        <w:spacing w:before="48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consolidate and divide all or any of our share capital into shares of larger amount than our existing shares;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sub-divide our existing shares, or any of them, into shares of smaller amount than is fixed by our memorandum of association or into shares without nominal or par value; and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cancel any shares which, at the date of the passing of the resolution, have not been taken or agreed to be taken by any person.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may by special resolution reduce our share capital and any capital redemption reserve fund in any manner authorized by the Companies Act.</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Differences in Corporate Law</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Companies Act of the Cayman Islands is modeled after that of the English companies’ legislation but does not follow recent English law statutory enactments and accordingly there are significant differences between the Companies Act of the Cayman Islands and the current Companies Act of England. In addition, the Companies Act of the Cayman Islands differs from laws applicable to U.S. corporations and their shareholders. Set forth below is a summary of the significant differences between the provisions of the Companies Act of the Cayman Islands applicable to us and the laws applicable to companies incorporated in the United States and their shareholders.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 xml:space="preserve">Mergers and Similar Arrangements. </w:t>
      </w:r>
      <w:r>
        <w:rPr>
          <w:rFonts w:ascii="Times New Roman;Times;serif" w:hAnsi="Times New Roman;Times;serif"/>
          <w:sz w:val="20"/>
        </w:rPr>
        <w:t>The Companies Act permits mergers and consolidations between 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(a “Plan”), which must then be authorized by each constituent company by way of (a) a special resolution of the shareholders of each such constituent company; and (b) such other authorization, if any, as may be specified in such constituent company’s articles of association. The consent of each holder of a fixed or floating security interest of a Cayman Islands constituent company must be obtained, unless the Grand Court of the Cayman Islands waives such requirement. The Plan must be filed with the Registrar of Companies together with, among other documents, a director’s declaration as to the solvency of the constituent company and of the consolidated or surviving company, a director’s declaration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Grand Court of the Cayman Islands) if they follow the required procedures set out in the Companies Act, subject to certain exceptions. Court approval is not required for a merger or consolidation which is effected in compliance with these statutory procedures.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Separate from the statutory provisions relating to mergers and consolidations, the Companies Act also contains statutory provisions that facilitate the reconstruction and amalgamation of companies by way of schemes of arrangement, provided that the arrangement in question is approved by (a) 75% in value of shareholders, or (b) a majority in number representing 75% in value of creditors, depending on the circumstances, that are present and voting either in person or by proxy at a meeting, or meetings convened for that purpose. The convening of the meetings and subsequently the arrangement must be sanctioned by the Grand Court of the Cayman Islands. While a dissenting shareholder would have the right to express to the court the view that the transaction ought not to be approved, the court can be expected to approve the arrangement if it satisfies itself that:</w:t>
      </w:r>
    </w:p>
    <w:p>
      <w:pPr>
        <w:pStyle w:val="TextBody"/>
        <w:bidi w:val="0"/>
        <w:spacing w:before="0" w:after="200"/>
        <w:ind w:left="0" w:right="0" w:hanging="0"/>
        <w:jc w:val="left"/>
        <w:rPr/>
      </w:pPr>
      <w:r>
        <w:rPr/>
        <w:t>●</w:t>
      </w:r>
      <w:r>
        <w:rPr>
          <w:rFonts w:ascii="Times New Roman;Times;serif" w:hAnsi="Times New Roman;Times;serif"/>
          <w:sz w:val="20"/>
        </w:rPr>
        <w:t>the statutory provisions as to required vote have been complied with;</w:t>
      </w:r>
    </w:p>
    <w:p>
      <w:pPr>
        <w:pStyle w:val="TextBody"/>
        <w:bidi w:val="0"/>
        <w:spacing w:before="0" w:after="200"/>
        <w:ind w:left="0" w:right="0" w:hanging="0"/>
        <w:jc w:val="left"/>
        <w:rPr/>
      </w:pPr>
      <w:r>
        <w:rPr/>
        <w:t>●</w:t>
      </w:r>
      <w:r>
        <w:rPr>
          <w:rFonts w:ascii="Times New Roman;Times;serif" w:hAnsi="Times New Roman;Times;serif"/>
          <w:sz w:val="20"/>
        </w:rPr>
        <w:t>the shareholders have been fairly represented at the meeting in question and the statutory majority are acting bona fide without coercion of the minority to promote interests adverse to those of the class;</w:t>
      </w:r>
    </w:p>
    <w:p>
      <w:pPr>
        <w:pStyle w:val="TextBody"/>
        <w:bidi w:val="0"/>
        <w:ind w:left="0" w:right="0" w:hanging="0"/>
        <w:jc w:val="left"/>
        <w:rPr/>
      </w:pPr>
      <w:r>
        <w:rPr/>
        <w:t>●</w:t>
      </w:r>
      <w:r>
        <w:rPr>
          <w:rFonts w:ascii="Times New Roman;Times;serif" w:hAnsi="Times New Roman;Times;serif"/>
          <w:sz w:val="20"/>
        </w:rPr>
        <w:t>the arrangement is such that may be reasonably approved by an intelligent and honest man of that class acting in respect of his interest; and</w:t>
      </w:r>
    </w:p>
    <w:p>
      <w:pPr>
        <w:pStyle w:val="TextBody"/>
        <w:bidi w:val="0"/>
        <w:spacing w:before="0" w:after="160"/>
        <w:ind w:left="0" w:right="0" w:hanging="0"/>
        <w:jc w:val="left"/>
        <w:rPr/>
      </w:pPr>
      <w:r>
        <w:rPr/>
        <w:t>​</w:t>
      </w:r>
    </w:p>
    <w:p>
      <w:pPr>
        <w:pStyle w:val="TextBody"/>
        <w:bidi w:val="0"/>
        <w:spacing w:before="0" w:after="0"/>
        <w:ind w:left="0" w:right="0" w:hanging="0"/>
        <w:jc w:val="center"/>
        <w:rPr>
          <w:rFonts w:ascii="Times New Roman;Times;serif" w:hAnsi="Times New Roman;Times;serif"/>
          <w:caps/>
          <w:sz w:val="20"/>
        </w:rPr>
      </w:pPr>
      <w:r>
        <w:rPr>
          <w:rFonts w:ascii="Times New Roman;Times;serif" w:hAnsi="Times New Roman;Times;serif"/>
          <w:caps/>
          <w:sz w:val="20"/>
        </w:rPr>
        <w:t>4</w:t>
      </w:r>
    </w:p>
    <w:p>
      <w:pPr>
        <w:pStyle w:val="TextBody"/>
        <w:bidi w:val="0"/>
        <w:spacing w:before="48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ind w:left="0" w:right="0" w:hanging="0"/>
        <w:jc w:val="left"/>
        <w:rPr/>
      </w:pPr>
      <w:r>
        <w:rPr/>
        <w:t>●</w:t>
      </w:r>
      <w:r>
        <w:rPr>
          <w:rFonts w:ascii="Times New Roman;Times;serif" w:hAnsi="Times New Roman;Times;serif"/>
          <w:sz w:val="20"/>
        </w:rPr>
        <w:t>the arrangement is not one that would more properly be sanctioned under some other provision of the Companies Act.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Companies Act contains a statutory power of compulsory acquisition which may facilitate the “squeeze out” of dissentient minority shareholders upon a tender offer. When a tender offer is made and accepted by holders of 90% of the affected shares within four months, the offeror may, within a two-month period after expiry of such four-month period, require the holders of the remaining shares to transfer such shares to the offeror on the terms of the offer. An objection can be made to the Grand Court of the Cayman Islands but this is unlikely to succeed unless there is evidence of fraud, bad faith or collusion.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If an arrangement and reconstruction by way of a scheme of arrangement is thus approved and sanctioned, or if a tender offer is made and accepted, in accordance with the foregoing statutory provisions, a dissenting shareholder would have no rights comparable to appraisal rights, which would otherwise ordinarily be available to dissenting shareholders of United States corporations, providing rights to receive payment in cash for the judicially determined value of the shares.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 xml:space="preserve">Shareholders’ Suits. </w:t>
      </w:r>
      <w:r>
        <w:rPr>
          <w:rFonts w:ascii="Times New Roman;Times;serif" w:hAnsi="Times New Roman;Times;serif"/>
          <w:sz w:val="20"/>
        </w:rPr>
        <w:t>In principle, we will normally be the proper plaintiff and as a general rule a derivative action may not be brought by a minority shareholder. However, based on English authorities, which would in all likelihood be of persuasive authority in the Cayman Islands, there are exceptions to the foregoing principle, including when: (a) a company acts or proposes to act illegally or ultra vires; (b) the act complained of, although not ultra vires, could only be effected duly if authorized by more than a simple majority vote that has not been obtained; and (c) those who control the company are perpetrating a “fraud on the minority.”</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 xml:space="preserve">Indemnification. </w:t>
      </w:r>
      <w:r>
        <w:rPr>
          <w:rFonts w:ascii="Times New Roman;Times;serif" w:hAnsi="Times New Roman;Times;serif"/>
          <w:sz w:val="20"/>
        </w:rPr>
        <w:t>Cayman Islands law does not (other than as set forth hereafter)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articles of association provide for indemnification of officers and directors for losses, damages, costs and expenses incurred in their capacities as such, except through their own willful neglect or default.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Insofar as indemnification or liability arising under the Securities Act of 1933 may be permitted to directors, officers or persons controlling the registrant pursuant to the foregoing provisions, we have been informed that in the opinion of the SEC such indemnification is against public policy as expressed in the Securities Act of 1933 and is therefore unenforceable.</w:t>
      </w:r>
    </w:p>
    <w:p>
      <w:pPr>
        <w:pStyle w:val="TextBody"/>
        <w:bidi w:val="0"/>
        <w:spacing w:before="0" w:after="0"/>
        <w:ind w:left="0" w:right="0" w:hanging="0"/>
        <w:jc w:val="center"/>
        <w:rPr>
          <w:rFonts w:ascii="Times New Roman;Times;serif" w:hAnsi="Times New Roman;Times;serif"/>
          <w:caps/>
          <w:sz w:val="20"/>
        </w:rPr>
      </w:pPr>
      <w:r>
        <w:rPr>
          <w:rFonts w:ascii="Times New Roman;Times;serif" w:hAnsi="Times New Roman;Times;serif"/>
          <w:caps/>
          <w:sz w:val="20"/>
        </w:rPr>
        <w:t>5</w:t>
      </w:r>
    </w:p>
    <w:p>
      <w:pPr>
        <w:pStyle w:val="TextBody"/>
        <w:bidi w:val="0"/>
        <w:spacing w:before="48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right"/>
        <w:rPr>
          <w:rFonts w:ascii="Times New Roman;Times;serif" w:hAnsi="Times New Roman;Times;serif"/>
          <w:b/>
          <w:sz w:val="20"/>
        </w:rPr>
      </w:pPr>
      <w:bookmarkStart w:id="2153" w:name="ntes-20231231xex2d5.htm"/>
      <w:bookmarkStart w:id="2154" w:name="ksntes20231231xex2d5"/>
      <w:bookmarkEnd w:id="2153"/>
      <w:bookmarkEnd w:id="2154"/>
      <w:r>
        <w:rPr>
          <w:rFonts w:ascii="Times New Roman;Times;serif" w:hAnsi="Times New Roman;Times;serif"/>
          <w:b/>
          <w:sz w:val="20"/>
        </w:rPr>
        <w:t>Exhibit 2.5</w:t>
      </w:r>
      <w:r>
        <w:br w:type="page"/>
      </w:r>
    </w:p>
    <w:p>
      <w:pPr>
        <w:pStyle w:val="TextBody"/>
        <w:bidi w:val="0"/>
        <w:spacing w:before="0" w:after="0"/>
        <w:ind w:left="0" w:right="0" w:firstLine="72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 of American Depositary Shares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Bank of New York Mellon acts as the depositary bank for our American depositary shares, or ADSs. Each ADS currently represents five ordinary shares and will also represent any other securities, cash or other property deposited with the depositary but not distributed to ADS holders. ADSs are normally represented by certificates that are commonly known as American depositary receipts, or ADRs. The depositary bank typically appoints a custodian to safekeep the securities on deposit. In this case, the custodian is the Hong Kong office of The Hongkong and Shanghai Banking Corporation Limited.</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depositary’s office at which the ADSs will be administered and its principal executive office are located at 240 Greenwich Street, New York, New York 10286.</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deposit agreement and the ADR specify our rights and obligations as well as the rights and obligations of owners of our ADSs and those of the depositary. You may hold ADSs either directly or indirectly through your broker or other financial institution. If you hold ADSs directly, you are an ADS holder. This description assumes you hold your ADSs directly.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an ADS holder, you appoint the depositary to act on your behalf in certain circumstances. Although the deposit agreement is governed by New York law, our obligations to the holders of our ordinary shares will continue to be governed by the laws of the Cayman Islands, which may be different from the laws in the United States.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You should read this summary together with the deposit agreement which has been filed with the Securities and Exchange Commission as exhibit 1 to our registration statement on Form F-6EF (File No. 333-115868) and the form of ADR.</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Deposit, Withdrawal and Cancellation</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depositary will only issue ADSs in whole numbers. Accordingly, any amount of ordinary shares which is not divisible into a whole number of ADS cannot be deposited for the issuance of ADSs.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depositary will deliver ADSs if you or your broker deposit ordinary shares or evidence of rights to receive ordinary shares with the custodian. The issuance of ADSs may be delayed until the depositary or the custodian receives confirmation that all required approvals have been given and that the number of ordinary shares have been duly transferred to the custodian. In addition, our deposit agreement provides that any ordinary shares deposited for inclusion in the ADS program should be accompanied by appropriate instruments of transfer or endorsement, in the form satisfactory to the custodian, together with any certifications as may be reasonably required by the depositary or the custodian. Ordinary shares cannot be deposited unless, upon deposit, the ordinary shares will be free of all transfer restrictions.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You may surrender your ADSs to the depositary for the purpose of withdrawal. Upon payment of its fees and expenses and of any taxes or charges, such as stamp taxes or stock transfer taxes or fees, the depositary will deliver the shares and any other deposited securities underlying the ADSs to the ADS holder or a person the ADS holder designates at the office of the custodian. Or, at your request, risk and expense, the depositary will deliver the deposited securities at its office, if feasible. However, the depositary is not required to accept surrender of ADSs to the extent it would require delivery of a fraction of a deposited share or other security. The depositary may charge you a fee and its expenses for instructing the custodian regarding delivery of deposited securities.</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Share Dividends and Other Distributions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depositary has agreed to pay to you the cash dividends or other distributions it or the custodian receives on shares or other deposited securities after deducting its fees and expenses. You will receive these distributions in proportion to the number of shares your ADSs represent.</w:t>
      </w:r>
    </w:p>
    <w:p>
      <w:pPr>
        <w:pStyle w:val="TextBody"/>
        <w:bidi w:val="0"/>
        <w:spacing w:before="0" w:after="0"/>
        <w:ind w:left="0" w:right="0" w:firstLine="720"/>
        <w:jc w:val="left"/>
        <w:rPr/>
      </w:pPr>
      <w:r>
        <w:rPr/>
        <w:t>​</w:t>
      </w:r>
    </w:p>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Cash</w:t>
      </w:r>
      <w:r>
        <w:rPr>
          <w:rFonts w:ascii="Times New Roman;Times;serif" w:hAnsi="Times New Roman;Times;serif"/>
          <w:sz w:val="20"/>
        </w:rPr>
        <w:t>. The depositary will promptly convert any cash dividend or other cash distribution we pay on the shares into U.S. dollars, if it can do so on a reasonable basis and can transfer the U.S. dollars to the United States. If such conversion or distribution can be effected only with the approval or license of any government or agency thereof, the depositary shall file such application for approval or license, if any. If such conversion is not possible on a reasonable basis or any approval or license of any government or agency is needed and cannot be obtained, the deposit agreement allows the depositary to distribute Renminbi only to those ADS holders to whom it is possible to do so. It will hold Renminbi it cannot convert for the account of the ADS holders who have not been paid. It will not invest Renminbi and it will not be liable for interest.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Before making a distribution, any withholding taxes that must be paid under United States law will be deducted. The depositary will distribute only whole U.S. dollars and cents and will round fractional cents to the nearest whole cent. If the exchange rates fluctuate during a time when the depositary cannot convert the Renminbi, you may lose some or all of the value of the distribution.</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Shares</w:t>
      </w:r>
      <w:r>
        <w:rPr>
          <w:rFonts w:ascii="Times New Roman;Times;serif" w:hAnsi="Times New Roman;Times;serif"/>
          <w:sz w:val="20"/>
        </w:rPr>
        <w:t>. The depositary may distribute new ADSs representing any shares we may distribute as a dividend or free distribution, if we furnish it promptly with satisfactory evidence that it is legal to do so. The depositary will only distribute whole ADSs. It will sell shares which would require it to issue a fractional ADS and distribute the net proceeds in the same way as it does with cash. If the depositary does not distribute additional ADSs, each ADS will also represent the new shares.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Rights to Receive Additional Shares</w:t>
      </w:r>
      <w:r>
        <w:rPr>
          <w:rFonts w:ascii="Times New Roman;Times;serif" w:hAnsi="Times New Roman;Times;serif"/>
          <w:sz w:val="20"/>
        </w:rPr>
        <w:t>. If we offer holders of our ordinary shares any rights to subscribe for additional shares or any other rights, the depositary may make these rights available to you. We must first instruct the depositary to do so and furnish it with satisfactory evidence that it is legal to do so. If we do not furnish this evidence and/or give these instructions, and the depositary decides it is practical to sell the rights, the depositary will sell the rights and distribute the proceeds, in the same way as it does with cash. The depositary may allow rights that are not distributed or sold to lapse. In that case, you will receive no value for them.</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If the depositary makes rights available to you, it will exercise the rights and purchase the shares on your behalf. The depositary will then deposit the shares and issue ADSs to you. It will only exercise rights if you pay it the exercise price and any other charges the rights require you to pay.</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U.S. securities laws may restrict the sale, deposit, cancellation and transfer of the ADSs issued after exercise of rights. For example, you may not be able to trade the ADSs freely in the United States. In this case, the depositary may issue the ADSs under a separate restricted deposit agreement which will contain the same provisions as the deposit agreement, except for the changes needed to put the restrictions in place.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Other Distributions</w:t>
      </w:r>
      <w:r>
        <w:rPr>
          <w:rFonts w:ascii="Times New Roman;Times;serif" w:hAnsi="Times New Roman;Times;serif"/>
          <w:sz w:val="20"/>
        </w:rPr>
        <w:t>. The depositary will send to you anything else we distribute on deposited securities by means it thinks are legal and practical. If it cannot make the distribution in that way, the depositary has a choice. It may decide to sell what we distributed and distribute the net proceeds in the same way as it does with cash or it may decide to hold what we distributed, in which case the ADSs will also represent the newly distributed property.</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depositary is not responsible if it decides that it is unlawful or impractical to make a distribution available to any ADS holders. We have no obligation to register ADSs, shares, rights or other securities under the Securities Act of 1933. We also have no obligation to take any other action to permit the distribution of ADSs, shares, rights, or anything else to ADS holders. This means that you may not receive the distribution we make on our shares or any value for them if it is illegal or impractical for us to make them available to you.</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Voting Rights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You may instruct the depositary to vote the shares underlying your ADSs but only if we ask the depositary to ask for your instructions. Otherwise, you will not be able to exercise your right to vote unless you withdraw the shares. However, you may not know about the meeting enough in advance to withdraw the shares.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If we ask for your instructions, the depositary will notify you of the upcoming vote and arrange to deliver our voting materials to you. The materials will:</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(1) describe the matters to be voted on; and</w:t>
      </w:r>
    </w:p>
    <w:p>
      <w:pPr>
        <w:pStyle w:val="TextBody"/>
        <w:bidi w:val="0"/>
        <w:spacing w:before="0" w:after="0"/>
        <w:ind w:left="0" w:right="0" w:firstLine="720"/>
        <w:jc w:val="left"/>
        <w:rPr/>
      </w:pPr>
      <w:r>
        <w:rPr/>
        <w:t>​</w:t>
      </w:r>
    </w:p>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(2) explain how you, on a specified date, may instruct the depositary to vote the shares or other deposited securities underlying your ADSs as you direct. For instructions to be valid, the depositary must receive them on or before the date specified. The depositary will try, in compliance with Cayman Islands law or Hong Kong law and the provisions of our memorandum and articles of association, to vote or to have its agents vote the shares or other deposited securities as you instruct. The depositary will only vote or attempt to vote as you instruct.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If the depositary does not receive voting instructions from you by the specified date, it will consider you to have authorized us to vote the number of deposited securities represented by your ADSs. The depositary will give us a discretionary proxy in those circumstances to vote on all questions to be voted upon unless we notify the depositary that: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(1) we do not wish to receive a discretionary proxy;</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(2) we think there is substantial shareholder opposition to the particular question; or</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(3) we think the particular question would have a material adverse impact on our shareholders.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cannot assure you that you will receive the voting materials in time to ensure that you can instruct the depositary to vote your shares. In addition, the depositary and its agents are not responsible for failing to carry out voting instructions or for the manner of carrying out voting instructions. This means that you may not be able to exercise your right to vote and there may be nothing you can do if your shares are not voted as you requested.</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Fees and Expenses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depositary collects its fees for delivery and surrender of ADSs directly from investors depositing ordinary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refuse to provide fee-attracting services until its fees for those services are paid.</w:t>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5077"/>
        <w:gridCol w:w="326"/>
        <w:gridCol w:w="4802"/>
      </w:tblGrid>
      <w:tr>
        <w:trPr/>
        <w:tc>
          <w:tcPr>
            <w:tcW w:w="50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3223895" cy="175260"/>
                      <wp:effectExtent l="0" t="0" r="0" b="0"/>
                      <wp:wrapNone/>
                      <wp:docPr id="594" name="Frame593"/>
                      <a:graphic xmlns:a="http://schemas.openxmlformats.org/drawingml/2006/main">
                        <a:graphicData uri="http://schemas.microsoft.com/office/word/2010/wordprocessingShape">
                          <wps:wsp>
                            <wps:cNvSpPr txBox="1"/>
                            <wps:spPr>
                              <a:xfrm>
                                <a:off x="0" y="0"/>
                                <a:ext cx="3223895" cy="175260"/>
                              </a:xfrm>
                              <a:prstGeom prst="rect"/>
                              <a:solidFill>
                                <a:srgbClr val="FFFFFF"/>
                              </a:solidFill>
                            </wps:spPr>
                            <wps:txbx>
                              <w:txbxContent>
                                <w:p>
                                  <w:pPr>
                                    <w:pStyle w:val="TableContents"/>
                                    <w:bidi w:val="0"/>
                                    <w:spacing w:before="0" w:after="0"/>
                                    <w:ind w:left="0" w:right="0" w:hanging="0"/>
                                    <w:jc w:val="left"/>
                                    <w:rPr/>
                                  </w:pPr>
                                  <w:r>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   </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48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3049270" cy="175260"/>
                      <wp:effectExtent l="0" t="0" r="0" b="0"/>
                      <wp:wrapNone/>
                      <wp:docPr id="595" name="Frame594"/>
                      <a:graphic xmlns:a="http://schemas.openxmlformats.org/drawingml/2006/main">
                        <a:graphicData uri="http://schemas.microsoft.com/office/word/2010/wordprocessingShape">
                          <wps:wsp>
                            <wps:cNvSpPr txBox="1"/>
                            <wps:spPr>
                              <a:xfrm>
                                <a:off x="0" y="0"/>
                                <a:ext cx="3049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7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Persons depositing or withdrawing shares or ADS holders must pay:</w:t>
            </w:r>
          </w:p>
        </w:tc>
        <w:tc>
          <w:tcPr>
            <w:tcW w:w="326" w:type="dxa"/>
            <w:tcBorders/>
            <w:vAlign w:val="center"/>
          </w:tcPr>
          <w:p>
            <w:pPr>
              <w:pStyle w:val="TableContents"/>
              <w:pBdr/>
              <w:bidi w:val="0"/>
              <w:spacing w:before="0" w:after="0"/>
              <w:ind w:left="0" w:right="0" w:hanging="0"/>
              <w:jc w:val="center"/>
              <w:rPr/>
            </w:pPr>
            <w:r>
              <w:rPr/>
              <w:t>    </w:t>
            </w:r>
          </w:p>
        </w:tc>
        <w:tc>
          <w:tcPr>
            <w:tcW w:w="4802" w:type="dxa"/>
            <w:tcBorders>
              <w:bottom w:val="single" w:sz="2"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w:t>
            </w:r>
          </w:p>
        </w:tc>
      </w:tr>
      <w:tr>
        <w:trPr/>
        <w:tc>
          <w:tcPr>
            <w:tcW w:w="5077"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pBdr/>
              <w:bidi w:val="0"/>
              <w:spacing w:before="0" w:after="0"/>
              <w:ind w:left="0" w:right="0" w:hanging="0"/>
              <w:jc w:val="center"/>
              <w:rPr/>
            </w:pPr>
            <w:r>
              <w:rPr/>
              <w:t>​</w:t>
            </w:r>
          </w:p>
        </w:tc>
        <w:tc>
          <w:tcPr>
            <w:tcW w:w="4802" w:type="dxa"/>
            <w:tcBorders>
              <w:top w:val="single" w:sz="2" w:space="0" w:color="000000"/>
            </w:tcBorders>
            <w:tcMar>
              <w:top w:w="28" w:type="dxa"/>
            </w:tcMar>
            <w:vAlign w:val="center"/>
          </w:tcPr>
          <w:p>
            <w:pPr>
              <w:pStyle w:val="TableContents"/>
              <w:pBdr/>
              <w:bidi w:val="0"/>
              <w:spacing w:before="0" w:after="0"/>
              <w:ind w:left="0" w:right="0" w:hanging="0"/>
              <w:jc w:val="center"/>
              <w:rPr/>
            </w:pPr>
            <w:r>
              <w:rPr/>
              <w:t>​</w:t>
            </w:r>
          </w:p>
        </w:tc>
      </w:tr>
      <w:tr>
        <w:trPr/>
        <w:tc>
          <w:tcPr>
            <w:tcW w:w="5077"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US$5.00 or less per 100 ADSs (or portion of 100 ADSs)</w:t>
            </w:r>
          </w:p>
        </w:tc>
        <w:tc>
          <w:tcPr>
            <w:tcW w:w="326" w:type="dxa"/>
            <w:tcBorders/>
            <w:vAlign w:val="center"/>
          </w:tcPr>
          <w:p>
            <w:pPr>
              <w:pStyle w:val="TableContents"/>
              <w:pBdr/>
              <w:bidi w:val="0"/>
              <w:spacing w:before="0" w:after="120"/>
              <w:ind w:left="0" w:right="0" w:hanging="0"/>
              <w:jc w:val="left"/>
              <w:rPr/>
            </w:pPr>
            <w:r>
              <w:rPr/>
              <w:t>​</w:t>
            </w:r>
          </w:p>
        </w:tc>
        <w:tc>
          <w:tcPr>
            <w:tcW w:w="4802" w:type="dxa"/>
            <w:tcBorders/>
            <w:vAlign w:val="center"/>
          </w:tcPr>
          <w:p>
            <w:pPr>
              <w:pStyle w:val="TableContents"/>
              <w:bidi w:val="0"/>
              <w:spacing w:before="0" w:after="120"/>
              <w:jc w:val="left"/>
              <w:rPr>
                <w:rFonts w:ascii="Symbol" w:hAnsi="Symbol"/>
                <w:sz w:val="20"/>
              </w:rPr>
            </w:pPr>
            <w:r>
              <w:rPr>
                <w:rFonts w:ascii="Symbol" w:hAnsi="Symbol"/>
                <w:sz w:val="20"/>
              </w:rPr>
              <w:t>·</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Issuance of ADSs, including issuances resulting from a distribution of ordinary shares or rights or other property</w:t>
            </w:r>
          </w:p>
        </w:tc>
      </w:tr>
      <w:tr>
        <w:trPr/>
        <w:tc>
          <w:tcPr>
            <w:tcW w:w="5077" w:type="dxa"/>
            <w:tcBorders/>
            <w:vAlign w:val="center"/>
          </w:tcPr>
          <w:p>
            <w:pPr>
              <w:pStyle w:val="TableContents"/>
              <w:bidi w:val="0"/>
              <w:spacing w:before="0" w:after="120"/>
              <w:ind w:left="0" w:right="0" w:hanging="0"/>
              <w:jc w:val="left"/>
              <w:rPr/>
            </w:pPr>
            <w:r>
              <w:rPr/>
              <w:t>​</w:t>
            </w:r>
          </w:p>
        </w:tc>
        <w:tc>
          <w:tcPr>
            <w:tcW w:w="326" w:type="dxa"/>
            <w:tcBorders/>
            <w:vAlign w:val="center"/>
          </w:tcPr>
          <w:p>
            <w:pPr>
              <w:pStyle w:val="TableContents"/>
              <w:pBdr/>
              <w:bidi w:val="0"/>
              <w:spacing w:before="0" w:after="120"/>
              <w:ind w:left="0" w:right="0" w:hanging="0"/>
              <w:jc w:val="left"/>
              <w:rPr/>
            </w:pPr>
            <w:r>
              <w:rPr/>
              <w:t>​</w:t>
            </w:r>
          </w:p>
        </w:tc>
        <w:tc>
          <w:tcPr>
            <w:tcW w:w="4802" w:type="dxa"/>
            <w:tcBorders/>
            <w:vAlign w:val="center"/>
          </w:tcPr>
          <w:p>
            <w:pPr>
              <w:pStyle w:val="TableContents"/>
              <w:bidi w:val="0"/>
              <w:spacing w:before="0" w:after="120"/>
              <w:jc w:val="left"/>
              <w:rPr>
                <w:rFonts w:ascii="Symbol" w:hAnsi="Symbol"/>
                <w:sz w:val="20"/>
              </w:rPr>
            </w:pPr>
            <w:r>
              <w:rPr>
                <w:rFonts w:ascii="Symbol" w:hAnsi="Symbol"/>
                <w:sz w:val="20"/>
              </w:rPr>
              <w:t>·</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Cancellation of ADSs for the purpose of withdrawal, including if the deposit agreement terminates</w:t>
            </w:r>
          </w:p>
        </w:tc>
      </w:tr>
      <w:tr>
        <w:trPr/>
        <w:tc>
          <w:tcPr>
            <w:tcW w:w="5077"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US$0.02 or less per ADS (or portion thereof)</w:t>
            </w:r>
          </w:p>
        </w:tc>
        <w:tc>
          <w:tcPr>
            <w:tcW w:w="326" w:type="dxa"/>
            <w:tcBorders/>
            <w:vAlign w:val="center"/>
          </w:tcPr>
          <w:p>
            <w:pPr>
              <w:pStyle w:val="TableContents"/>
              <w:pBdr/>
              <w:bidi w:val="0"/>
              <w:spacing w:before="0" w:after="120"/>
              <w:ind w:left="0" w:right="0" w:hanging="0"/>
              <w:jc w:val="left"/>
              <w:rPr/>
            </w:pPr>
            <w:r>
              <w:rPr/>
              <w:t>​</w:t>
            </w:r>
          </w:p>
        </w:tc>
        <w:tc>
          <w:tcPr>
            <w:tcW w:w="4802" w:type="dxa"/>
            <w:tcBorders/>
            <w:vAlign w:val="center"/>
          </w:tcPr>
          <w:p>
            <w:pPr>
              <w:pStyle w:val="TableContents"/>
              <w:bidi w:val="0"/>
              <w:spacing w:before="0" w:after="120"/>
              <w:jc w:val="left"/>
              <w:rPr>
                <w:rFonts w:ascii="Symbol" w:hAnsi="Symbol"/>
                <w:sz w:val="20"/>
              </w:rPr>
            </w:pPr>
            <w:r>
              <w:rPr>
                <w:rFonts w:ascii="Symbol" w:hAnsi="Symbol"/>
                <w:sz w:val="20"/>
              </w:rPr>
              <w:t>·</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Cash dividend or any cash distribution to ADS holders</w:t>
            </w:r>
          </w:p>
        </w:tc>
      </w:tr>
      <w:tr>
        <w:trPr/>
        <w:tc>
          <w:tcPr>
            <w:tcW w:w="5077"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A fee equivalent to the fee that would be payable if securities distributed to you had been shares and the shares had been deposited for issuance of ADSs</w:t>
            </w:r>
          </w:p>
        </w:tc>
        <w:tc>
          <w:tcPr>
            <w:tcW w:w="326" w:type="dxa"/>
            <w:tcBorders/>
            <w:vAlign w:val="center"/>
          </w:tcPr>
          <w:p>
            <w:pPr>
              <w:pStyle w:val="TableContents"/>
              <w:pBdr/>
              <w:bidi w:val="0"/>
              <w:spacing w:before="0" w:after="120"/>
              <w:ind w:left="0" w:right="0" w:hanging="0"/>
              <w:jc w:val="left"/>
              <w:rPr/>
            </w:pPr>
            <w:r>
              <w:rPr/>
              <w:t>​</w:t>
            </w:r>
          </w:p>
        </w:tc>
        <w:tc>
          <w:tcPr>
            <w:tcW w:w="4802" w:type="dxa"/>
            <w:tcBorders/>
            <w:vAlign w:val="center"/>
          </w:tcPr>
          <w:p>
            <w:pPr>
              <w:pStyle w:val="TableContents"/>
              <w:bidi w:val="0"/>
              <w:spacing w:before="0" w:after="120"/>
              <w:jc w:val="left"/>
              <w:rPr>
                <w:rFonts w:ascii="Symbol" w:hAnsi="Symbol"/>
                <w:sz w:val="20"/>
              </w:rPr>
            </w:pPr>
            <w:r>
              <w:rPr>
                <w:rFonts w:ascii="Symbol" w:hAnsi="Symbol"/>
                <w:sz w:val="20"/>
              </w:rPr>
              <w:t>·</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Distribution of securities distributed to holders of deposited securities (including rights) that are distributed by the depositary to ADS holders</w:t>
            </w:r>
          </w:p>
        </w:tc>
      </w:tr>
      <w:tr>
        <w:trPr/>
        <w:tc>
          <w:tcPr>
            <w:tcW w:w="5077"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US$1.50 or less per certificate presented for transfer</w:t>
            </w:r>
          </w:p>
        </w:tc>
        <w:tc>
          <w:tcPr>
            <w:tcW w:w="326" w:type="dxa"/>
            <w:tcBorders/>
            <w:vAlign w:val="center"/>
          </w:tcPr>
          <w:p>
            <w:pPr>
              <w:pStyle w:val="TableContents"/>
              <w:pBdr/>
              <w:bidi w:val="0"/>
              <w:spacing w:before="0" w:after="120"/>
              <w:ind w:left="0" w:right="0" w:hanging="0"/>
              <w:jc w:val="left"/>
              <w:rPr/>
            </w:pPr>
            <w:r>
              <w:rPr/>
              <w:t>​</w:t>
            </w:r>
          </w:p>
        </w:tc>
        <w:tc>
          <w:tcPr>
            <w:tcW w:w="4802" w:type="dxa"/>
            <w:tcBorders/>
            <w:vAlign w:val="center"/>
          </w:tcPr>
          <w:p>
            <w:pPr>
              <w:pStyle w:val="TableContents"/>
              <w:bidi w:val="0"/>
              <w:spacing w:before="0" w:after="120"/>
              <w:jc w:val="left"/>
              <w:rPr>
                <w:rFonts w:ascii="Symbol" w:hAnsi="Symbol"/>
                <w:sz w:val="20"/>
              </w:rPr>
            </w:pPr>
            <w:r>
              <w:rPr>
                <w:rFonts w:ascii="Symbol" w:hAnsi="Symbol"/>
                <w:sz w:val="20"/>
              </w:rPr>
              <w:t>·</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Transfer of American depositary receipts, or ADRs</w:t>
            </w:r>
          </w:p>
        </w:tc>
      </w:tr>
      <w:tr>
        <w:trPr/>
        <w:tc>
          <w:tcPr>
            <w:tcW w:w="5077"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Registration or transfer fees</w:t>
            </w:r>
          </w:p>
        </w:tc>
        <w:tc>
          <w:tcPr>
            <w:tcW w:w="326" w:type="dxa"/>
            <w:tcBorders/>
            <w:vAlign w:val="center"/>
          </w:tcPr>
          <w:p>
            <w:pPr>
              <w:pStyle w:val="TableContents"/>
              <w:pBdr/>
              <w:bidi w:val="0"/>
              <w:spacing w:before="0" w:after="120"/>
              <w:ind w:left="0" w:right="0" w:hanging="0"/>
              <w:jc w:val="left"/>
              <w:rPr/>
            </w:pPr>
            <w:r>
              <w:rPr/>
              <w:t>​</w:t>
            </w:r>
          </w:p>
        </w:tc>
        <w:tc>
          <w:tcPr>
            <w:tcW w:w="4802" w:type="dxa"/>
            <w:tcBorders/>
            <w:vAlign w:val="center"/>
          </w:tcPr>
          <w:p>
            <w:pPr>
              <w:pStyle w:val="TableContents"/>
              <w:bidi w:val="0"/>
              <w:spacing w:before="0" w:after="120"/>
              <w:jc w:val="left"/>
              <w:rPr>
                <w:rFonts w:ascii="Symbol" w:hAnsi="Symbol"/>
                <w:sz w:val="20"/>
              </w:rPr>
            </w:pPr>
            <w:r>
              <w:rPr>
                <w:rFonts w:ascii="Symbol" w:hAnsi="Symbol"/>
                <w:sz w:val="20"/>
              </w:rPr>
              <w:t>·</w:t>
            </w:r>
          </w:p>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Transfer and registration of shares on our share register to or from the name of the depositary or its agent when you deposit or withdraw shares</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027"/>
        <w:gridCol w:w="326"/>
        <w:gridCol w:w="3852"/>
      </w:tblGrid>
      <w:tr>
        <w:trPr/>
        <w:tc>
          <w:tcPr>
            <w:tcW w:w="6027"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3852" w:type="dxa"/>
            <w:tcBorders/>
            <w:vAlign w:val="center"/>
          </w:tcPr>
          <w:p>
            <w:pPr>
              <w:pStyle w:val="TableContents"/>
              <w:bidi w:val="0"/>
              <w:spacing w:before="0" w:after="0"/>
              <w:ind w:left="0" w:right="0" w:hanging="0"/>
              <w:jc w:val="left"/>
              <w:rPr/>
            </w:pPr>
            <w:r>
              <w:rPr/>
              <w:t>​</w:t>
            </w:r>
          </w:p>
        </w:tc>
      </w:tr>
      <w:tr>
        <w:trPr/>
        <w:tc>
          <w:tcPr>
            <w:tcW w:w="6027"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Expenses of the depositary</w:t>
            </w:r>
          </w:p>
        </w:tc>
        <w:tc>
          <w:tcPr>
            <w:tcW w:w="326" w:type="dxa"/>
            <w:tcBorders/>
            <w:vAlign w:val="center"/>
          </w:tcPr>
          <w:p>
            <w:pPr>
              <w:pStyle w:val="TableContents"/>
              <w:pBdr/>
              <w:bidi w:val="0"/>
              <w:spacing w:before="0" w:after="120"/>
              <w:ind w:left="0" w:right="0" w:hanging="0"/>
              <w:jc w:val="left"/>
              <w:rPr/>
            </w:pPr>
            <w:r>
              <w:rPr/>
              <w:t>    </w:t>
            </w:r>
          </w:p>
        </w:tc>
        <w:tc>
          <w:tcPr>
            <w:tcW w:w="3852" w:type="dxa"/>
            <w:tcBorders/>
            <w:vAlign w:val="center"/>
          </w:tcPr>
          <w:p>
            <w:pPr>
              <w:pStyle w:val="TableContents"/>
              <w:bidi w:val="0"/>
              <w:spacing w:before="0" w:after="120"/>
              <w:jc w:val="left"/>
              <w:rPr>
                <w:rFonts w:ascii="Symbol" w:hAnsi="Symbol"/>
                <w:sz w:val="20"/>
              </w:rPr>
            </w:pPr>
            <w:r>
              <w:rPr>
                <w:rFonts w:ascii="Symbol" w:hAnsi="Symbol"/>
                <w:sz w:val="20"/>
              </w:rPr>
              <w:t>·</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Cable (including SWIFT) and facsimile transmissions (when expressly provided in the deposit agreement)</w:t>
            </w:r>
          </w:p>
        </w:tc>
      </w:tr>
      <w:tr>
        <w:trPr/>
        <w:tc>
          <w:tcPr>
            <w:tcW w:w="6027" w:type="dxa"/>
            <w:tcBorders/>
            <w:vAlign w:val="center"/>
          </w:tcPr>
          <w:p>
            <w:pPr>
              <w:pStyle w:val="TableContents"/>
              <w:bidi w:val="0"/>
              <w:spacing w:before="0" w:after="120"/>
              <w:ind w:left="0" w:right="0" w:hanging="0"/>
              <w:jc w:val="left"/>
              <w:rPr/>
            </w:pPr>
            <w:r>
              <w:rPr/>
              <w:t>​</w:t>
            </w:r>
          </w:p>
        </w:tc>
        <w:tc>
          <w:tcPr>
            <w:tcW w:w="326" w:type="dxa"/>
            <w:tcBorders/>
            <w:vAlign w:val="center"/>
          </w:tcPr>
          <w:p>
            <w:pPr>
              <w:pStyle w:val="TableContents"/>
              <w:pBdr/>
              <w:bidi w:val="0"/>
              <w:spacing w:before="0" w:after="120"/>
              <w:ind w:left="0" w:right="0" w:hanging="0"/>
              <w:jc w:val="left"/>
              <w:rPr/>
            </w:pPr>
            <w:r>
              <w:rPr/>
              <w:t>​</w:t>
            </w:r>
          </w:p>
        </w:tc>
        <w:tc>
          <w:tcPr>
            <w:tcW w:w="3852" w:type="dxa"/>
            <w:tcBorders/>
            <w:vAlign w:val="center"/>
          </w:tcPr>
          <w:p>
            <w:pPr>
              <w:pStyle w:val="TableContents"/>
              <w:bidi w:val="0"/>
              <w:spacing w:before="0" w:after="120"/>
              <w:jc w:val="left"/>
              <w:rPr>
                <w:rFonts w:ascii="Symbol" w:hAnsi="Symbol"/>
                <w:sz w:val="20"/>
              </w:rPr>
            </w:pPr>
            <w:r>
              <w:rPr>
                <w:rFonts w:ascii="Symbol" w:hAnsi="Symbol"/>
                <w:sz w:val="20"/>
              </w:rPr>
              <w:t>·</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Converting foreign currency to U.S. dollars</w:t>
            </w:r>
          </w:p>
        </w:tc>
      </w:tr>
      <w:tr>
        <w:trPr/>
        <w:tc>
          <w:tcPr>
            <w:tcW w:w="6027"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Taxes and other governmental charges the depositary or the custodian has to pay on any ADSs or shares underlying ADSs, such as stock transfer taxes, stamp duty or withholding taxes</w:t>
            </w:r>
          </w:p>
        </w:tc>
        <w:tc>
          <w:tcPr>
            <w:tcW w:w="326" w:type="dxa"/>
            <w:tcBorders/>
            <w:vAlign w:val="center"/>
          </w:tcPr>
          <w:p>
            <w:pPr>
              <w:pStyle w:val="TableContents"/>
              <w:pBdr/>
              <w:bidi w:val="0"/>
              <w:spacing w:before="0" w:after="120"/>
              <w:ind w:left="0" w:right="0" w:hanging="0"/>
              <w:jc w:val="left"/>
              <w:rPr/>
            </w:pPr>
            <w:r>
              <w:rPr/>
              <w:t>​</w:t>
            </w:r>
          </w:p>
        </w:tc>
        <w:tc>
          <w:tcPr>
            <w:tcW w:w="3852" w:type="dxa"/>
            <w:tcBorders/>
            <w:vAlign w:val="center"/>
          </w:tcPr>
          <w:p>
            <w:pPr>
              <w:pStyle w:val="TableContents"/>
              <w:bidi w:val="0"/>
              <w:spacing w:before="0" w:after="120"/>
              <w:jc w:val="left"/>
              <w:rPr>
                <w:rFonts w:ascii="Symbol" w:hAnsi="Symbol"/>
                <w:sz w:val="20"/>
              </w:rPr>
            </w:pPr>
            <w:r>
              <w:rPr>
                <w:rFonts w:ascii="Symbol" w:hAnsi="Symbol"/>
                <w:sz w:val="20"/>
              </w:rPr>
              <w:t>·</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As necessary</w:t>
            </w:r>
          </w:p>
        </w:tc>
      </w:tr>
      <w:tr>
        <w:trPr/>
        <w:tc>
          <w:tcPr>
            <w:tcW w:w="6027"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Any charges incurred by the depositary or its agents for servicing the deposited securities</w:t>
            </w:r>
          </w:p>
        </w:tc>
        <w:tc>
          <w:tcPr>
            <w:tcW w:w="326" w:type="dxa"/>
            <w:tcBorders/>
            <w:vAlign w:val="center"/>
          </w:tcPr>
          <w:p>
            <w:pPr>
              <w:pStyle w:val="TableContents"/>
              <w:pBdr/>
              <w:bidi w:val="0"/>
              <w:spacing w:before="0" w:after="120"/>
              <w:ind w:left="0" w:right="0" w:hanging="0"/>
              <w:jc w:val="left"/>
              <w:rPr/>
            </w:pPr>
            <w:r>
              <w:rPr/>
              <w:t>​</w:t>
            </w:r>
          </w:p>
        </w:tc>
        <w:tc>
          <w:tcPr>
            <w:tcW w:w="3852" w:type="dxa"/>
            <w:tcBorders/>
            <w:vAlign w:val="center"/>
          </w:tcPr>
          <w:p>
            <w:pPr>
              <w:pStyle w:val="TableContents"/>
              <w:bidi w:val="0"/>
              <w:spacing w:before="0" w:after="120"/>
              <w:jc w:val="left"/>
              <w:rPr>
                <w:rFonts w:ascii="Symbol" w:hAnsi="Symbol"/>
                <w:sz w:val="20"/>
              </w:rPr>
            </w:pPr>
            <w:r>
              <w:rPr>
                <w:rFonts w:ascii="Symbol" w:hAnsi="Symbol"/>
                <w:sz w:val="20"/>
              </w:rPr>
              <w:t>·</w:t>
            </w:r>
          </w:p>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As necessary</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Payment of Taxes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You will be responsible for any taxes or other governmental charges payable on your ADSs or on the deposited securities underlying your ADSs. The depositary may refuse to transfer your ADSs or allow you to withdraw the deposited securities underlying your ADSs until such taxes or other charges are paid. It may apply payments owed to you or sell deposited securities underlying your ADSs to pay any taxes owed and you will remain liable for any deficiency. If it sells deposited securities, it will, if appropriate, reduce the number of ADSs to reflect the sale and pay to you any proceeds, or send to you any property, remaining after it has paid the taxes.</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Fees and Other Payments Made by the Depositary to Us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From time to time, the depositary may make payments to us to reimburse and/or share revenue from the fees collected from ADS holders, or waive fees and expenses for services provided, generally relating to costs and expenses arising out of establishment and maintenance of the ADS program. In performing its duties under the deposit agreement, the depositary may use brokers, dealers or other service providers that are affiliates of the depositary and that may earn or share fees or commissions.</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Reclassifications, Recapitalizations and Mergers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28" w:type="dxa"/>
          <w:right w:w="0" w:type="dxa"/>
        </w:tblCellMar>
      </w:tblPr>
      <w:tblGrid>
        <w:gridCol w:w="2876"/>
        <w:gridCol w:w="326"/>
        <w:gridCol w:w="7003"/>
      </w:tblGrid>
      <w:tr>
        <w:trPr/>
        <w:tc>
          <w:tcPr>
            <w:tcW w:w="2876" w:type="dxa"/>
            <w:tcBorders>
              <w:bottom w:val="single" w:sz="2" w:space="0" w:color="000000"/>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If we:</w:t>
            </w:r>
          </w:p>
        </w:tc>
        <w:tc>
          <w:tcPr>
            <w:tcW w:w="326" w:type="dxa"/>
            <w:tcBorders>
              <w:bottom w:val="single" w:sz="2" w:space="0" w:color="000000"/>
            </w:tcBorders>
            <w:vAlign w:val="center"/>
          </w:tcPr>
          <w:p>
            <w:pPr>
              <w:pStyle w:val="TableContents"/>
              <w:bidi w:val="0"/>
              <w:spacing w:before="0" w:after="0"/>
              <w:ind w:left="0" w:right="0" w:hanging="0"/>
              <w:jc w:val="left"/>
              <w:rPr/>
            </w:pPr>
            <w:r>
              <w:rPr/>
              <w:t>    </w:t>
            </w:r>
          </w:p>
        </w:tc>
        <w:tc>
          <w:tcPr>
            <w:tcW w:w="7003"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Then:</w:t>
            </w:r>
          </w:p>
        </w:tc>
      </w:tr>
      <w:tr>
        <w:trPr/>
        <w:tc>
          <w:tcPr>
            <w:tcW w:w="2876" w:type="dxa"/>
            <w:tcBorders/>
            <w:tcMar>
              <w:bottom w:w="0" w:type="dxa"/>
            </w:tcMar>
            <w:vAlign w:val="center"/>
          </w:tcPr>
          <w:p>
            <w:pPr>
              <w:pStyle w:val="TableContents"/>
              <w:pBdr/>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7003" w:type="dxa"/>
            <w:tcBorders/>
            <w:tcMar>
              <w:bottom w:w="0" w:type="dxa"/>
            </w:tcMar>
            <w:vAlign w:val="center"/>
          </w:tcPr>
          <w:p>
            <w:pPr>
              <w:pStyle w:val="TableContents"/>
              <w:bidi w:val="0"/>
              <w:spacing w:before="0" w:after="0"/>
              <w:ind w:left="0" w:right="0" w:hanging="0"/>
              <w:jc w:val="left"/>
              <w:rPr/>
            </w:pPr>
            <w:r>
              <w:rPr/>
              <w:t>​</w:t>
            </w:r>
          </w:p>
        </w:tc>
      </w:tr>
      <w:tr>
        <w:trPr/>
        <w:tc>
          <w:tcPr>
            <w:tcW w:w="2876" w:type="dxa"/>
            <w:tcBorders/>
            <w:tcMar>
              <w:bottom w:w="0" w:type="dxa"/>
            </w:tcMar>
            <w:vAlign w:val="center"/>
          </w:tcPr>
          <w:p>
            <w:pPr>
              <w:pStyle w:val="TableContents"/>
              <w:bidi w:val="0"/>
              <w:spacing w:before="0" w:after="0"/>
              <w:jc w:val="left"/>
              <w:rPr>
                <w:rFonts w:ascii="Symbol" w:hAnsi="Symbol"/>
                <w:sz w:val="20"/>
              </w:rPr>
            </w:pPr>
            <w:r>
              <w:rPr>
                <w:rFonts w:ascii="Symbol" w:hAnsi="Symbol"/>
                <w:sz w:val="20"/>
              </w:rPr>
              <w:t>·</w:t>
            </w:r>
          </w:p>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Change the nominal or par value of our shares;</w:t>
            </w:r>
          </w:p>
          <w:p>
            <w:pPr>
              <w:pStyle w:val="TableContents"/>
              <w:bidi w:val="0"/>
              <w:spacing w:before="0" w:after="0"/>
              <w:jc w:val="left"/>
              <w:rPr>
                <w:rFonts w:ascii="Symbol" w:hAnsi="Symbol"/>
                <w:sz w:val="20"/>
              </w:rPr>
            </w:pPr>
            <w:r>
              <w:rPr>
                <w:rFonts w:ascii="Symbol" w:hAnsi="Symbol"/>
                <w:sz w:val="20"/>
              </w:rPr>
              <w: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Reclassify, split up or consolidate any of the deposited securities;</w:t>
            </w:r>
          </w:p>
        </w:tc>
        <w:tc>
          <w:tcPr>
            <w:tcW w:w="326" w:type="dxa"/>
            <w:tcBorders/>
            <w:tcMar>
              <w:bottom w:w="0" w:type="dxa"/>
            </w:tcMar>
            <w:vAlign w:val="center"/>
          </w:tcPr>
          <w:p>
            <w:pPr>
              <w:pStyle w:val="TableContents"/>
              <w:bidi w:val="0"/>
              <w:spacing w:before="0" w:after="0"/>
              <w:ind w:left="0" w:right="0" w:hanging="0"/>
              <w:jc w:val="left"/>
              <w:rPr/>
            </w:pPr>
            <w:r>
              <w:rPr/>
              <w:t>​</w:t>
            </w:r>
          </w:p>
        </w:tc>
        <w:tc>
          <w:tcPr>
            <w:tcW w:w="7003"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cash, shares or other securities received by the depositary will become deposited securities. Each ADS will automatically represent its equal share of the new deposited securities.</w:t>
            </w:r>
          </w:p>
        </w:tc>
      </w:tr>
      <w:tr>
        <w:trPr/>
        <w:tc>
          <w:tcPr>
            <w:tcW w:w="2876" w:type="dxa"/>
            <w:tcBorders/>
            <w:tcMar>
              <w:bottom w:w="0" w:type="dxa"/>
            </w:tcMar>
            <w:vAlign w:val="center"/>
          </w:tcPr>
          <w:p>
            <w:pPr>
              <w:pStyle w:val="TableContents"/>
              <w:bidi w:val="0"/>
              <w:spacing w:before="0" w:after="0"/>
              <w:jc w:val="left"/>
              <w:rPr>
                <w:rFonts w:ascii="Symbol" w:hAnsi="Symbol"/>
                <w:sz w:val="20"/>
              </w:rPr>
            </w:pPr>
            <w:r>
              <w:rPr>
                <w:rFonts w:ascii="Symbol" w:hAnsi="Symbol"/>
                <w:sz w:val="20"/>
              </w:rPr>
              <w:t>·</w:t>
            </w:r>
          </w:p>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Distribute securities on the shares that are not distributed to you;</w:t>
            </w:r>
          </w:p>
          <w:p>
            <w:pPr>
              <w:pStyle w:val="TableContents"/>
              <w:bidi w:val="0"/>
              <w:spacing w:before="0" w:after="0"/>
              <w:jc w:val="left"/>
              <w:rPr>
                <w:rFonts w:ascii="Symbol" w:hAnsi="Symbol"/>
                <w:sz w:val="20"/>
              </w:rPr>
            </w:pPr>
            <w:r>
              <w:rPr>
                <w:rFonts w:ascii="Symbol" w:hAnsi="Symbol"/>
                <w:sz w:val="20"/>
              </w:rPr>
              <w:t>·</w:t>
            </w:r>
          </w:p>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Recapitalize, reorganize, merge, liquidate, sell all or substantially all of our assets; or</w:t>
            </w:r>
          </w:p>
          <w:p>
            <w:pPr>
              <w:pStyle w:val="TableContents"/>
              <w:bidi w:val="0"/>
              <w:spacing w:before="0" w:after="0"/>
              <w:jc w:val="left"/>
              <w:rPr>
                <w:rFonts w:ascii="Symbol" w:hAnsi="Symbol"/>
                <w:sz w:val="20"/>
              </w:rPr>
            </w:pPr>
            <w:r>
              <w:rPr>
                <w:rFonts w:ascii="Symbol" w:hAnsi="Symbol"/>
                <w:sz w:val="20"/>
              </w:rPr>
              <w: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Take any similar action.</w:t>
            </w:r>
          </w:p>
        </w:tc>
        <w:tc>
          <w:tcPr>
            <w:tcW w:w="326" w:type="dxa"/>
            <w:tcBorders/>
            <w:tcMar>
              <w:bottom w:w="0" w:type="dxa"/>
            </w:tcMar>
            <w:vAlign w:val="center"/>
          </w:tcPr>
          <w:p>
            <w:pPr>
              <w:pStyle w:val="TableContents"/>
              <w:bidi w:val="0"/>
              <w:spacing w:before="0" w:after="0"/>
              <w:ind w:left="0" w:right="0" w:hanging="0"/>
              <w:jc w:val="left"/>
              <w:rPr/>
            </w:pPr>
            <w:r>
              <w:rPr/>
              <w:t>​</w:t>
            </w:r>
          </w:p>
        </w:tc>
        <w:tc>
          <w:tcPr>
            <w:tcW w:w="7003"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depositary may, and will if we ask it to, distribute some or all of the cash, shares or other securities it received. It may also issue new ADSs or ask you to surrender your outstanding ADSs in exchange for new ADSs identifying the new deposited securities.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Amendment and Termination</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may agree with the depositary to amend the deposit agreement and the ADRs without your consent for any reason. If the amendment will cause any of the following results, the amendment will become effective 30 days after the depositary notifies you of the amendment:</w:t>
      </w:r>
    </w:p>
    <w:p>
      <w:pPr>
        <w:pStyle w:val="TextBody"/>
        <w:bidi w:val="0"/>
        <w:spacing w:before="0" w:after="0"/>
        <w:ind w:left="0" w:right="0" w:firstLine="720"/>
        <w:jc w:val="left"/>
        <w:rPr/>
      </w:pPr>
      <w:r>
        <w:rPr/>
        <w:t>​</w:t>
      </w:r>
    </w:p>
    <w:tbl>
      <w:tblPr>
        <w:tblW w:w="3693" w:type="dxa"/>
        <w:jc w:val="left"/>
        <w:tblInd w:w="0" w:type="dxa"/>
        <w:tblLayout w:type="fixed"/>
        <w:tblCellMar>
          <w:top w:w="0" w:type="dxa"/>
          <w:left w:w="0" w:type="dxa"/>
          <w:bottom w:w="0" w:type="dxa"/>
          <w:right w:w="0" w:type="dxa"/>
        </w:tblCellMar>
      </w:tblPr>
      <w:tblGrid>
        <w:gridCol w:w="23"/>
        <w:gridCol w:w="95"/>
        <w:gridCol w:w="357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0"/>
              <w:jc w:val="left"/>
              <w:rPr>
                <w:rFonts w:ascii="Symbol" w:hAnsi="Symbol"/>
                <w:sz w:val="20"/>
              </w:rPr>
            </w:pPr>
            <w:r>
              <w:rPr>
                <w:rFonts w:ascii="Symbol" w:hAnsi="Symbol"/>
                <w:sz w:val="20"/>
              </w:rPr>
              <w:t>·</w:t>
            </w:r>
          </w:p>
        </w:tc>
        <w:tc>
          <w:tcPr>
            <w:tcW w:w="35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adds or increases fees or charges, except for:</w:t>
            </w:r>
          </w:p>
        </w:tc>
      </w:tr>
    </w:tbl>
    <w:tbl>
      <w:tblPr>
        <w:tblW w:w="3108" w:type="dxa"/>
        <w:jc w:val="left"/>
        <w:tblInd w:w="0" w:type="dxa"/>
        <w:tblLayout w:type="fixed"/>
        <w:tblCellMar>
          <w:top w:w="0" w:type="dxa"/>
          <w:left w:w="0" w:type="dxa"/>
          <w:bottom w:w="0" w:type="dxa"/>
          <w:right w:w="0" w:type="dxa"/>
        </w:tblCellMar>
      </w:tblPr>
      <w:tblGrid>
        <w:gridCol w:w="23"/>
        <w:gridCol w:w="95"/>
        <w:gridCol w:w="299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0"/>
              <w:jc w:val="left"/>
              <w:rPr>
                <w:rFonts w:ascii="Symbol" w:hAnsi="Symbol"/>
                <w:sz w:val="20"/>
              </w:rPr>
            </w:pPr>
            <w:r>
              <w:rPr>
                <w:rFonts w:ascii="Symbol" w:hAnsi="Symbol"/>
                <w:sz w:val="20"/>
              </w:rPr>
              <w:t>·</w:t>
            </w:r>
          </w:p>
        </w:tc>
        <w:tc>
          <w:tcPr>
            <w:tcW w:w="299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taxes and other government charges;</w:t>
            </w:r>
          </w:p>
        </w:tc>
      </w:tr>
    </w:tbl>
    <w:tbl>
      <w:tblPr>
        <w:tblW w:w="1488" w:type="dxa"/>
        <w:jc w:val="left"/>
        <w:tblInd w:w="0" w:type="dxa"/>
        <w:tblLayout w:type="fixed"/>
        <w:tblCellMar>
          <w:top w:w="0" w:type="dxa"/>
          <w:left w:w="0" w:type="dxa"/>
          <w:bottom w:w="0" w:type="dxa"/>
          <w:right w:w="0" w:type="dxa"/>
        </w:tblCellMar>
      </w:tblPr>
      <w:tblGrid>
        <w:gridCol w:w="23"/>
        <w:gridCol w:w="95"/>
        <w:gridCol w:w="137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0"/>
              <w:jc w:val="left"/>
              <w:rPr>
                <w:rFonts w:ascii="Symbol" w:hAnsi="Symbol"/>
                <w:sz w:val="20"/>
              </w:rPr>
            </w:pPr>
            <w:r>
              <w:rPr>
                <w:rFonts w:ascii="Symbol" w:hAnsi="Symbol"/>
                <w:sz w:val="20"/>
              </w:rPr>
              <w:t>·</w:t>
            </w:r>
          </w:p>
        </w:tc>
        <w:tc>
          <w:tcPr>
            <w:tcW w:w="13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registration fees;</w:t>
            </w:r>
          </w:p>
        </w:tc>
      </w:tr>
    </w:tbl>
    <w:tbl>
      <w:tblPr>
        <w:tblW w:w="3843" w:type="dxa"/>
        <w:jc w:val="left"/>
        <w:tblInd w:w="0" w:type="dxa"/>
        <w:tblLayout w:type="fixed"/>
        <w:tblCellMar>
          <w:top w:w="0" w:type="dxa"/>
          <w:left w:w="0" w:type="dxa"/>
          <w:bottom w:w="0" w:type="dxa"/>
          <w:right w:w="0" w:type="dxa"/>
        </w:tblCellMar>
      </w:tblPr>
      <w:tblGrid>
        <w:gridCol w:w="23"/>
        <w:gridCol w:w="95"/>
        <w:gridCol w:w="372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0"/>
              <w:jc w:val="left"/>
              <w:rPr>
                <w:rFonts w:ascii="Symbol" w:hAnsi="Symbol"/>
                <w:sz w:val="20"/>
              </w:rPr>
            </w:pPr>
            <w:r>
              <w:rPr>
                <w:rFonts w:ascii="Symbol" w:hAnsi="Symbol"/>
                <w:sz w:val="20"/>
              </w:rPr>
              <w:t>·</w:t>
            </w:r>
          </w:p>
        </w:tc>
        <w:tc>
          <w:tcPr>
            <w:tcW w:w="372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cable, telex or facsimile transmission costs; or</w:t>
            </w:r>
          </w:p>
        </w:tc>
      </w:tr>
    </w:tbl>
    <w:tbl>
      <w:tblPr>
        <w:tblW w:w="3408" w:type="dxa"/>
        <w:jc w:val="left"/>
        <w:tblInd w:w="0" w:type="dxa"/>
        <w:tblLayout w:type="fixed"/>
        <w:tblCellMar>
          <w:top w:w="0" w:type="dxa"/>
          <w:left w:w="0" w:type="dxa"/>
          <w:bottom w:w="0" w:type="dxa"/>
          <w:right w:w="0" w:type="dxa"/>
        </w:tblCellMar>
      </w:tblPr>
      <w:tblGrid>
        <w:gridCol w:w="23"/>
        <w:gridCol w:w="95"/>
        <w:gridCol w:w="329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0"/>
              <w:jc w:val="left"/>
              <w:rPr>
                <w:rFonts w:ascii="Symbol" w:hAnsi="Symbol"/>
                <w:sz w:val="20"/>
              </w:rPr>
            </w:pPr>
            <w:r>
              <w:rPr>
                <w:rFonts w:ascii="Symbol" w:hAnsi="Symbol"/>
                <w:sz w:val="20"/>
              </w:rPr>
              <w:t>·</w:t>
            </w:r>
          </w:p>
        </w:tc>
        <w:tc>
          <w:tcPr>
            <w:tcW w:w="329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delivery costs or other such expenses; or</w:t>
            </w:r>
          </w:p>
        </w:tc>
      </w:tr>
    </w:tbl>
    <w:tbl>
      <w:tblPr>
        <w:tblW w:w="4008" w:type="dxa"/>
        <w:jc w:val="left"/>
        <w:tblInd w:w="0" w:type="dxa"/>
        <w:tblLayout w:type="fixed"/>
        <w:tblCellMar>
          <w:top w:w="0" w:type="dxa"/>
          <w:left w:w="0" w:type="dxa"/>
          <w:bottom w:w="0" w:type="dxa"/>
          <w:right w:w="0" w:type="dxa"/>
        </w:tblCellMar>
      </w:tblPr>
      <w:tblGrid>
        <w:gridCol w:w="23"/>
        <w:gridCol w:w="95"/>
        <w:gridCol w:w="389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0"/>
              <w:jc w:val="left"/>
              <w:rPr>
                <w:rFonts w:ascii="Symbol" w:hAnsi="Symbol"/>
                <w:sz w:val="20"/>
              </w:rPr>
            </w:pPr>
            <w:r>
              <w:rPr>
                <w:rFonts w:ascii="Symbol" w:hAnsi="Symbol"/>
                <w:sz w:val="20"/>
              </w:rPr>
              <w:t>·</w:t>
            </w:r>
          </w:p>
        </w:tc>
        <w:tc>
          <w:tcPr>
            <w:tcW w:w="389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prejudices any substantial right of ADS holders.</w:t>
            </w:r>
          </w:p>
        </w:tc>
      </w:tr>
    </w:tbl>
    <w:p>
      <w:pPr>
        <w:pStyle w:val="TextBody"/>
        <w:bidi w:val="0"/>
        <w:spacing w:before="0" w:after="0"/>
        <w:ind w:left="0" w:right="0" w:firstLine="720"/>
        <w:jc w:val="left"/>
        <w:rPr/>
      </w:pPr>
      <w:r>
        <w:rPr/>
        <w:t>​</w:t>
      </w:r>
    </w:p>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At the time an amendment becomes effective, you are considered, by continuing to hold your ADSs, to agree to the amendment and to be bound by the ADRs and the deposit agreement, as amended.</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depositary will terminate the deposit agreement if we ask it to do so. In such case, the depositary must notify you at least 90 days before termination. The depositary may also terminate the deposit agreement if the depositary has told us that it would like to resign and we have not appointed a new depositary bank within 90 days.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After termination, the depositary and its agents will be required to do only the following under the deposit agreement:</w:t>
      </w:r>
    </w:p>
    <w:p>
      <w:pPr>
        <w:pStyle w:val="TextBody"/>
        <w:bidi w:val="0"/>
        <w:spacing w:before="0" w:after="0"/>
        <w:ind w:left="0" w:right="0" w:firstLine="720"/>
        <w:jc w:val="left"/>
        <w:rPr/>
      </w:pPr>
      <w:r>
        <w:rPr/>
        <w:t>​</w:t>
      </w:r>
    </w:p>
    <w:tbl>
      <w:tblPr>
        <w:tblW w:w="4713" w:type="dxa"/>
        <w:jc w:val="left"/>
        <w:tblInd w:w="0" w:type="dxa"/>
        <w:tblLayout w:type="fixed"/>
        <w:tblCellMar>
          <w:top w:w="0" w:type="dxa"/>
          <w:left w:w="0" w:type="dxa"/>
          <w:bottom w:w="0" w:type="dxa"/>
          <w:right w:w="0" w:type="dxa"/>
        </w:tblCellMar>
      </w:tblPr>
      <w:tblGrid>
        <w:gridCol w:w="23"/>
        <w:gridCol w:w="95"/>
        <w:gridCol w:w="459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0"/>
              <w:jc w:val="left"/>
              <w:rPr>
                <w:rFonts w:ascii="Symbol" w:hAnsi="Symbol"/>
                <w:sz w:val="20"/>
              </w:rPr>
            </w:pPr>
            <w:r>
              <w:rPr>
                <w:rFonts w:ascii="Symbol" w:hAnsi="Symbol"/>
                <w:sz w:val="20"/>
              </w:rPr>
              <w:t>·</w:t>
            </w:r>
          </w:p>
        </w:tc>
        <w:tc>
          <w:tcPr>
            <w:tcW w:w="459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advise you that the deposit agreement is terminated; and</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0"/>
              <w:jc w:val="left"/>
              <w:rPr>
                <w:rFonts w:ascii="Symbol" w:hAnsi="Symbol"/>
                <w:sz w:val="20"/>
              </w:rPr>
            </w:pPr>
            <w:r>
              <w:rPr>
                <w:rFonts w:ascii="Symbol" w:hAnsi="Symbol"/>
                <w:sz w:val="20"/>
              </w:rPr>
              <w:t>·</w:t>
            </w:r>
          </w:p>
        </w:tc>
        <w:tc>
          <w:tcPr>
            <w:tcW w:w="1008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collect distributions on the deposited securities and deliver the deliverable portion of shares and other deposited securities upon cancellation of ADSs.</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One year after termination, the depositary may sell any remaining deposited securities by public or private sale. After that, the depositary will hold the proceeds of the sale, as well as any other cash it is holding under the deposit agreement for the pro rata benefit of the ADS holders that have not surrendered their ADSs or are unable to surrender their ADSs because they represent less than a unit of shares. It will not invest the money and will have no liability for interest. The depositary’s only obligations will be an indemnification obligation and an obligation to account for the proceeds of the sale and other cash. After termination, our only obligations will be an indemnification obligation and our obligation to pay specified amounts to the depositary.</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Limitations on Obligations and Liability to ADS Holders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deposit agreement expressly limits our obligations and the obligations of the depositary, and it limits our liability and the liability of the depositary. We and the depositary:</w:t>
      </w:r>
    </w:p>
    <w:p>
      <w:pPr>
        <w:pStyle w:val="TextBody"/>
        <w:bidi w:val="0"/>
        <w:spacing w:before="0" w:after="0"/>
        <w:ind w:left="0" w:right="0" w:firstLine="720"/>
        <w:jc w:val="left"/>
        <w:rPr/>
      </w:pPr>
      <w:r>
        <w:rPr/>
        <w:t>​</w:t>
      </w:r>
    </w:p>
    <w:tbl>
      <w:tblPr>
        <w:tblW w:w="9888" w:type="dxa"/>
        <w:jc w:val="left"/>
        <w:tblInd w:w="0" w:type="dxa"/>
        <w:tblLayout w:type="fixed"/>
        <w:tblCellMar>
          <w:top w:w="0" w:type="dxa"/>
          <w:left w:w="0" w:type="dxa"/>
          <w:bottom w:w="0" w:type="dxa"/>
          <w:right w:w="0" w:type="dxa"/>
        </w:tblCellMar>
      </w:tblPr>
      <w:tblGrid>
        <w:gridCol w:w="23"/>
        <w:gridCol w:w="95"/>
        <w:gridCol w:w="977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0"/>
              <w:jc w:val="left"/>
              <w:rPr>
                <w:rFonts w:ascii="Symbol" w:hAnsi="Symbol"/>
                <w:sz w:val="20"/>
              </w:rPr>
            </w:pPr>
            <w:r>
              <w:rPr>
                <w:rFonts w:ascii="Symbol" w:hAnsi="Symbol"/>
                <w:sz w:val="20"/>
              </w:rPr>
              <w:t>·</w:t>
            </w:r>
          </w:p>
        </w:tc>
        <w:tc>
          <w:tcPr>
            <w:tcW w:w="97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are only obligated to take the actions specifically provided for in the deposit agreement without negligence or bad faith;</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0"/>
              <w:jc w:val="left"/>
              <w:rPr>
                <w:rFonts w:ascii="Symbol" w:hAnsi="Symbol"/>
                <w:sz w:val="20"/>
              </w:rPr>
            </w:pPr>
            <w:r>
              <w:rPr>
                <w:rFonts w:ascii="Symbol" w:hAnsi="Symbol"/>
                <w:sz w:val="20"/>
              </w:rPr>
              <w:t>·</w:t>
            </w:r>
          </w:p>
        </w:tc>
        <w:tc>
          <w:tcPr>
            <w:tcW w:w="1008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are not liable if either is prevented or delayed by law or circumstances beyond their control from performing their obligations under the deposit agreement;</w:t>
            </w:r>
          </w:p>
        </w:tc>
      </w:tr>
    </w:tbl>
    <w:tbl>
      <w:tblPr>
        <w:tblW w:w="6738" w:type="dxa"/>
        <w:jc w:val="left"/>
        <w:tblInd w:w="0" w:type="dxa"/>
        <w:tblLayout w:type="fixed"/>
        <w:tblCellMar>
          <w:top w:w="0" w:type="dxa"/>
          <w:left w:w="0" w:type="dxa"/>
          <w:bottom w:w="0" w:type="dxa"/>
          <w:right w:w="0" w:type="dxa"/>
        </w:tblCellMar>
      </w:tblPr>
      <w:tblGrid>
        <w:gridCol w:w="23"/>
        <w:gridCol w:w="95"/>
        <w:gridCol w:w="662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0"/>
              <w:jc w:val="left"/>
              <w:rPr>
                <w:rFonts w:ascii="Symbol" w:hAnsi="Symbol"/>
                <w:sz w:val="20"/>
              </w:rPr>
            </w:pPr>
            <w:r>
              <w:rPr>
                <w:rFonts w:ascii="Symbol" w:hAnsi="Symbol"/>
                <w:sz w:val="20"/>
              </w:rPr>
              <w:t>·</w:t>
            </w:r>
          </w:p>
        </w:tc>
        <w:tc>
          <w:tcPr>
            <w:tcW w:w="662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are not liable if either exercises discretion permitted under the deposit agreement;</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0"/>
              <w:jc w:val="left"/>
              <w:rPr>
                <w:rFonts w:ascii="Symbol" w:hAnsi="Symbol"/>
                <w:sz w:val="20"/>
              </w:rPr>
            </w:pPr>
            <w:r>
              <w:rPr>
                <w:rFonts w:ascii="Symbol" w:hAnsi="Symbol"/>
                <w:sz w:val="20"/>
              </w:rPr>
              <w:t>·</w:t>
            </w:r>
          </w:p>
        </w:tc>
        <w:tc>
          <w:tcPr>
            <w:tcW w:w="1008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have no obligation to become involved in a lawsuit or other proceeding related to the ADSs or the deposit agreement on your behalf of any other party; and</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0"/>
              <w:jc w:val="left"/>
              <w:rPr>
                <w:rFonts w:ascii="Symbol" w:hAnsi="Symbol"/>
                <w:sz w:val="20"/>
              </w:rPr>
            </w:pPr>
            <w:r>
              <w:rPr>
                <w:rFonts w:ascii="Symbol" w:hAnsi="Symbol"/>
                <w:sz w:val="20"/>
              </w:rPr>
              <w:t>·</w:t>
            </w:r>
          </w:p>
        </w:tc>
        <w:tc>
          <w:tcPr>
            <w:tcW w:w="1008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may rely upon any documents they believe in good faith to be genuine and to have been signed or presented by the proper party.</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the deposit agreement, we and the depositary agree to indemnify each other under designated circumstances.</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Requirements for Depositary Actions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Before the depositary will issue or register the transfer of an ADS, make a distribution on an ADS, or process a withdrawal of shares, the depositary may require:</w:t>
      </w:r>
    </w:p>
    <w:p>
      <w:pPr>
        <w:pStyle w:val="TextBody"/>
        <w:bidi w:val="0"/>
        <w:spacing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0"/>
              <w:jc w:val="left"/>
              <w:rPr>
                <w:rFonts w:ascii="Symbol" w:hAnsi="Symbol"/>
                <w:sz w:val="20"/>
              </w:rPr>
            </w:pPr>
            <w:r>
              <w:rPr>
                <w:rFonts w:ascii="Symbol" w:hAnsi="Symbol"/>
                <w:sz w:val="20"/>
              </w:rPr>
              <w:t>·</w:t>
            </w:r>
          </w:p>
        </w:tc>
        <w:tc>
          <w:tcPr>
            <w:tcW w:w="1008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payment of stock transfer or other taxes or other governmental charges and transfer or registration fees charged by third parties for the transfer of any shares or other deposited securities;</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0"/>
              <w:jc w:val="left"/>
              <w:rPr>
                <w:rFonts w:ascii="Symbol" w:hAnsi="Symbol"/>
                <w:sz w:val="20"/>
              </w:rPr>
            </w:pPr>
            <w:r>
              <w:rPr>
                <w:rFonts w:ascii="Symbol" w:hAnsi="Symbol"/>
                <w:sz w:val="20"/>
              </w:rPr>
              <w:t>·</w:t>
            </w:r>
          </w:p>
        </w:tc>
        <w:tc>
          <w:tcPr>
            <w:tcW w:w="1008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production of satisfactory proof of the identity and genuineness of any signature or other information it deems necessary; and</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0"/>
              <w:jc w:val="left"/>
              <w:rPr>
                <w:rFonts w:ascii="Symbol" w:hAnsi="Symbol"/>
                <w:sz w:val="20"/>
              </w:rPr>
            </w:pPr>
            <w:r>
              <w:rPr>
                <w:rFonts w:ascii="Symbol" w:hAnsi="Symbol"/>
                <w:sz w:val="20"/>
              </w:rPr>
              <w:t>·</w:t>
            </w:r>
          </w:p>
        </w:tc>
        <w:tc>
          <w:tcPr>
            <w:tcW w:w="1008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compliance with regulations that it may establish, from time to time, consistent with the deposit agreement, including presentation of transfer documents.</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depositary may refuse to deliver, transfer or register transfers of ADSs generally when our books or the books of the depositary are closed, or at any time if the depositary or we think it advisable to do so.</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Your Right to Receive the Shares Underlying your ADSs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You have the right to cancel your ADSs and withdraw the underlying shares at any time except:</w:t>
      </w:r>
    </w:p>
    <w:p>
      <w:pPr>
        <w:pStyle w:val="TextBody"/>
        <w:bidi w:val="0"/>
        <w:spacing w:before="0" w:after="0"/>
        <w:ind w:left="0" w:right="0" w:firstLine="720"/>
        <w:jc w:val="left"/>
        <w:rPr/>
      </w:pPr>
      <w:r>
        <w:rPr/>
        <w:t>​</w:t>
      </w:r>
    </w:p>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0"/>
              <w:jc w:val="left"/>
              <w:rPr>
                <w:rFonts w:ascii="Symbol" w:hAnsi="Symbol"/>
                <w:sz w:val="20"/>
              </w:rPr>
            </w:pPr>
            <w:r>
              <w:rPr>
                <w:rFonts w:ascii="Symbol" w:hAnsi="Symbol"/>
                <w:sz w:val="20"/>
              </w:rPr>
              <w:t>·</w:t>
            </w:r>
          </w:p>
        </w:tc>
        <w:tc>
          <w:tcPr>
            <w:tcW w:w="1008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when temporary delays arise because: (1) the depositary or we have closed its or our transfer books; (2) the transfer of shares is blocked to permit voting at a shareholders’ meeting; or (3) we are paying a dividend on the shares;</w:t>
            </w:r>
          </w:p>
        </w:tc>
      </w:tr>
    </w:tbl>
    <w:tbl>
      <w:tblPr>
        <w:tblW w:w="9168" w:type="dxa"/>
        <w:jc w:val="left"/>
        <w:tblInd w:w="0" w:type="dxa"/>
        <w:tblLayout w:type="fixed"/>
        <w:tblCellMar>
          <w:top w:w="0" w:type="dxa"/>
          <w:left w:w="0" w:type="dxa"/>
          <w:bottom w:w="0" w:type="dxa"/>
          <w:right w:w="0" w:type="dxa"/>
        </w:tblCellMar>
      </w:tblPr>
      <w:tblGrid>
        <w:gridCol w:w="23"/>
        <w:gridCol w:w="95"/>
        <w:gridCol w:w="905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0"/>
              <w:jc w:val="left"/>
              <w:rPr>
                <w:rFonts w:ascii="Symbol" w:hAnsi="Symbol"/>
                <w:sz w:val="20"/>
              </w:rPr>
            </w:pPr>
            <w:r>
              <w:rPr>
                <w:rFonts w:ascii="Symbol" w:hAnsi="Symbol"/>
                <w:sz w:val="20"/>
              </w:rPr>
              <w:t>·</w:t>
            </w:r>
          </w:p>
        </w:tc>
        <w:tc>
          <w:tcPr>
            <w:tcW w:w="905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when you or other ADS holders seeking to withdraw shares owe money to pay fees, taxes and similar charges; or</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0"/>
              <w:jc w:val="left"/>
              <w:rPr>
                <w:rFonts w:ascii="Symbol" w:hAnsi="Symbol"/>
                <w:sz w:val="20"/>
              </w:rPr>
            </w:pPr>
            <w:r>
              <w:rPr>
                <w:rFonts w:ascii="Symbol" w:hAnsi="Symbol"/>
                <w:sz w:val="20"/>
              </w:rPr>
              <w:t>·</w:t>
            </w:r>
          </w:p>
        </w:tc>
        <w:tc>
          <w:tcPr>
            <w:tcW w:w="1008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when it is necessary to prohibit withdrawals in order to comply with any laws or governmental regulations that apply to ADSs or to the withdrawal of shares or other deposited securities.</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This right of withdrawal may not be limited by any other provision of the deposit agreement.</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Pre-Release of ADSs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compliance with the provisions of the deposit agreement, the depositary may issue ADSs before deposit of the underlying shares. This is called a pre-release of the ADSs. The depositary may also deliver shares upon cancellation of pre-released ADSs, even if the ADSs are cancelled before the pre-release transaction has been closed out. A pre-release is closed out as soon as the underlying shares are delivered to the depositary. The depositary may receive ADSs instead of shares to close out a pre-release. The depositary may pre-release ADSs only under the following conditions:</w:t>
      </w:r>
    </w:p>
    <w:p>
      <w:pPr>
        <w:pStyle w:val="TextBody"/>
        <w:bidi w:val="0"/>
        <w:spacing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0"/>
              <w:jc w:val="left"/>
              <w:rPr>
                <w:rFonts w:ascii="Symbol" w:hAnsi="Symbol"/>
                <w:sz w:val="20"/>
              </w:rPr>
            </w:pPr>
            <w:r>
              <w:rPr>
                <w:rFonts w:ascii="Symbol" w:hAnsi="Symbol"/>
                <w:sz w:val="20"/>
              </w:rPr>
              <w:t>·</w:t>
            </w:r>
          </w:p>
        </w:tc>
        <w:tc>
          <w:tcPr>
            <w:tcW w:w="1008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before or at the time of the pre-release, the person to whom the pre-release is being made must represent to the depositary in writing that it or its customer owns the shares or ADSs to be deposited;</w:t>
            </w:r>
          </w:p>
        </w:tc>
      </w:tr>
    </w:tbl>
    <w:tbl>
      <w:tblPr>
        <w:tblW w:w="9618" w:type="dxa"/>
        <w:jc w:val="left"/>
        <w:tblInd w:w="0" w:type="dxa"/>
        <w:tblLayout w:type="fixed"/>
        <w:tblCellMar>
          <w:top w:w="0" w:type="dxa"/>
          <w:left w:w="0" w:type="dxa"/>
          <w:bottom w:w="0" w:type="dxa"/>
          <w:right w:w="0" w:type="dxa"/>
        </w:tblCellMar>
      </w:tblPr>
      <w:tblGrid>
        <w:gridCol w:w="23"/>
        <w:gridCol w:w="95"/>
        <w:gridCol w:w="950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0"/>
              <w:jc w:val="left"/>
              <w:rPr>
                <w:rFonts w:ascii="Symbol" w:hAnsi="Symbol"/>
                <w:sz w:val="20"/>
              </w:rPr>
            </w:pPr>
            <w:r>
              <w:rPr>
                <w:rFonts w:ascii="Symbol" w:hAnsi="Symbol"/>
                <w:sz w:val="20"/>
              </w:rPr>
              <w:t>·</w:t>
            </w:r>
          </w:p>
        </w:tc>
        <w:tc>
          <w:tcPr>
            <w:tcW w:w="950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pre-release must be fully collateralized with cash or other collateral that the depositary considers appropriate; and</w:t>
            </w:r>
          </w:p>
        </w:tc>
      </w:tr>
    </w:tbl>
    <w:tbl>
      <w:tblPr>
        <w:tblW w:w="8163" w:type="dxa"/>
        <w:jc w:val="left"/>
        <w:tblInd w:w="0" w:type="dxa"/>
        <w:tblLayout w:type="fixed"/>
        <w:tblCellMar>
          <w:top w:w="0" w:type="dxa"/>
          <w:left w:w="0" w:type="dxa"/>
          <w:bottom w:w="0" w:type="dxa"/>
          <w:right w:w="0" w:type="dxa"/>
        </w:tblCellMar>
      </w:tblPr>
      <w:tblGrid>
        <w:gridCol w:w="23"/>
        <w:gridCol w:w="95"/>
        <w:gridCol w:w="804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0"/>
              <w:jc w:val="left"/>
              <w:rPr>
                <w:rFonts w:ascii="Symbol" w:hAnsi="Symbol"/>
                <w:sz w:val="20"/>
              </w:rPr>
            </w:pPr>
            <w:r>
              <w:rPr>
                <w:rFonts w:ascii="Symbol" w:hAnsi="Symbol"/>
                <w:sz w:val="20"/>
              </w:rPr>
              <w:t>·</w:t>
            </w:r>
          </w:p>
        </w:tc>
        <w:tc>
          <w:tcPr>
            <w:tcW w:w="804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depositary must be able to close out the pre-release on not more than five business days’ notice.</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addition, the depositary will limit the number of ADSs that may be outstanding at any time as a result of pre-release to 30% of total shares deposited, although the depositary may disregard the limit from time to time, if it thinks it is appropriate to do so.</w:t>
      </w:r>
    </w:p>
    <w:p>
      <w:pPr>
        <w:pStyle w:val="TextBody"/>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Shareholder Communications; Inspection of Register of Holders of ADSs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ADSs, but not for the purpose of contacting those holders about a matter unrelated to our business or the ADSs.</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155" w:name="ntes-20231231xex4d2.htm"/>
      <w:bookmarkStart w:id="2156" w:name="ksntes20231231xex4d2"/>
      <w:bookmarkEnd w:id="2155"/>
      <w:bookmarkEnd w:id="2156"/>
      <w:r>
        <w:rPr>
          <w:rFonts w:ascii="Times New Roman;Times;serif" w:hAnsi="Times New Roman;Times;serif"/>
          <w:b/>
          <w:sz w:val="20"/>
        </w:rPr>
        <w:t>Exhibit 4.2</w:t>
      </w:r>
      <w:r>
        <w:br w:type="page"/>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EMPLOYMENT AGREEMENT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By and Between</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________</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And</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NETEASE, INC.</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Dated as of </w:t>
      </w:r>
      <w:r>
        <w:rPr>
          <w:rFonts w:ascii="Times New Roman;Times;serif" w:hAnsi="Times New Roman;Times;serif"/>
          <w:b/>
          <w:sz w:val="20"/>
        </w:rPr>
        <w:t>________</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THIS EMPLOYMENT AGREEMENT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(this “</w:t>
      </w:r>
      <w:r>
        <w:rPr>
          <w:rFonts w:ascii="Times New Roman;Times;serif" w:hAnsi="Times New Roman;Times;serif"/>
          <w:sz w:val="20"/>
          <w:u w:val="single"/>
        </w:rPr>
        <w:t>Agreement</w:t>
      </w:r>
      <w:r>
        <w:rPr>
          <w:rFonts w:ascii="Times New Roman;Times;serif" w:hAnsi="Times New Roman;Times;serif"/>
          <w:sz w:val="20"/>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is made and entered into as of</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________</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by and between</w:t>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________</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w:t>
      </w:r>
      <w:r>
        <w:rPr>
          <w:rFonts w:ascii="Times New Roman;Times;serif" w:hAnsi="Times New Roman;Times;serif"/>
          <w:sz w:val="20"/>
          <w:u w:val="single"/>
        </w:rPr>
        <w:t>Employee</w:t>
      </w:r>
      <w:r>
        <w:rPr>
          <w:rFonts w:ascii="Times New Roman;Times;serif" w:hAnsi="Times New Roman;Times;serif"/>
          <w:sz w:val="20"/>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and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NETEASE,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 Cayman Islands company) (the “</w:t>
      </w:r>
      <w:r>
        <w:rPr>
          <w:rFonts w:ascii="Times New Roman;Times;serif" w:hAnsi="Times New Roman;Times;serif"/>
          <w:sz w:val="20"/>
          <w:u w:val="single"/>
        </w:rPr>
        <w:t>Company</w:t>
      </w:r>
      <w:r>
        <w:rPr>
          <w:rFonts w:ascii="Times New Roman;Times;serif" w:hAnsi="Times New Roman;Times;serif"/>
          <w:sz w:val="20"/>
        </w:rPr>
        <w:t>”)</w:t>
      </w:r>
    </w:p>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NOW</w:t>
      </w:r>
      <w:r>
        <w:rPr>
          <w:rFonts w:ascii="Times New Roman;Times;serif" w:hAnsi="Times New Roman;Times;serif"/>
          <w:sz w:val="20"/>
        </w:rPr>
        <w:t xml:space="preserve">, </w:t>
      </w:r>
      <w:r>
        <w:rPr>
          <w:rFonts w:ascii="Times New Roman;Times;serif" w:hAnsi="Times New Roman;Times;serif"/>
          <w:b/>
          <w:sz w:val="20"/>
        </w:rPr>
        <w:t>THEREFORE</w:t>
      </w:r>
      <w:r>
        <w:rPr>
          <w:rFonts w:ascii="Times New Roman;Times;serif" w:hAnsi="Times New Roman;Times;serif"/>
          <w:sz w:val="20"/>
        </w:rPr>
        <w:t>, intending to be legally bound, and in consideration of the premises and the mutual promises set forth in this Agreement and for other good and valuable consideration, the receipt and sufficiency of which are hereby acknowledged, the Company and the Employee agree as follows: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DEFINITIONS</w:t>
      </w:r>
    </w:p>
    <w:p>
      <w:pPr>
        <w:pStyle w:val="TextBody"/>
        <w:bidi w:val="0"/>
        <w:spacing w:before="0" w:after="240"/>
        <w:ind w:left="0" w:right="0" w:hanging="0"/>
        <w:jc w:val="both"/>
        <w:rPr/>
      </w:pPr>
      <w:r>
        <w:rPr/>
        <w:t>“</w:t>
      </w:r>
      <w:r>
        <w:rPr>
          <w:rFonts w:ascii="Times New Roman;Times;serif" w:hAnsi="Times New Roman;Times;serif"/>
          <w:sz w:val="20"/>
          <w:u w:val="single"/>
        </w:rPr>
        <w:t>Affiliate</w:t>
      </w:r>
      <w:r>
        <w:rPr>
          <w:rFonts w:ascii="Times New Roman;Times;serif" w:hAnsi="Times New Roman;Times;serif"/>
          <w:sz w:val="20"/>
        </w:rPr>
        <w:t>” means with respect to any Person directly or indirectly Controlling, Controlled by, or under common Control with such Person.</w:t>
      </w:r>
    </w:p>
    <w:p>
      <w:pPr>
        <w:pStyle w:val="TextBody"/>
        <w:bidi w:val="0"/>
        <w:spacing w:before="0" w:after="240"/>
        <w:ind w:left="0" w:right="0" w:hanging="0"/>
        <w:jc w:val="both"/>
        <w:rPr/>
      </w:pPr>
      <w:r>
        <w:rPr/>
        <w:t>“</w:t>
      </w:r>
      <w:r>
        <w:rPr>
          <w:rFonts w:ascii="Times New Roman;Times;serif" w:hAnsi="Times New Roman;Times;serif"/>
          <w:sz w:val="20"/>
          <w:u w:val="single"/>
        </w:rPr>
        <w:t>Ancillary Agreements</w:t>
      </w:r>
      <w:r>
        <w:rPr>
          <w:rFonts w:ascii="Times New Roman;Times;serif" w:hAnsi="Times New Roman;Times;serif"/>
          <w:sz w:val="20"/>
        </w:rPr>
        <w:t>” is as defined in Article 4.</w:t>
      </w:r>
    </w:p>
    <w:p>
      <w:pPr>
        <w:pStyle w:val="TextBody"/>
        <w:bidi w:val="0"/>
        <w:spacing w:before="0" w:after="240"/>
        <w:ind w:left="0" w:right="0" w:hanging="0"/>
        <w:jc w:val="both"/>
        <w:rPr/>
      </w:pPr>
      <w:r>
        <w:rPr/>
        <w:t>“</w:t>
      </w:r>
      <w:r>
        <w:rPr>
          <w:rFonts w:ascii="Times New Roman;Times;serif" w:hAnsi="Times New Roman;Times;serif"/>
          <w:sz w:val="20"/>
          <w:u w:val="single"/>
        </w:rPr>
        <w:t>Board</w:t>
      </w:r>
      <w:r>
        <w:rPr>
          <w:rFonts w:ascii="Times New Roman;Times;serif" w:hAnsi="Times New Roman;Times;serif"/>
          <w:sz w:val="20"/>
        </w:rPr>
        <w:t>” means the Board of Directors of the Company.</w:t>
      </w:r>
    </w:p>
    <w:p>
      <w:pPr>
        <w:pStyle w:val="TextBody"/>
        <w:bidi w:val="0"/>
        <w:spacing w:before="0" w:after="240"/>
        <w:ind w:left="0" w:right="0" w:hanging="0"/>
        <w:jc w:val="both"/>
        <w:rPr/>
      </w:pPr>
      <w:r>
        <w:rPr/>
        <w:t>“</w:t>
      </w:r>
      <w:r>
        <w:rPr>
          <w:rFonts w:ascii="Times New Roman;Times;serif" w:hAnsi="Times New Roman;Times;serif"/>
          <w:sz w:val="20"/>
          <w:u w:val="single"/>
        </w:rPr>
        <w:t>Breach</w:t>
      </w:r>
      <w:r>
        <w:rPr>
          <w:rFonts w:ascii="Times New Roman;Times;serif" w:hAnsi="Times New Roman;Times;serif"/>
          <w:sz w:val="20"/>
        </w:rPr>
        <w:t>” is as defined in Article 5.</w:t>
      </w:r>
    </w:p>
    <w:p>
      <w:pPr>
        <w:pStyle w:val="TextBody"/>
        <w:bidi w:val="0"/>
        <w:spacing w:before="0" w:after="240"/>
        <w:ind w:left="0" w:right="0" w:hanging="0"/>
        <w:jc w:val="both"/>
        <w:rPr/>
      </w:pPr>
      <w:r>
        <w:rPr/>
        <w:t>“</w:t>
      </w:r>
      <w:r>
        <w:rPr>
          <w:rFonts w:ascii="Times New Roman;Times;serif" w:hAnsi="Times New Roman;Times;serif"/>
          <w:sz w:val="20"/>
          <w:u w:val="single"/>
        </w:rPr>
        <w:t>Company</w:t>
      </w:r>
      <w:r>
        <w:rPr>
          <w:rFonts w:ascii="Times New Roman;Times;serif" w:hAnsi="Times New Roman;Times;serif"/>
          <w:sz w:val="20"/>
        </w:rPr>
        <w:t>” is as defined in the Preamble.</w:t>
      </w:r>
    </w:p>
    <w:p>
      <w:pPr>
        <w:pStyle w:val="TextBody"/>
        <w:bidi w:val="0"/>
        <w:spacing w:before="0" w:after="240"/>
        <w:ind w:left="0" w:right="0" w:hanging="0"/>
        <w:jc w:val="both"/>
        <w:rPr/>
      </w:pPr>
      <w:r>
        <w:rPr/>
        <w:t>“</w:t>
      </w:r>
      <w:r>
        <w:rPr>
          <w:rFonts w:ascii="Times New Roman;Times;serif" w:hAnsi="Times New Roman;Times;serif"/>
          <w:sz w:val="20"/>
        </w:rPr>
        <w:t>Compensation Committee” means the compensation committee of the Board of the Company or such other group of directors performing similar functions.</w:t>
      </w:r>
    </w:p>
    <w:p>
      <w:pPr>
        <w:pStyle w:val="TextBody"/>
        <w:bidi w:val="0"/>
        <w:spacing w:before="0" w:after="240"/>
        <w:ind w:left="0" w:right="0" w:hanging="0"/>
        <w:jc w:val="both"/>
        <w:rPr/>
      </w:pPr>
      <w:r>
        <w:rPr/>
        <w:t>“</w:t>
      </w:r>
      <w:r>
        <w:rPr>
          <w:rFonts w:ascii="Times New Roman;Times;serif" w:hAnsi="Times New Roman;Times;serif"/>
          <w:sz w:val="20"/>
          <w:u w:val="single"/>
        </w:rPr>
        <w:t>Control</w:t>
      </w:r>
      <w:r>
        <w:rPr>
          <w:rFonts w:ascii="Times New Roman;Times;serif" w:hAnsi="Times New Roman;Times;serif"/>
          <w:sz w:val="20"/>
        </w:rPr>
        <w:t>” (including the terms “Controlled by” and “under common Control with”) means the possession, directly or indirectly or as a trustee or executor, of the power to direct or cause the direction of the management of a Person, whether through the ownership of shares, as a trustee or executor, by contract or credit agreement or otherwise.</w:t>
      </w:r>
    </w:p>
    <w:p>
      <w:pPr>
        <w:pStyle w:val="TextBody"/>
        <w:bidi w:val="0"/>
        <w:spacing w:before="0" w:after="240"/>
        <w:ind w:left="0" w:right="0" w:hanging="0"/>
        <w:jc w:val="both"/>
        <w:rPr/>
      </w:pPr>
      <w:r>
        <w:rPr/>
        <w:t>“</w:t>
      </w:r>
      <w:r>
        <w:rPr>
          <w:rFonts w:ascii="Times New Roman;Times;serif" w:hAnsi="Times New Roman;Times;serif"/>
          <w:sz w:val="20"/>
          <w:u w:val="single"/>
        </w:rPr>
        <w:t>Effective Date</w:t>
      </w:r>
      <w:r>
        <w:rPr>
          <w:rFonts w:ascii="Times New Roman;Times;serif" w:hAnsi="Times New Roman;Times;serif"/>
          <w:sz w:val="20"/>
        </w:rPr>
        <w:t xml:space="preserve">” is </w:t>
      </w:r>
      <w:r>
        <w:rPr>
          <w:rFonts w:ascii="Times New Roman;Times;serif" w:hAnsi="Times New Roman;Times;serif"/>
          <w:b/>
          <w:sz w:val="20"/>
        </w:rPr>
        <w:t>________</w:t>
      </w:r>
      <w:r>
        <w:rPr>
          <w:rFonts w:ascii="Times New Roman;Times;serif" w:hAnsi="Times New Roman;Times;serif"/>
          <w:sz w:val="20"/>
        </w:rPr>
        <w:t>.</w:t>
      </w:r>
    </w:p>
    <w:p>
      <w:pPr>
        <w:pStyle w:val="TextBody"/>
        <w:bidi w:val="0"/>
        <w:spacing w:before="0" w:after="240"/>
        <w:ind w:left="0" w:right="0" w:hanging="0"/>
        <w:jc w:val="both"/>
        <w:rPr/>
      </w:pPr>
      <w:r>
        <w:rPr/>
        <w:t>“</w:t>
      </w:r>
      <w:r>
        <w:rPr>
          <w:rFonts w:ascii="Times New Roman;Times;serif" w:hAnsi="Times New Roman;Times;serif"/>
          <w:sz w:val="20"/>
          <w:u w:val="single"/>
        </w:rPr>
        <w:t>Employee</w:t>
      </w:r>
      <w:r>
        <w:rPr>
          <w:rFonts w:ascii="Times New Roman;Times;serif" w:hAnsi="Times New Roman;Times;serif"/>
          <w:sz w:val="20"/>
        </w:rPr>
        <w:t>” is as defined in the Preamble.</w:t>
      </w:r>
    </w:p>
    <w:p>
      <w:pPr>
        <w:pStyle w:val="TextBody"/>
        <w:bidi w:val="0"/>
        <w:spacing w:before="0" w:after="240"/>
        <w:ind w:left="0" w:right="0" w:hanging="0"/>
        <w:jc w:val="both"/>
        <w:rPr/>
      </w:pPr>
      <w:r>
        <w:rPr/>
        <w:t>“</w:t>
      </w:r>
      <w:r>
        <w:rPr>
          <w:rFonts w:ascii="Times New Roman;Times;serif" w:hAnsi="Times New Roman;Times;serif"/>
          <w:sz w:val="20"/>
          <w:u w:val="single"/>
        </w:rPr>
        <w:t>Employee Equity Compensation Awards</w:t>
      </w:r>
      <w:r>
        <w:rPr>
          <w:rFonts w:ascii="Times New Roman;Times;serif" w:hAnsi="Times New Roman;Times;serif"/>
          <w:sz w:val="20"/>
        </w:rPr>
        <w:t>” shall be the right given by the Company to the Employee on specific vesting dates during the Employment Term to purchase a specific</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number of Ordinary Shares or other securities of the Company at a specific exercise price or restricted share unit or other equity compensation award, as set forth in Section 2.1(iii), with more detailed terms and conditions provided in the relevant employee equity incentive plan or scheme or award agreements thereunder.</w:t>
      </w:r>
    </w:p>
    <w:p>
      <w:pPr>
        <w:pStyle w:val="TextBody"/>
        <w:bidi w:val="0"/>
        <w:spacing w:before="0" w:after="240"/>
        <w:ind w:left="0" w:right="0" w:hanging="0"/>
        <w:jc w:val="both"/>
        <w:rPr/>
      </w:pPr>
      <w:r>
        <w:rPr/>
        <w:t>“</w:t>
      </w:r>
      <w:r>
        <w:rPr>
          <w:rFonts w:ascii="Times New Roman;Times;serif" w:hAnsi="Times New Roman;Times;serif"/>
          <w:sz w:val="20"/>
          <w:u w:val="single"/>
        </w:rPr>
        <w:t>Employment Contract Termination Date</w:t>
      </w:r>
      <w:r>
        <w:rPr>
          <w:rFonts w:ascii="Times New Roman;Times;serif" w:hAnsi="Times New Roman;Times;serif"/>
          <w:sz w:val="20"/>
        </w:rPr>
        <w:t>” means the date on which either the Company or the Employee elects not to extend this Agreement further by giving written notice to the other party; provided that if the Employee makes such election, the Employment Contract Termination Date shall occur at the end of the notice period set forth in Section 3.3 below.</w:t>
      </w:r>
    </w:p>
    <w:p>
      <w:pPr>
        <w:pStyle w:val="TextBody"/>
        <w:bidi w:val="0"/>
        <w:spacing w:before="0" w:after="240"/>
        <w:ind w:left="0" w:right="0" w:hanging="0"/>
        <w:jc w:val="both"/>
        <w:rPr/>
      </w:pPr>
      <w:r>
        <w:rPr/>
        <w:t>“</w:t>
      </w:r>
      <w:r>
        <w:rPr>
          <w:rFonts w:ascii="Times New Roman;Times;serif" w:hAnsi="Times New Roman;Times;serif"/>
          <w:sz w:val="20"/>
          <w:u w:val="single"/>
        </w:rPr>
        <w:t>Employment Final Termination Date</w:t>
      </w:r>
      <w:r>
        <w:rPr>
          <w:rFonts w:ascii="Times New Roman;Times;serif" w:hAnsi="Times New Roman;Times;serif"/>
          <w:sz w:val="20"/>
        </w:rPr>
        <w:t>” means the date upon which the Employee’s employment with the Company ceases for any reason.</w:t>
      </w:r>
    </w:p>
    <w:p>
      <w:pPr>
        <w:pStyle w:val="TextBody"/>
        <w:bidi w:val="0"/>
        <w:spacing w:before="0" w:after="240"/>
        <w:ind w:left="0" w:right="0" w:hanging="0"/>
        <w:jc w:val="both"/>
        <w:rPr/>
      </w:pPr>
      <w:r>
        <w:rPr/>
        <w:t>“</w:t>
      </w:r>
      <w:r>
        <w:rPr>
          <w:rFonts w:ascii="Times New Roman;Times;serif" w:hAnsi="Times New Roman;Times;serif"/>
          <w:sz w:val="20"/>
          <w:u w:val="single"/>
        </w:rPr>
        <w:t>Employment Term</w:t>
      </w:r>
      <w:r>
        <w:rPr>
          <w:rFonts w:ascii="Times New Roman;Times;serif" w:hAnsi="Times New Roman;Times;serif"/>
          <w:sz w:val="20"/>
        </w:rPr>
        <w:t>” is as defined in Section 1.1.</w:t>
      </w:r>
    </w:p>
    <w:p>
      <w:pPr>
        <w:pStyle w:val="TextBody"/>
        <w:bidi w:val="0"/>
        <w:spacing w:before="0" w:after="240"/>
        <w:ind w:left="0" w:right="0" w:hanging="0"/>
        <w:jc w:val="both"/>
        <w:rPr/>
      </w:pPr>
      <w:r>
        <w:rPr/>
        <w:t>“</w:t>
      </w:r>
      <w:r>
        <w:rPr>
          <w:rFonts w:ascii="Times New Roman;Times;serif" w:hAnsi="Times New Roman;Times;serif"/>
          <w:sz w:val="20"/>
          <w:u w:val="single"/>
        </w:rPr>
        <w:t>HKIAC</w:t>
      </w:r>
      <w:r>
        <w:rPr>
          <w:rFonts w:ascii="Times New Roman;Times;serif" w:hAnsi="Times New Roman;Times;serif"/>
          <w:sz w:val="20"/>
        </w:rPr>
        <w:t>” is as defined in Article 6.</w:t>
      </w:r>
    </w:p>
    <w:p>
      <w:pPr>
        <w:pStyle w:val="TextBody"/>
        <w:bidi w:val="0"/>
        <w:spacing w:before="0" w:after="240"/>
        <w:ind w:left="0" w:right="0" w:hanging="0"/>
        <w:jc w:val="both"/>
        <w:rPr/>
      </w:pPr>
      <w:r>
        <w:rPr/>
        <w:t>“</w:t>
      </w:r>
      <w:r>
        <w:rPr>
          <w:rFonts w:ascii="Times New Roman;Times;serif" w:hAnsi="Times New Roman;Times;serif"/>
          <w:sz w:val="20"/>
          <w:u w:val="single"/>
        </w:rPr>
        <w:t>Monthly Base Salary</w:t>
      </w:r>
      <w:r>
        <w:rPr>
          <w:rFonts w:ascii="Times New Roman;Times;serif" w:hAnsi="Times New Roman;Times;serif"/>
          <w:sz w:val="20"/>
        </w:rPr>
        <w:t>” is as defined in Section 2.1(i).</w:t>
      </w:r>
    </w:p>
    <w:p>
      <w:pPr>
        <w:pStyle w:val="TextBody"/>
        <w:bidi w:val="0"/>
        <w:spacing w:before="0" w:after="240"/>
        <w:ind w:left="0" w:right="0" w:hanging="0"/>
        <w:jc w:val="both"/>
        <w:rPr/>
      </w:pPr>
      <w:r>
        <w:rPr/>
        <w:t>“</w:t>
      </w:r>
      <w:r>
        <w:rPr>
          <w:rFonts w:ascii="Times New Roman;Times;serif" w:hAnsi="Times New Roman;Times;serif"/>
          <w:sz w:val="20"/>
          <w:u w:val="single"/>
        </w:rPr>
        <w:t>Ordinary Shares</w:t>
      </w:r>
      <w:r>
        <w:rPr>
          <w:rFonts w:ascii="Times New Roman;Times;serif" w:hAnsi="Times New Roman;Times;serif"/>
          <w:sz w:val="20"/>
        </w:rPr>
        <w:t>” means the ordinary shares of the Company.</w:t>
      </w:r>
    </w:p>
    <w:p>
      <w:pPr>
        <w:pStyle w:val="TextBody"/>
        <w:bidi w:val="0"/>
        <w:spacing w:before="0" w:after="240"/>
        <w:ind w:left="0" w:right="0" w:hanging="0"/>
        <w:jc w:val="both"/>
        <w:rPr/>
      </w:pPr>
      <w:r>
        <w:rPr/>
        <w:t>“</w:t>
      </w:r>
      <w:r>
        <w:rPr>
          <w:rFonts w:ascii="Times New Roman;Times;serif" w:hAnsi="Times New Roman;Times;serif"/>
          <w:sz w:val="20"/>
          <w:u w:val="single"/>
        </w:rPr>
        <w:t>Subsidiary Employment Agreement</w:t>
      </w:r>
      <w:r>
        <w:rPr>
          <w:rFonts w:ascii="Times New Roman;Times;serif" w:hAnsi="Times New Roman;Times;serif"/>
          <w:sz w:val="20"/>
        </w:rPr>
        <w:t>” is as defined in Section 2.1(i).</w:t>
      </w:r>
    </w:p>
    <w:p>
      <w:pPr>
        <w:pStyle w:val="TextBody"/>
        <w:bidi w:val="0"/>
        <w:spacing w:before="0" w:after="240"/>
        <w:ind w:left="0" w:right="0" w:hanging="0"/>
        <w:jc w:val="both"/>
        <w:rPr/>
      </w:pPr>
      <w:r>
        <w:rPr/>
        <w:t>“</w:t>
      </w:r>
      <w:r>
        <w:rPr>
          <w:rFonts w:ascii="Times New Roman;Times;serif" w:hAnsi="Times New Roman;Times;serif"/>
          <w:sz w:val="20"/>
          <w:u w:val="single"/>
        </w:rPr>
        <w:t>Performance Targets</w:t>
      </w:r>
      <w:r>
        <w:rPr>
          <w:rFonts w:ascii="Times New Roman;Times;serif" w:hAnsi="Times New Roman;Times;serif"/>
          <w:sz w:val="20"/>
        </w:rPr>
        <w:t>” is as defined in Section 2.1(ii).</w:t>
      </w:r>
    </w:p>
    <w:p>
      <w:pPr>
        <w:pStyle w:val="TextBody"/>
        <w:bidi w:val="0"/>
        <w:spacing w:before="0" w:after="240"/>
        <w:ind w:left="0" w:right="0" w:hanging="0"/>
        <w:jc w:val="both"/>
        <w:rPr/>
      </w:pPr>
      <w:r>
        <w:rPr/>
        <w:t>“</w:t>
      </w:r>
      <w:r>
        <w:rPr>
          <w:rFonts w:ascii="Times New Roman;Times;serif" w:hAnsi="Times New Roman;Times;serif"/>
          <w:sz w:val="20"/>
          <w:u w:val="single"/>
        </w:rPr>
        <w:t>Person</w:t>
      </w:r>
      <w:r>
        <w:rPr>
          <w:rFonts w:ascii="Times New Roman;Times;serif" w:hAnsi="Times New Roman;Times;serif"/>
          <w:sz w:val="20"/>
        </w:rPr>
        <w:t>” means an individual, corporation, partnership, limited liability company, limited partnership, association, trust, unincorporated organization or other entity or group.</w:t>
      </w:r>
    </w:p>
    <w:p>
      <w:pPr>
        <w:pStyle w:val="TextBody"/>
        <w:bidi w:val="0"/>
        <w:spacing w:before="0" w:after="240"/>
        <w:ind w:left="0" w:right="0" w:hanging="0"/>
        <w:jc w:val="both"/>
        <w:rPr/>
      </w:pPr>
      <w:r>
        <w:rPr/>
        <w:t>“</w:t>
      </w:r>
      <w:r>
        <w:rPr>
          <w:rFonts w:ascii="Times New Roman;Times;serif" w:hAnsi="Times New Roman;Times;serif"/>
          <w:sz w:val="20"/>
          <w:u w:val="single"/>
        </w:rPr>
        <w:t>RMB</w:t>
      </w:r>
      <w:r>
        <w:rPr>
          <w:rFonts w:ascii="Times New Roman;Times;serif" w:hAnsi="Times New Roman;Times;serif"/>
          <w:sz w:val="20"/>
        </w:rPr>
        <w:t>” means the legal currency of the People’s Republic of China.</w:t>
      </w:r>
    </w:p>
    <w:p>
      <w:pPr>
        <w:pStyle w:val="TextBody"/>
        <w:bidi w:val="0"/>
        <w:spacing w:before="0" w:after="240"/>
        <w:ind w:left="0" w:right="0" w:hanging="0"/>
        <w:jc w:val="both"/>
        <w:rPr/>
      </w:pPr>
      <w:r>
        <w:rPr/>
        <w:t>“</w:t>
      </w:r>
      <w:r>
        <w:rPr>
          <w:rFonts w:ascii="Times New Roman;Times;serif" w:hAnsi="Times New Roman;Times;serif"/>
          <w:sz w:val="20"/>
          <w:u w:val="single"/>
        </w:rPr>
        <w:t>Subsidiary</w:t>
      </w:r>
      <w:r>
        <w:rPr>
          <w:rFonts w:ascii="Times New Roman;Times;serif" w:hAnsi="Times New Roman;Times;serif"/>
          <w:sz w:val="20"/>
        </w:rPr>
        <w:t>” means, with respect to any Person, any entity which securities or other ownership interests having ordinary voting power to elect a majority of the Board or other persons performing similar functions are at the time directly or indirectly owned by such Person and, with respect to the Company, shall also include any affiliated entities which are deemed “variable interest entities” of the Company under applicable accounting standards.</w:t>
      </w:r>
    </w:p>
    <w:p>
      <w:pPr>
        <w:pStyle w:val="TextBody"/>
        <w:bidi w:val="0"/>
        <w:spacing w:before="0" w:after="240"/>
        <w:ind w:left="0" w:right="0" w:hanging="0"/>
        <w:jc w:val="both"/>
        <w:rPr/>
      </w:pPr>
      <w:r>
        <w:rPr/>
        <w:t>“</w:t>
      </w:r>
      <w:r>
        <w:rPr>
          <w:rFonts w:ascii="Times New Roman;Times;serif" w:hAnsi="Times New Roman;Times;serif"/>
          <w:sz w:val="20"/>
          <w:u w:val="single"/>
        </w:rPr>
        <w:t>U.S. dollars</w:t>
      </w:r>
      <w:r>
        <w:rPr>
          <w:rFonts w:ascii="Times New Roman;Times;serif" w:hAnsi="Times New Roman;Times;serif"/>
          <w:sz w:val="20"/>
        </w:rPr>
        <w:t>” or “</w:t>
      </w:r>
      <w:r>
        <w:rPr>
          <w:rFonts w:ascii="Times New Roman;Times;serif" w:hAnsi="Times New Roman;Times;serif"/>
          <w:sz w:val="20"/>
          <w:u w:val="single"/>
        </w:rPr>
        <w:t>US$</w:t>
      </w:r>
      <w:r>
        <w:rPr>
          <w:rFonts w:ascii="Times New Roman;Times;serif" w:hAnsi="Times New Roman;Times;serif"/>
          <w:sz w:val="20"/>
        </w:rPr>
        <w:t>” means the legal currency of the United States.</w:t>
      </w:r>
    </w:p>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color w:val="010000"/>
          <w:sz w:val="20"/>
        </w:rPr>
        <w:t>Article 1.</w:t>
      </w:r>
      <w:r>
        <w:rPr>
          <w:rFonts w:ascii="Times New Roman;Times;serif" w:hAnsi="Times New Roman;Times;serif"/>
          <w:b/>
          <w:sz w:val="20"/>
        </w:rPr>
        <w:t>EMPLOYMENT AND TERM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hereby employs the Employee and the Employee hereby agrees to such employment by the Company during the Employment Term to serve as the </w:t>
      </w:r>
      <w:r>
        <w:rPr>
          <w:rFonts w:ascii="Times New Roman;Times;serif" w:hAnsi="Times New Roman;Times;serif"/>
          <w:b/>
          <w:sz w:val="20"/>
        </w:rPr>
        <w:t>________</w:t>
      </w:r>
      <w:r>
        <w:rPr>
          <w:rFonts w:ascii="Times New Roman;Times;serif" w:hAnsi="Times New Roman;Times;serif"/>
          <w:sz w:val="20"/>
        </w:rPr>
        <w:t xml:space="preserve"> for the benefit of the Company, with the customary duties, authorities and responsibilities of such position and such other duties, authorities and responsibilities relative to the Company that may from time to time be delegated to the Employee by the Chief Executive Officer of the Company, subject to the supervision of and direction by the Board. The Employee shall perform such duties and responsibilities as are normally related to such position in accordance with the standards of the industry and any additional duties now or hereafter assigned to the Employee. The Employee shall abide by the Company’s rules, regulations and practices as they may from time-to-time be adopted or modified.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40"/>
              <w:jc w:val="both"/>
              <w:rPr>
                <w:rFonts w:ascii="Times New Roman;Times;serif" w:hAnsi="Times New Roman;Times;serif"/>
                <w:b/>
                <w:color w:val="010000"/>
                <w:sz w:val="20"/>
              </w:rPr>
            </w:pPr>
            <w:r>
              <w:rPr>
                <w:rFonts w:ascii="Times New Roman;Times;serif" w:hAnsi="Times New Roman;Times;serif"/>
                <w:b/>
                <w:color w:val="010000"/>
                <w:sz w:val="20"/>
              </w:rPr>
              <w:t>1.1</w:t>
            </w:r>
          </w:p>
        </w:tc>
        <w:tc>
          <w:tcPr>
            <w:tcW w:w="99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0"/>
              </w:rPr>
              <w:t>Employment Term</w:t>
            </w:r>
            <w:r>
              <w:rPr>
                <w:rFonts w:ascii="Times New Roman;Times;serif" w:hAnsi="Times New Roman;Times;serif"/>
                <w:sz w:val="20"/>
              </w:rPr>
              <w:t>. The Employment Term of this Agreement shall commence on the Effective Date and shall continue until the earlier of the Employment Contract Termination Date or the Employment Final Termination Date.</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40"/>
              <w:jc w:val="both"/>
              <w:rPr>
                <w:rFonts w:ascii="Times New Roman;Times;serif" w:hAnsi="Times New Roman;Times;serif"/>
                <w:b/>
                <w:color w:val="010000"/>
                <w:sz w:val="20"/>
              </w:rPr>
            </w:pPr>
            <w:r>
              <w:rPr>
                <w:rFonts w:ascii="Times New Roman;Times;serif" w:hAnsi="Times New Roman;Times;serif"/>
                <w:b/>
                <w:color w:val="010000"/>
                <w:sz w:val="20"/>
              </w:rPr>
              <w:t>1.2</w:t>
            </w:r>
          </w:p>
        </w:tc>
        <w:tc>
          <w:tcPr>
            <w:tcW w:w="99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0"/>
              </w:rPr>
              <w:t>Full Working Time</w:t>
            </w:r>
            <w:r>
              <w:rPr>
                <w:rFonts w:ascii="Times New Roman;Times;serif" w:hAnsi="Times New Roman;Times;serif"/>
                <w:sz w:val="20"/>
              </w:rPr>
              <w:t>. During the Employment Term, the Employee shall devote all of his attention, experience and efforts during normal business hours to the proper performance of his duties hereunder and to the business and affairs of the Company. Notwithstanding the foregoing, the Company and the Employee acknowledge and agree that the Employee shall provide a portion of his time to one or more Subsidiaries and be compensated by such Subsidiaries, as determined by the management of the Company and/or the Compensation Committee.</w:t>
            </w:r>
          </w:p>
        </w:tc>
      </w:tr>
    </w:tbl>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color w:val="010000"/>
          <w:sz w:val="20"/>
        </w:rPr>
        <w:t>Article 2.</w:t>
      </w:r>
      <w:r>
        <w:rPr>
          <w:rFonts w:ascii="Times New Roman;Times;serif" w:hAnsi="Times New Roman;Times;serif"/>
          <w:b/>
          <w:sz w:val="20"/>
        </w:rPr>
        <w:t>COMPENSATION PACKAGE AMOUNT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40"/>
              <w:jc w:val="both"/>
              <w:rPr>
                <w:rFonts w:ascii="Times New Roman;Times;serif" w:hAnsi="Times New Roman;Times;serif"/>
                <w:b/>
                <w:color w:val="010000"/>
                <w:sz w:val="20"/>
              </w:rPr>
            </w:pPr>
            <w:r>
              <w:rPr>
                <w:rFonts w:ascii="Times New Roman;Times;serif" w:hAnsi="Times New Roman;Times;serif"/>
                <w:b/>
                <w:color w:val="010000"/>
                <w:sz w:val="20"/>
              </w:rPr>
              <w:t>2.1</w:t>
            </w:r>
          </w:p>
        </w:tc>
        <w:tc>
          <w:tcPr>
            <w:tcW w:w="99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0"/>
              </w:rPr>
              <w:t>Cash and Equity Compensation</w:t>
            </w:r>
            <w:r>
              <w:rPr>
                <w:rFonts w:ascii="Times New Roman;Times;serif" w:hAnsi="Times New Roman;Times;serif"/>
                <w:sz w:val="20"/>
              </w:rPr>
              <w:t>. During the Employment Term, as compensation for services hereunder and subject to the performance of his obligations hereunder, the Employee shall receive the following:</w:t>
            </w:r>
          </w:p>
        </w:tc>
      </w:tr>
    </w:tbl>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both"/>
              <w:rPr>
                <w:rFonts w:ascii="Times New Roman;Times;serif" w:hAnsi="Times New Roman;Times;serif"/>
                <w:color w:val="010000"/>
                <w:sz w:val="20"/>
              </w:rPr>
            </w:pPr>
            <w:r>
              <w:rPr>
                <w:rFonts w:ascii="Times New Roman;Times;serif" w:hAnsi="Times New Roman;Times;serif"/>
                <w:color w:val="010000"/>
                <w:sz w:val="20"/>
              </w:rPr>
              <w:t>i.</w:t>
            </w:r>
          </w:p>
        </w:tc>
        <w:tc>
          <w:tcPr>
            <w:tcW w:w="1005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u w:val="single"/>
              </w:rPr>
              <w:t>Base Salary</w:t>
            </w:r>
            <w:r>
              <w:rPr>
                <w:rFonts w:ascii="Times New Roman;Times;serif" w:hAnsi="Times New Roman;Times;serif"/>
                <w:sz w:val="20"/>
              </w:rPr>
              <w:t>: The Monthly Base Salary shall be as set forth in the agreement which has been entered into by and between the Employee and the relevant Subsidiary of the Company (the “</w:t>
            </w:r>
            <w:r>
              <w:rPr>
                <w:rFonts w:ascii="Times New Roman;Times;serif" w:hAnsi="Times New Roman;Times;serif"/>
                <w:sz w:val="20"/>
                <w:u w:val="single"/>
              </w:rPr>
              <w:t>Subsidiary Employment Agreement</w:t>
            </w:r>
            <w:r>
              <w:rPr>
                <w:rFonts w:ascii="Times New Roman;Times;serif" w:hAnsi="Times New Roman;Times;serif"/>
                <w:sz w:val="20"/>
              </w:rPr>
              <w:t>”), pro rated for the number of days actually worked by Employee in any month in which the Effective Date and the Employment Contract Termination Date or the Employment Final Termination Date occurs;</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both"/>
              <w:rPr>
                <w:rFonts w:ascii="Times New Roman;Times;serif" w:hAnsi="Times New Roman;Times;serif"/>
                <w:color w:val="010000"/>
                <w:sz w:val="20"/>
              </w:rPr>
            </w:pPr>
            <w:r>
              <w:rPr>
                <w:rFonts w:ascii="Times New Roman;Times;serif" w:hAnsi="Times New Roman;Times;serif"/>
                <w:color w:val="010000"/>
                <w:sz w:val="20"/>
              </w:rPr>
              <w:t>ii.</w:t>
            </w:r>
          </w:p>
        </w:tc>
        <w:tc>
          <w:tcPr>
            <w:tcW w:w="999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u w:val="single"/>
              </w:rPr>
              <w:t>Annual Incentive Cash Bonus</w:t>
            </w:r>
            <w:r>
              <w:rPr>
                <w:rFonts w:ascii="Times New Roman;Times;serif" w:hAnsi="Times New Roman;Times;serif"/>
                <w:sz w:val="20"/>
              </w:rPr>
              <w:t>: An annual incentive cash bonus payable in the following calendar year, subject to the Company’s and/or Employee’s achievement of the annual performance targets established by the Compensation Committee and/or management of the Company (the “</w:t>
            </w:r>
            <w:r>
              <w:rPr>
                <w:rFonts w:ascii="Times New Roman;Times;serif" w:hAnsi="Times New Roman;Times;serif"/>
                <w:sz w:val="20"/>
                <w:u w:val="single"/>
              </w:rPr>
              <w:t>Performance Targets</w:t>
            </w:r>
            <w:r>
              <w:rPr>
                <w:rFonts w:ascii="Times New Roman;Times;serif" w:hAnsi="Times New Roman;Times;serif"/>
                <w:sz w:val="20"/>
              </w:rPr>
              <w:t>”), such performance as verified and approved by the Compensation Committee and/or management of the Company. Such bonus shall not be deemed earned until the Compensation Committee and/or management of the Company verifies the achievement of the Performance Targets and approves payment of such bonus to Employee; and</w:t>
            </w:r>
          </w:p>
        </w:tc>
      </w:tr>
    </w:tbl>
    <w:tbl>
      <w:tblPr>
        <w:tblW w:w="10205" w:type="dxa"/>
        <w:jc w:val="left"/>
        <w:tblInd w:w="0" w:type="dxa"/>
        <w:tblLayout w:type="fixed"/>
        <w:tblCellMar>
          <w:top w:w="0" w:type="dxa"/>
          <w:left w:w="0" w:type="dxa"/>
          <w:bottom w:w="0" w:type="dxa"/>
          <w:right w:w="0" w:type="dxa"/>
        </w:tblCellMar>
      </w:tblPr>
      <w:tblGrid>
        <w:gridCol w:w="23"/>
        <w:gridCol w:w="245"/>
        <w:gridCol w:w="9937"/>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both"/>
              <w:rPr>
                <w:rFonts w:ascii="Times New Roman;Times;serif" w:hAnsi="Times New Roman;Times;serif"/>
                <w:color w:val="010000"/>
                <w:sz w:val="20"/>
              </w:rPr>
            </w:pPr>
            <w:r>
              <w:rPr>
                <w:rFonts w:ascii="Times New Roman;Times;serif" w:hAnsi="Times New Roman;Times;serif"/>
                <w:color w:val="010000"/>
                <w:sz w:val="20"/>
              </w:rPr>
              <w:t>iii.</w:t>
            </w:r>
          </w:p>
        </w:tc>
        <w:tc>
          <w:tcPr>
            <w:tcW w:w="993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u w:val="single"/>
              </w:rPr>
              <w:t>Equity Compensation Award</w:t>
            </w:r>
            <w:r>
              <w:rPr>
                <w:rFonts w:ascii="Times New Roman;Times;serif" w:hAnsi="Times New Roman;Times;serif"/>
                <w:sz w:val="20"/>
              </w:rPr>
              <w:t>: The Employee may receive Employee Equity Compensation Awards, as determined by the Compensation Committee in its discretion from time to time.</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cash compensation set forth in clauses (i) and (ii) above shall be payable in U.S. dollars, RMB and/or such other currencies as the Employee and the Company shall mutually agree.</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During the term of employment hereunder, the Employee’s cash compensation and equity awards shall be reviewed by the Board, the Compensation Committee or management of the Company from time to time (but no less than annually) to determine whether an increase in the Employee’s salary and additional equity awards are appropriate.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40"/>
              <w:jc w:val="both"/>
              <w:rPr>
                <w:rFonts w:ascii="Times New Roman;Times;serif" w:hAnsi="Times New Roman;Times;serif"/>
                <w:b/>
                <w:color w:val="010000"/>
                <w:sz w:val="20"/>
              </w:rPr>
            </w:pPr>
            <w:r>
              <w:rPr>
                <w:rFonts w:ascii="Times New Roman;Times;serif" w:hAnsi="Times New Roman;Times;serif"/>
                <w:b/>
                <w:color w:val="010000"/>
                <w:sz w:val="20"/>
              </w:rPr>
              <w:t>2.2</w:t>
            </w:r>
          </w:p>
        </w:tc>
        <w:tc>
          <w:tcPr>
            <w:tcW w:w="99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0"/>
              </w:rPr>
              <w:t>Benefits</w:t>
            </w:r>
            <w:r>
              <w:rPr>
                <w:rFonts w:ascii="Times New Roman;Times;serif" w:hAnsi="Times New Roman;Times;serif"/>
                <w:sz w:val="20"/>
              </w:rPr>
              <w:t>. During the Employment Term, the Employee shall be entitled to medical insurance benefits in accordance with the Company’s standard policies from time to time.</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40"/>
              <w:jc w:val="both"/>
              <w:rPr>
                <w:rFonts w:ascii="Times New Roman;Times;serif" w:hAnsi="Times New Roman;Times;serif"/>
                <w:b/>
                <w:color w:val="010000"/>
                <w:sz w:val="20"/>
              </w:rPr>
            </w:pPr>
            <w:r>
              <w:rPr>
                <w:rFonts w:ascii="Times New Roman;Times;serif" w:hAnsi="Times New Roman;Times;serif"/>
                <w:b/>
                <w:color w:val="010000"/>
                <w:sz w:val="20"/>
              </w:rPr>
              <w:t>2.3</w:t>
            </w:r>
          </w:p>
        </w:tc>
        <w:tc>
          <w:tcPr>
            <w:tcW w:w="99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0"/>
              </w:rPr>
              <w:t xml:space="preserve">Individual Income Tax. </w:t>
            </w:r>
            <w:r>
              <w:rPr>
                <w:rFonts w:ascii="Times New Roman;Times;serif" w:hAnsi="Times New Roman;Times;serif"/>
                <w:sz w:val="20"/>
              </w:rPr>
              <w:t>The Employee shall be responsible for paying his own individual income tax in respect of the compensation received hereunder.</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40"/>
              <w:jc w:val="both"/>
              <w:rPr>
                <w:rFonts w:ascii="Times New Roman;Times;serif" w:hAnsi="Times New Roman;Times;serif"/>
                <w:b/>
                <w:color w:val="010000"/>
                <w:sz w:val="20"/>
              </w:rPr>
            </w:pPr>
            <w:r>
              <w:rPr>
                <w:rFonts w:ascii="Times New Roman;Times;serif" w:hAnsi="Times New Roman;Times;serif"/>
                <w:b/>
                <w:color w:val="010000"/>
                <w:sz w:val="20"/>
              </w:rPr>
              <w:t>2.4</w:t>
            </w:r>
          </w:p>
        </w:tc>
        <w:tc>
          <w:tcPr>
            <w:tcW w:w="99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0"/>
              </w:rPr>
              <w:t>Annual Leave</w:t>
            </w:r>
            <w:r>
              <w:rPr>
                <w:rFonts w:ascii="Times New Roman;Times;serif" w:hAnsi="Times New Roman;Times;serif"/>
                <w:sz w:val="20"/>
              </w:rPr>
              <w:t>. The Employee shall be entitled to such number of days of annual leave with pay during each calendar year of the Employment Term as is provided in the applicable Company policy then in effect.</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40"/>
              <w:jc w:val="both"/>
              <w:rPr>
                <w:rFonts w:ascii="Times New Roman;Times;serif" w:hAnsi="Times New Roman;Times;serif"/>
                <w:b/>
                <w:color w:val="010000"/>
                <w:sz w:val="20"/>
              </w:rPr>
            </w:pPr>
            <w:r>
              <w:rPr>
                <w:rFonts w:ascii="Times New Roman;Times;serif" w:hAnsi="Times New Roman;Times;serif"/>
                <w:b/>
                <w:color w:val="010000"/>
                <w:sz w:val="20"/>
              </w:rPr>
              <w:t>2.5</w:t>
            </w:r>
          </w:p>
        </w:tc>
        <w:tc>
          <w:tcPr>
            <w:tcW w:w="99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0"/>
              </w:rPr>
              <w:t>Travel Expenses Reimbursement</w:t>
            </w:r>
            <w:r>
              <w:rPr>
                <w:rFonts w:ascii="Times New Roman;Times;serif" w:hAnsi="Times New Roman;Times;serif"/>
                <w:sz w:val="20"/>
              </w:rPr>
              <w:t>. The Company shall pay or reimburse the Employee for reasonable business expenses actually incurred or paid by the Employee during the Employment Term in the performance of his services hereunder, subject, however, to the Company’s policies and guidelines relating to business-related expenses as in effect from time to time during the Employment Term, </w:t>
            </w:r>
            <w:r>
              <w:rPr>
                <w:rFonts w:ascii="Times New Roman;Times;serif" w:hAnsi="Times New Roman;Times;serif"/>
                <w:i/>
                <w:sz w:val="20"/>
              </w:rPr>
              <w:t>provided</w:t>
            </w:r>
            <w:r>
              <w:rPr>
                <w:rFonts w:ascii="Times New Roman;Times;serif" w:hAnsi="Times New Roman;Times;serif"/>
                <w:sz w:val="20"/>
              </w:rPr>
              <w:t> that, the Employee shall provide to the Company all appropriate receipts and vouchers.</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40"/>
              <w:jc w:val="both"/>
              <w:rPr>
                <w:rFonts w:ascii="Times New Roman;Times;serif" w:hAnsi="Times New Roman;Times;serif"/>
                <w:b/>
                <w:color w:val="010000"/>
                <w:sz w:val="20"/>
              </w:rPr>
            </w:pPr>
            <w:r>
              <w:rPr>
                <w:rFonts w:ascii="Times New Roman;Times;serif" w:hAnsi="Times New Roman;Times;serif"/>
                <w:b/>
                <w:color w:val="010000"/>
                <w:sz w:val="20"/>
              </w:rPr>
              <w:t>2.6</w:t>
            </w:r>
          </w:p>
        </w:tc>
        <w:tc>
          <w:tcPr>
            <w:tcW w:w="99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0"/>
              </w:rPr>
              <w:t>Compensation Payments</w:t>
            </w:r>
            <w:r>
              <w:rPr>
                <w:rFonts w:ascii="Times New Roman;Times;serif" w:hAnsi="Times New Roman;Times;serif"/>
                <w:sz w:val="20"/>
              </w:rPr>
              <w:t>. The compensation and benefits under this Article 2 shall be provided to the Employee by the Company or through any of the Company’s Subsidiaries as may be designated by the Company from time to time.</w:t>
            </w:r>
          </w:p>
        </w:tc>
      </w:tr>
    </w:tbl>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color w:val="010000"/>
          <w:sz w:val="20"/>
        </w:rPr>
        <w:t>Article 3.</w:t>
      </w:r>
      <w:r>
        <w:rPr>
          <w:rFonts w:ascii="Times New Roman;Times;serif" w:hAnsi="Times New Roman;Times;serif"/>
          <w:b/>
          <w:sz w:val="20"/>
        </w:rPr>
        <w:t>TERMINATION</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40"/>
              <w:jc w:val="both"/>
              <w:rPr>
                <w:rFonts w:ascii="Times New Roman;Times;serif" w:hAnsi="Times New Roman;Times;serif"/>
                <w:b/>
                <w:color w:val="010000"/>
                <w:sz w:val="20"/>
              </w:rPr>
            </w:pPr>
            <w:r>
              <w:rPr>
                <w:rFonts w:ascii="Times New Roman;Times;serif" w:hAnsi="Times New Roman;Times;serif"/>
                <w:b/>
                <w:color w:val="010000"/>
                <w:sz w:val="20"/>
              </w:rPr>
              <w:t>3.1</w:t>
            </w:r>
          </w:p>
        </w:tc>
        <w:tc>
          <w:tcPr>
            <w:tcW w:w="99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0"/>
              </w:rPr>
              <w:t xml:space="preserve">General. </w:t>
            </w:r>
            <w:r>
              <w:rPr>
                <w:rFonts w:ascii="Times New Roman;Times;serif" w:hAnsi="Times New Roman;Times;serif"/>
                <w:sz w:val="20"/>
              </w:rPr>
              <w:t>In the event the Subsidiary Employment Agreement is terminated for any reasons pursuant to the terms therein, the employment between the Employee and the Company pursuant to this Agreement shall also be terminated unless mutually agreed by both parties.</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40"/>
              <w:jc w:val="both"/>
              <w:rPr>
                <w:rFonts w:ascii="Times New Roman;Times;serif" w:hAnsi="Times New Roman;Times;serif"/>
                <w:b/>
                <w:color w:val="010000"/>
                <w:sz w:val="20"/>
              </w:rPr>
            </w:pPr>
            <w:r>
              <w:rPr>
                <w:rFonts w:ascii="Times New Roman;Times;serif" w:hAnsi="Times New Roman;Times;serif"/>
                <w:b/>
                <w:color w:val="010000"/>
                <w:sz w:val="20"/>
              </w:rPr>
              <w:t>3.2</w:t>
            </w:r>
          </w:p>
        </w:tc>
        <w:tc>
          <w:tcPr>
            <w:tcW w:w="99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0"/>
              </w:rPr>
              <w:t>Company’s Right to Terminate</w:t>
            </w:r>
            <w:r>
              <w:rPr>
                <w:rFonts w:ascii="Times New Roman;Times;serif" w:hAnsi="Times New Roman;Times;serif"/>
                <w:sz w:val="20"/>
              </w:rPr>
              <w:t>. The Company shall have the right to terminate this Agreement at any time with or without cause.</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40"/>
              <w:jc w:val="both"/>
              <w:rPr>
                <w:rFonts w:ascii="Times New Roman;Times;serif" w:hAnsi="Times New Roman;Times;serif"/>
                <w:b/>
                <w:color w:val="010000"/>
                <w:sz w:val="20"/>
              </w:rPr>
            </w:pPr>
            <w:r>
              <w:rPr>
                <w:rFonts w:ascii="Times New Roman;Times;serif" w:hAnsi="Times New Roman;Times;serif"/>
                <w:b/>
                <w:color w:val="010000"/>
                <w:sz w:val="20"/>
              </w:rPr>
              <w:t>3.3</w:t>
            </w:r>
          </w:p>
        </w:tc>
        <w:tc>
          <w:tcPr>
            <w:tcW w:w="99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0"/>
              </w:rPr>
              <w:t>Employee’s Resignation Right</w:t>
            </w:r>
            <w:r>
              <w:rPr>
                <w:rFonts w:ascii="Times New Roman;Times;serif" w:hAnsi="Times New Roman;Times;serif"/>
                <w:sz w:val="20"/>
              </w:rPr>
              <w:t>. The Employee shall have the right to resign for any reason with three (3) months’ prior notice to the Company.</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40"/>
              <w:jc w:val="both"/>
              <w:rPr>
                <w:rFonts w:ascii="Times New Roman;Times;serif" w:hAnsi="Times New Roman;Times;serif"/>
                <w:b/>
                <w:color w:val="010000"/>
                <w:sz w:val="20"/>
              </w:rPr>
            </w:pPr>
            <w:r>
              <w:rPr>
                <w:rFonts w:ascii="Times New Roman;Times;serif" w:hAnsi="Times New Roman;Times;serif"/>
                <w:b/>
                <w:color w:val="010000"/>
                <w:sz w:val="20"/>
              </w:rPr>
              <w:t>3.4</w:t>
            </w:r>
          </w:p>
        </w:tc>
        <w:tc>
          <w:tcPr>
            <w:tcW w:w="99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0"/>
              </w:rPr>
              <w:t xml:space="preserve">Severance Benefits. </w:t>
            </w:r>
            <w:r>
              <w:rPr>
                <w:rFonts w:ascii="Times New Roman;Times;serif" w:hAnsi="Times New Roman;Times;serif"/>
                <w:sz w:val="20"/>
              </w:rPr>
              <w:t>The Employee’s rights to severance benefits, if any, shall be set forth in the terms of the Subsidiary Employment Agreement and as provided by any applicable laws.</w:t>
            </w:r>
          </w:p>
        </w:tc>
      </w:tr>
    </w:tbl>
    <w:tbl>
      <w:tblPr>
        <w:tblW w:w="9940" w:type="dxa"/>
        <w:jc w:val="left"/>
        <w:tblInd w:w="0" w:type="dxa"/>
        <w:tblLayout w:type="fixed"/>
        <w:tblCellMar>
          <w:top w:w="0" w:type="dxa"/>
          <w:left w:w="0" w:type="dxa"/>
          <w:bottom w:w="0" w:type="dxa"/>
          <w:right w:w="0" w:type="dxa"/>
        </w:tblCellMar>
      </w:tblPr>
      <w:tblGrid>
        <w:gridCol w:w="275"/>
        <w:gridCol w:w="9665"/>
      </w:tblGrid>
      <w:tr>
        <w:trPr/>
        <w:tc>
          <w:tcPr>
            <w:tcW w:w="275" w:type="dxa"/>
            <w:tcBorders/>
            <w:vAlign w:val="center"/>
          </w:tcPr>
          <w:p>
            <w:pPr>
              <w:pStyle w:val="TableContents"/>
              <w:bidi w:val="0"/>
              <w:spacing w:before="0" w:after="240"/>
              <w:jc w:val="both"/>
              <w:rPr>
                <w:rFonts w:ascii="Times New Roman;Times;serif" w:hAnsi="Times New Roman;Times;serif"/>
                <w:b/>
                <w:color w:val="010000"/>
                <w:sz w:val="20"/>
              </w:rPr>
            </w:pPr>
            <w:r>
              <w:rPr>
                <w:rFonts w:ascii="Times New Roman;Times;serif" w:hAnsi="Times New Roman;Times;serif"/>
                <w:b/>
                <w:color w:val="010000"/>
                <w:sz w:val="20"/>
              </w:rPr>
              <w:t>3.5</w:t>
            </w:r>
          </w:p>
        </w:tc>
        <w:tc>
          <w:tcPr>
            <w:tcW w:w="966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0"/>
              </w:rPr>
              <w:t>Condition of Severance Benefits.</w:t>
            </w:r>
            <w:r>
              <w:rPr>
                <w:rFonts w:ascii="Times New Roman;Times;serif" w:hAnsi="Times New Roman;Times;serif"/>
                <w:sz w:val="20"/>
              </w:rPr>
              <w:t xml:space="preserve"> The Employee’s eligibility for severance benefits is conditioned upon the following:</w:t>
            </w:r>
          </w:p>
        </w:tc>
      </w:tr>
    </w:tbl>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both"/>
              <w:rPr>
                <w:rFonts w:ascii="Times New Roman;Times;serif" w:hAnsi="Times New Roman;Times;serif"/>
                <w:color w:val="010000"/>
                <w:sz w:val="20"/>
              </w:rPr>
            </w:pPr>
            <w:r>
              <w:rPr>
                <w:rFonts w:ascii="Times New Roman;Times;serif" w:hAnsi="Times New Roman;Times;serif"/>
                <w:color w:val="010000"/>
                <w:sz w:val="20"/>
              </w:rPr>
              <w:t>i.</w:t>
            </w:r>
          </w:p>
        </w:tc>
        <w:tc>
          <w:tcPr>
            <w:tcW w:w="1005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Employee’s compliance with his post-employment obligations, including without limitation the proprietary information, confidentiality, non-competition, non-solicitation and non-disparagement obligations set forth in Article 4 hereof and the Exhibits referenced in Article 4 hereof; and</w:t>
            </w:r>
          </w:p>
        </w:tc>
      </w:tr>
    </w:tbl>
    <w:tbl>
      <w:tblPr>
        <w:tblW w:w="6963" w:type="dxa"/>
        <w:jc w:val="left"/>
        <w:tblInd w:w="0" w:type="dxa"/>
        <w:tblLayout w:type="fixed"/>
        <w:tblCellMar>
          <w:top w:w="0" w:type="dxa"/>
          <w:left w:w="0" w:type="dxa"/>
          <w:bottom w:w="0" w:type="dxa"/>
          <w:right w:w="0" w:type="dxa"/>
        </w:tblCellMar>
      </w:tblPr>
      <w:tblGrid>
        <w:gridCol w:w="23"/>
        <w:gridCol w:w="185"/>
        <w:gridCol w:w="675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both"/>
              <w:rPr>
                <w:rFonts w:ascii="Times New Roman;Times;serif" w:hAnsi="Times New Roman;Times;serif"/>
                <w:color w:val="010000"/>
                <w:sz w:val="20"/>
              </w:rPr>
            </w:pPr>
            <w:r>
              <w:rPr>
                <w:rFonts w:ascii="Times New Roman;Times;serif" w:hAnsi="Times New Roman;Times;serif"/>
                <w:color w:val="010000"/>
                <w:sz w:val="20"/>
              </w:rPr>
              <w:t>ii.</w:t>
            </w:r>
          </w:p>
        </w:tc>
        <w:tc>
          <w:tcPr>
            <w:tcW w:w="67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 xml:space="preserve">Employee having first signed a release certificate in the form attached as </w:t>
            </w:r>
            <w:r>
              <w:rPr>
                <w:rFonts w:ascii="Times New Roman;Times;serif" w:hAnsi="Times New Roman;Times;serif"/>
                <w:sz w:val="20"/>
                <w:u w:val="single"/>
              </w:rPr>
              <w:t>Exhibit C.</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color w:val="010000"/>
          <w:sz w:val="20"/>
        </w:rPr>
        <w:t>Article 4.</w:t>
      </w:r>
      <w:r>
        <w:rPr>
          <w:rFonts w:ascii="Times New Roman;Times;serif" w:hAnsi="Times New Roman;Times;serif"/>
          <w:b/>
          <w:sz w:val="20"/>
        </w:rPr>
        <w:t>PROPRIETARY INFORMATION AND NON-COMPETITION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Employee shall, on the Effective Date, enter into the Key Employee Invention Assignment and Confidentiality Agreement in the form as </w:t>
      </w:r>
      <w:r>
        <w:rPr>
          <w:rFonts w:ascii="Times New Roman;Times;serif" w:hAnsi="Times New Roman;Times;serif"/>
          <w:sz w:val="20"/>
          <w:u w:val="single"/>
        </w:rPr>
        <w:t>Exhibit A</w:t>
      </w:r>
      <w:r>
        <w:rPr>
          <w:rFonts w:ascii="Times New Roman;Times;serif" w:hAnsi="Times New Roman;Times;serif"/>
          <w:sz w:val="20"/>
        </w:rPr>
        <w:t xml:space="preserve"> attached hereto and the Non-Compete Agreement (together with the Key Employee Invention Assignment and Confidentiality Agreement, the “</w:t>
      </w:r>
      <w:r>
        <w:rPr>
          <w:rFonts w:ascii="Times New Roman;Times;serif" w:hAnsi="Times New Roman;Times;serif"/>
          <w:sz w:val="20"/>
          <w:u w:val="single"/>
        </w:rPr>
        <w:t>Ancillary Agreements</w:t>
      </w:r>
      <w:r>
        <w:rPr>
          <w:rFonts w:ascii="Times New Roman;Times;serif" w:hAnsi="Times New Roman;Times;serif"/>
          <w:sz w:val="20"/>
        </w:rPr>
        <w:t xml:space="preserve">”) in the form as </w:t>
      </w:r>
      <w:r>
        <w:rPr>
          <w:rFonts w:ascii="Times New Roman;Times;serif" w:hAnsi="Times New Roman;Times;serif"/>
          <w:sz w:val="20"/>
          <w:u w:val="single"/>
        </w:rPr>
        <w:t>Exhibit B</w:t>
      </w:r>
      <w:r>
        <w:rPr>
          <w:rFonts w:ascii="Times New Roman;Times;serif" w:hAnsi="Times New Roman;Times;serif"/>
          <w:sz w:val="20"/>
        </w:rPr>
        <w:t xml:space="preserve"> attached hereto. The Employee agrees that the entering into of the Ancillary Agreements is necessary to protect the interests of the Company, its Subsidiaries or Affiliates and is reasonable and valid in geographical and temporal scope and in all other respects. If any court determines that this Article 4 or any provision in the Ancillary Agreements is unenforceable because of the duration or geographical scope of such provision, such court will have the power to reduce the duration or scope of such provision, as the case may be, and, in its reduced form, such provision will be enforceable.</w:t>
      </w:r>
    </w:p>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color w:val="010000"/>
          <w:sz w:val="20"/>
        </w:rPr>
        <w:t>Article 5.</w:t>
      </w:r>
      <w:r>
        <w:rPr>
          <w:rFonts w:ascii="Times New Roman;Times;serif" w:hAnsi="Times New Roman;Times;serif"/>
          <w:b/>
          <w:sz w:val="20"/>
        </w:rPr>
        <w:t>REMEDIES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the Employee commits a breach, or threatens to commit a breach, of any provisions of this Agreement or the Ancillary Agreements (the “</w:t>
      </w:r>
      <w:r>
        <w:rPr>
          <w:rFonts w:ascii="Times New Roman;Times;serif" w:hAnsi="Times New Roman;Times;serif"/>
          <w:sz w:val="20"/>
          <w:u w:val="single"/>
        </w:rPr>
        <w:t>Breach</w:t>
      </w:r>
      <w:r>
        <w:rPr>
          <w:rFonts w:ascii="Times New Roman;Times;serif" w:hAnsi="Times New Roman;Times;serif"/>
          <w:sz w:val="20"/>
        </w:rPr>
        <w:t>”), the Company shall have the right (a) to terminate the employment and claim for damages associated with the Breach, each of which shall be independent of the others and shall be severally enforceable, and all of which shall be in addition to, and not in lieu of, any other rights and remedies available under law or in equity to the Company; and (b) to seek injunctive relief from any court of competent jurisdiction for any Breach or threatened Breach of the Ancillary Agreements, it being acknowledged and agreed that any Breach or threatened Breach of any of such provision by the Employee will cause irreparable injury to the Company and that money damages will not provide an adequate remedy to the Company.</w:t>
      </w:r>
    </w:p>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color w:val="010000"/>
          <w:sz w:val="20"/>
        </w:rPr>
        <w:t>Article 6.</w:t>
      </w:r>
      <w:r>
        <w:rPr>
          <w:rFonts w:ascii="Times New Roman;Times;serif" w:hAnsi="Times New Roman;Times;serif"/>
          <w:b/>
          <w:sz w:val="20"/>
        </w:rPr>
        <w:t>DISPUTE RESOLUTION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Any dispute, controversy or claim, at any time arising out of or relating to this Agreement, or the breach, termination or invalidity thereof (other than any dispute, controversy or claim pursuant to the Key Employee Invention Assignment and Confidentiality Agreement or Non-Compete Agreement under Articles 4 hereof, which may, at the option of the Company, be submitted to any court having jurisdiction), shall be settled by binding arbitration at the request of either party. Each arbitration hereunder shall be conducted in Hong Kong at the Hong Kong International Arbitration Centre (“</w:t>
      </w:r>
      <w:r>
        <w:rPr>
          <w:rFonts w:ascii="Times New Roman;Times;serif" w:hAnsi="Times New Roman;Times;serif"/>
          <w:sz w:val="20"/>
          <w:u w:val="single"/>
        </w:rPr>
        <w:t>HKIAC</w:t>
      </w:r>
      <w:r>
        <w:rPr>
          <w:rFonts w:ascii="Times New Roman;Times;serif" w:hAnsi="Times New Roman;Times;serif"/>
          <w:sz w:val="20"/>
        </w:rPr>
        <w:t>”) in accordance with the UNCITRAL Arbitration Rules then in effect. Any such arbitration shall be administered by HKIAC in accordance with HKIAC Procedures for Arbitration in force at the date of this Agreement including such additions to the UNCITRAL Arbitration Rules as are therein contained. Judgment upon an award rendered in an arbitration hereunder may be entered in any court having jurisdiction or application may be made to such court for judicial acceptance of any award and an order of enforcement, as the case may be. The arbitrators shall have the authority to grant any equitable and legal remedies that would be available in any judicial proceeding intended to resolve a dispute. The parties irrevocably waive, to the fullest extent permitted by law, any objection the party may have to the laying of venue for any such suit, action or proceeding brought before HKIAC. THE PARTIES ALSO EXPRESSLY WAIVE ANY RIGHT THEY HAVE OR MAY HAVE TO A JURY TRIAL OF ANY SUCH SUIT, ACTION OR PROCEEDING. If any one or more provisions of this Article 6 shall for any reason be held invalid or unenforceable, it is the specific intent of the parties that such provisions shall be modified to the minimum extent necessary to make it or its application valid and enforceable.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color w:val="010000"/>
          <w:sz w:val="20"/>
        </w:rPr>
        <w:t>Article 7.</w:t>
      </w:r>
      <w:r>
        <w:rPr>
          <w:rFonts w:ascii="Times New Roman;Times;serif" w:hAnsi="Times New Roman;Times;serif"/>
          <w:b/>
          <w:sz w:val="20"/>
        </w:rPr>
        <w:t>GENERAL PROVISIONS</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40"/>
              <w:jc w:val="both"/>
              <w:rPr>
                <w:rFonts w:ascii="Times New Roman;Times;serif" w:hAnsi="Times New Roman;Times;serif"/>
                <w:b/>
                <w:color w:val="010000"/>
                <w:sz w:val="20"/>
              </w:rPr>
            </w:pPr>
            <w:r>
              <w:rPr>
                <w:rFonts w:ascii="Times New Roman;Times;serif" w:hAnsi="Times New Roman;Times;serif"/>
                <w:b/>
                <w:color w:val="010000"/>
                <w:sz w:val="20"/>
              </w:rPr>
              <w:t>7.1</w:t>
            </w:r>
          </w:p>
        </w:tc>
        <w:tc>
          <w:tcPr>
            <w:tcW w:w="99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0"/>
              </w:rPr>
              <w:t>Notices</w:t>
            </w:r>
            <w:r>
              <w:rPr>
                <w:rFonts w:ascii="Times New Roman;Times;serif" w:hAnsi="Times New Roman;Times;serif"/>
                <w:sz w:val="20"/>
              </w:rPr>
              <w:t>. Any notice required or permitted hereunder shall be in writing and shall be sufficiently given if personally delivered or if sent by registered or certified mail, national overnight courier, or email. In the case of the Company, to the office or email account of the Head of Human Resources; and in the case of the Employee, to the address or email account appearing on the employment records of the Company, from time to time. Any notice given hereunder shall be deemed to have been given at the time of receipt thereof by the person to whom such notice is given.</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40"/>
              <w:jc w:val="both"/>
              <w:rPr>
                <w:rFonts w:ascii="Times New Roman;Times;serif" w:hAnsi="Times New Roman;Times;serif"/>
                <w:b/>
                <w:color w:val="010000"/>
                <w:sz w:val="20"/>
              </w:rPr>
            </w:pPr>
            <w:r>
              <w:rPr>
                <w:rFonts w:ascii="Times New Roman;Times;serif" w:hAnsi="Times New Roman;Times;serif"/>
                <w:b/>
                <w:color w:val="010000"/>
                <w:sz w:val="20"/>
              </w:rPr>
              <w:t>7.2</w:t>
            </w:r>
          </w:p>
        </w:tc>
        <w:tc>
          <w:tcPr>
            <w:tcW w:w="99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0"/>
              </w:rPr>
              <w:t>Entire Agreement</w:t>
            </w:r>
            <w:r>
              <w:rPr>
                <w:rFonts w:ascii="Times New Roman;Times;serif" w:hAnsi="Times New Roman;Times;serif"/>
                <w:sz w:val="20"/>
              </w:rPr>
              <w:t>. This Agreement, taken together with the Ancillary Agreements and the Subsidiary Employment Agreement, shall constitute the entire agreement between the Employee and the Company with respect to the Employee’s employment with the Company and supersedes any and all prior agreements and understandings.</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40"/>
              <w:jc w:val="both"/>
              <w:rPr>
                <w:rFonts w:ascii="Times New Roman;Times;serif" w:hAnsi="Times New Roman;Times;serif"/>
                <w:b/>
                <w:color w:val="010000"/>
                <w:sz w:val="20"/>
              </w:rPr>
            </w:pPr>
            <w:r>
              <w:rPr>
                <w:rFonts w:ascii="Times New Roman;Times;serif" w:hAnsi="Times New Roman;Times;serif"/>
                <w:b/>
                <w:color w:val="010000"/>
                <w:sz w:val="20"/>
              </w:rPr>
              <w:t>7.3</w:t>
            </w:r>
          </w:p>
        </w:tc>
        <w:tc>
          <w:tcPr>
            <w:tcW w:w="99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0"/>
              </w:rPr>
              <w:t>Amendments and Waivers</w:t>
            </w:r>
            <w:r>
              <w:rPr>
                <w:rFonts w:ascii="Times New Roman;Times;serif" w:hAnsi="Times New Roman;Times;serif"/>
                <w:sz w:val="20"/>
              </w:rPr>
              <w:t>. Any term of this Agreement may be amended and the observance of any term of this Agreement may be waived (either generally or in a particular instance and either retroactively or prospectively) only by an instrument in writing and signed by the party against whom such amendment or waiver is sought to be enforced.</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40"/>
              <w:jc w:val="both"/>
              <w:rPr>
                <w:rFonts w:ascii="Times New Roman;Times;serif" w:hAnsi="Times New Roman;Times;serif"/>
                <w:b/>
                <w:color w:val="010000"/>
                <w:sz w:val="20"/>
              </w:rPr>
            </w:pPr>
            <w:r>
              <w:rPr>
                <w:rFonts w:ascii="Times New Roman;Times;serif" w:hAnsi="Times New Roman;Times;serif"/>
                <w:b/>
                <w:color w:val="010000"/>
                <w:sz w:val="20"/>
              </w:rPr>
              <w:t>7.4</w:t>
            </w:r>
          </w:p>
        </w:tc>
        <w:tc>
          <w:tcPr>
            <w:tcW w:w="99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0"/>
              </w:rPr>
              <w:t>Successors and Assigns</w:t>
            </w:r>
            <w:r>
              <w:rPr>
                <w:rFonts w:ascii="Times New Roman;Times;serif" w:hAnsi="Times New Roman;Times;serif"/>
                <w:sz w:val="20"/>
              </w:rPr>
              <w:t>. The personal services of the Employee are the subject of this Agreement and the Ancillary Agreements and no part of the Employee’s or the Company’s rights or obligations hereunder or thereunder may be assigned, transferred, pledged or encumbered by the Employee or the Company. This Agreement and the Ancillary Agreements shall inure to the benefit of, and be binding upon (a) the parties hereto, (b) the heirs, administrators, executors and personal representatives of the Employee and (c) the successors and assigns of the Company as provided herein.</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40"/>
              <w:jc w:val="both"/>
              <w:rPr>
                <w:rFonts w:ascii="Times New Roman;Times;serif" w:hAnsi="Times New Roman;Times;serif"/>
                <w:b/>
                <w:color w:val="010000"/>
                <w:sz w:val="20"/>
              </w:rPr>
            </w:pPr>
            <w:r>
              <w:rPr>
                <w:rFonts w:ascii="Times New Roman;Times;serif" w:hAnsi="Times New Roman;Times;serif"/>
                <w:b/>
                <w:color w:val="010000"/>
                <w:sz w:val="20"/>
              </w:rPr>
              <w:t>7.5</w:t>
            </w:r>
          </w:p>
        </w:tc>
        <w:tc>
          <w:tcPr>
            <w:tcW w:w="99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0"/>
              </w:rPr>
              <w:t>Governing Law and Venue</w:t>
            </w:r>
            <w:r>
              <w:rPr>
                <w:rFonts w:ascii="Times New Roman;Times;serif" w:hAnsi="Times New Roman;Times;serif"/>
                <w:sz w:val="20"/>
              </w:rPr>
              <w:t>. This Agreement, including the validity hereof and the rights and obligations of the parties hereunder, and all amendments and supplements hereof and all waivers and consents hereunder, shall be construed in accordance with and governed by the laws of the Cayman Islands, without giving effect to any conflicts of law provisions or rule, that would cause the application of the laws of any other jurisdiction.</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40"/>
              <w:jc w:val="both"/>
              <w:rPr>
                <w:rFonts w:ascii="Times New Roman;Times;serif" w:hAnsi="Times New Roman;Times;serif"/>
                <w:b/>
                <w:color w:val="010000"/>
                <w:sz w:val="20"/>
              </w:rPr>
            </w:pPr>
            <w:r>
              <w:rPr>
                <w:rFonts w:ascii="Times New Roman;Times;serif" w:hAnsi="Times New Roman;Times;serif"/>
                <w:b/>
                <w:color w:val="010000"/>
                <w:sz w:val="20"/>
              </w:rPr>
              <w:t>7.6</w:t>
            </w:r>
          </w:p>
        </w:tc>
        <w:tc>
          <w:tcPr>
            <w:tcW w:w="99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0"/>
              </w:rPr>
              <w:t>Severability</w:t>
            </w:r>
            <w:r>
              <w:rPr>
                <w:rFonts w:ascii="Times New Roman;Times;serif" w:hAnsi="Times New Roman;Times;serif"/>
                <w:sz w:val="20"/>
              </w:rPr>
              <w:t>. If any provisions of this Agreement, as applied to any part or to any circumstance, shall be adjudged by a court to be invalid or unenforceable, the same shall in no way affect any other provision of this Agreement, the application of such provision in any other circumstances or the validity or enforceability of this Agreement.</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40"/>
              <w:jc w:val="both"/>
              <w:rPr>
                <w:rFonts w:ascii="Times New Roman;Times;serif" w:hAnsi="Times New Roman;Times;serif"/>
                <w:b/>
                <w:color w:val="010000"/>
                <w:sz w:val="20"/>
              </w:rPr>
            </w:pPr>
            <w:r>
              <w:rPr>
                <w:rFonts w:ascii="Times New Roman;Times;serif" w:hAnsi="Times New Roman;Times;serif"/>
                <w:b/>
                <w:color w:val="010000"/>
                <w:sz w:val="20"/>
              </w:rPr>
              <w:t>7.7</w:t>
            </w:r>
          </w:p>
        </w:tc>
        <w:tc>
          <w:tcPr>
            <w:tcW w:w="99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0"/>
              </w:rPr>
              <w:t>Survival</w:t>
            </w:r>
            <w:r>
              <w:rPr>
                <w:rFonts w:ascii="Times New Roman;Times;serif" w:hAnsi="Times New Roman;Times;serif"/>
                <w:sz w:val="20"/>
              </w:rPr>
              <w:t>. The rights and obligations of the Company and Employee pursuant to Articles 3, 4, 5, 6 and 7 shall survive the termination of the Employee’s employment with the Company and the expiration of the Employment Term.</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40"/>
              <w:jc w:val="both"/>
              <w:rPr>
                <w:rFonts w:ascii="Times New Roman;Times;serif" w:hAnsi="Times New Roman;Times;serif"/>
                <w:b/>
                <w:color w:val="010000"/>
                <w:sz w:val="20"/>
              </w:rPr>
            </w:pPr>
            <w:r>
              <w:rPr>
                <w:rFonts w:ascii="Times New Roman;Times;serif" w:hAnsi="Times New Roman;Times;serif"/>
                <w:b/>
                <w:color w:val="010000"/>
                <w:sz w:val="20"/>
              </w:rPr>
              <w:t>7.8</w:t>
            </w:r>
          </w:p>
        </w:tc>
        <w:tc>
          <w:tcPr>
            <w:tcW w:w="99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0"/>
              </w:rPr>
              <w:t>Captions</w:t>
            </w:r>
            <w:r>
              <w:rPr>
                <w:rFonts w:ascii="Times New Roman;Times;serif" w:hAnsi="Times New Roman;Times;serif"/>
                <w:sz w:val="20"/>
              </w:rPr>
              <w:t>. The headings and captions used in this Agreement are used for convenience only and are not to be considered in construing or interpreting this Agreement.</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40"/>
              <w:jc w:val="both"/>
              <w:rPr>
                <w:rFonts w:ascii="Times New Roman;Times;serif" w:hAnsi="Times New Roman;Times;serif"/>
                <w:b/>
                <w:color w:val="010000"/>
                <w:sz w:val="20"/>
              </w:rPr>
            </w:pPr>
            <w:r>
              <w:rPr>
                <w:rFonts w:ascii="Times New Roman;Times;serif" w:hAnsi="Times New Roman;Times;serif"/>
                <w:b/>
                <w:color w:val="010000"/>
                <w:sz w:val="20"/>
              </w:rPr>
              <w:t>7.9</w:t>
            </w:r>
          </w:p>
        </w:tc>
        <w:tc>
          <w:tcPr>
            <w:tcW w:w="99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0"/>
              </w:rPr>
              <w:t>Counterparts</w:t>
            </w:r>
            <w:r>
              <w:rPr>
                <w:rFonts w:ascii="Times New Roman;Times;serif" w:hAnsi="Times New Roman;Times;serif"/>
                <w:sz w:val="20"/>
              </w:rPr>
              <w:t>. This Agreement may be executed in two or more counterparts, each of which shall be deemed an original, but all of which together shall constitute one and the same instrument.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240"/>
              <w:jc w:val="both"/>
              <w:rPr>
                <w:rFonts w:ascii="Times New Roman;Times;serif" w:hAnsi="Times New Roman;Times;serif"/>
                <w:b/>
                <w:color w:val="010000"/>
                <w:sz w:val="20"/>
              </w:rPr>
            </w:pPr>
            <w:r>
              <w:rPr>
                <w:rFonts w:ascii="Times New Roman;Times;serif" w:hAnsi="Times New Roman;Times;serif"/>
                <w:b/>
                <w:color w:val="010000"/>
                <w:sz w:val="20"/>
              </w:rPr>
              <w:t>7.10</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0"/>
              </w:rPr>
              <w:t>No Breach of Other Agreements</w:t>
            </w:r>
            <w:r>
              <w:rPr>
                <w:rFonts w:ascii="Times New Roman;Times;serif" w:hAnsi="Times New Roman;Times;serif"/>
                <w:sz w:val="20"/>
              </w:rPr>
              <w:t>. Employee hereby represents and warrants that his execution, delivery and performance of this Agreement and the Ancillary Agreements shall not violate or constitute a breach of the terms of any other agreement to which Employee is a party, whether written or oral.</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240"/>
              <w:jc w:val="both"/>
              <w:rPr>
                <w:rFonts w:ascii="Times New Roman;Times;serif" w:hAnsi="Times New Roman;Times;serif"/>
                <w:b/>
                <w:color w:val="010000"/>
                <w:sz w:val="20"/>
              </w:rPr>
            </w:pPr>
            <w:r>
              <w:rPr>
                <w:rFonts w:ascii="Times New Roman;Times;serif" w:hAnsi="Times New Roman;Times;serif"/>
                <w:b/>
                <w:color w:val="010000"/>
                <w:sz w:val="20"/>
              </w:rPr>
              <w:t>7.11</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0"/>
              </w:rPr>
              <w:t>Effectiveness</w:t>
            </w:r>
            <w:r>
              <w:rPr>
                <w:rFonts w:ascii="Times New Roman;Times;serif" w:hAnsi="Times New Roman;Times;serif"/>
                <w:sz w:val="20"/>
              </w:rPr>
              <w:t>. Upon execution of this Agreement by the parties hereto, this Agreement shall take effect from the Effective Date.</w:t>
            </w:r>
          </w:p>
        </w:tc>
      </w:tr>
    </w:tbl>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page follows.</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IN WITNESS WHEREOF</w:t>
      </w:r>
      <w:r>
        <w:rPr>
          <w:rFonts w:ascii="Times New Roman;Times;serif" w:hAnsi="Times New Roman;Times;serif"/>
          <w:sz w:val="20"/>
        </w:rPr>
        <w:t>, the parties hereto have executed this Agreement as of the date first above written.</w:t>
      </w:r>
    </w:p>
    <w:p>
      <w:pPr>
        <w:pStyle w:val="TextBody"/>
        <w:bidi w:val="0"/>
        <w:spacing w:before="0" w:after="0"/>
        <w:ind w:left="0" w:right="0" w:hanging="0"/>
        <w:jc w:val="left"/>
        <w:rPr/>
      </w:pPr>
      <w:r>
        <w:rPr/>
        <w:t>​</w:t>
      </w:r>
    </w:p>
    <w:tbl>
      <w:tblPr>
        <w:tblW w:w="1291" w:type="dxa"/>
        <w:jc w:val="left"/>
        <w:tblInd w:w="0" w:type="dxa"/>
        <w:tblLayout w:type="fixed"/>
        <w:tblCellMar>
          <w:top w:w="0" w:type="dxa"/>
          <w:left w:w="0" w:type="dxa"/>
          <w:bottom w:w="0" w:type="dxa"/>
          <w:right w:w="0" w:type="dxa"/>
        </w:tblCellMar>
      </w:tblPr>
      <w:tblGrid>
        <w:gridCol w:w="991"/>
        <w:gridCol w:w="38"/>
        <w:gridCol w:w="262"/>
      </w:tblGrid>
      <w:tr>
        <w:trPr/>
        <w:tc>
          <w:tcPr>
            <w:tcW w:w="1291" w:type="dxa"/>
            <w:gridSpan w:val="3"/>
            <w:tcBorders/>
            <w:vAlign w:val="center"/>
          </w:tcPr>
          <w:p>
            <w:pPr>
              <w:pStyle w:val="TableContents"/>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EMPLOYEE</w:t>
            </w:r>
          </w:p>
        </w:tc>
      </w:tr>
      <w:tr>
        <w:trPr/>
        <w:tc>
          <w:tcPr>
            <w:tcW w:w="1029"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r>
      <w:tr>
        <w:trPr/>
        <w:tc>
          <w:tcPr>
            <w:tcW w:w="1291"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00" w:type="dxa"/>
            <w:gridSpan w:val="2"/>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1206" w:type="dxa"/>
        <w:jc w:val="left"/>
        <w:tblInd w:w="0" w:type="dxa"/>
        <w:tblLayout w:type="fixed"/>
        <w:tblCellMar>
          <w:top w:w="0" w:type="dxa"/>
          <w:left w:w="0" w:type="dxa"/>
          <w:bottom w:w="0" w:type="dxa"/>
          <w:right w:w="0" w:type="dxa"/>
        </w:tblCellMar>
      </w:tblPr>
      <w:tblGrid>
        <w:gridCol w:w="421"/>
        <w:gridCol w:w="631"/>
        <w:gridCol w:w="154"/>
      </w:tblGrid>
      <w:tr>
        <w:trPr/>
        <w:tc>
          <w:tcPr>
            <w:tcW w:w="1206" w:type="dxa"/>
            <w:gridSpan w:val="3"/>
            <w:tcBorders/>
            <w:vAlign w:val="center"/>
          </w:tcPr>
          <w:p>
            <w:pPr>
              <w:pStyle w:val="TableContents"/>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COMPANY</w: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sz w:val="20"/>
          <w:u w:val="single"/>
        </w:rPr>
      </w:pPr>
      <w:r>
        <w:rPr>
          <w:rFonts w:ascii="Times New Roman;Times;serif" w:hAnsi="Times New Roman;Times;serif"/>
          <w:sz w:val="20"/>
          <w:u w:val="single"/>
        </w:rPr>
        <w:t>Exhibit A</w:t>
      </w:r>
    </w:p>
    <w:p>
      <w:pPr>
        <w:pStyle w:val="TextBody"/>
        <w:bidi w:val="0"/>
        <w:spacing w:before="0" w:after="240"/>
        <w:ind w:left="0" w:right="0" w:hanging="0"/>
        <w:jc w:val="center"/>
        <w:rPr>
          <w:rFonts w:ascii="Times New Roman;Times;serif" w:hAnsi="Times New Roman;Times;serif"/>
          <w:sz w:val="20"/>
          <w:u w:val="single"/>
        </w:rPr>
      </w:pPr>
      <w:r>
        <w:rPr>
          <w:rFonts w:ascii="Times New Roman;Times;serif" w:hAnsi="Times New Roman;Times;serif"/>
          <w:sz w:val="20"/>
          <w:u w:val="single"/>
        </w:rPr>
        <w:t>Key Employee Invention Assignment and Confidentiality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In consideration of, and as a condition of my continued employment with NetEase, Inc., a Cayman Islands company (as contemplated in the employment agreement between NetEase, Inc. and me), or with any of its subsidiaries (collectively, the “Company</w:t>
      </w:r>
      <w:r>
        <w:rPr>
          <w:rFonts w:ascii="Times New Roman;Times;serif" w:hAnsi="Times New Roman;Times;serif"/>
          <w:sz w:val="20"/>
        </w:rPr>
        <w:t>”</w:t>
      </w:r>
      <w:r>
        <w:rPr>
          <w:rFonts w:ascii="Times New Roman;Times;serif" w:hAnsi="Times New Roman;Times;serif"/>
          <w:b/>
          <w:sz w:val="20"/>
        </w:rPr>
        <w:t>), I hereby represent to, and agree with, the Company as follows:</w:t>
      </w:r>
    </w:p>
    <w:tbl>
      <w:tblPr>
        <w:tblW w:w="10205" w:type="dxa"/>
        <w:jc w:val="left"/>
        <w:tblInd w:w="0" w:type="dxa"/>
        <w:tblLayout w:type="fixed"/>
        <w:tblCellMar>
          <w:top w:w="0" w:type="dxa"/>
          <w:left w:w="0" w:type="dxa"/>
          <w:bottom w:w="0" w:type="dxa"/>
          <w:right w:w="0" w:type="dxa"/>
        </w:tblCellMar>
      </w:tblPr>
      <w:tblGrid>
        <w:gridCol w:w="132"/>
        <w:gridCol w:w="10073"/>
      </w:tblGrid>
      <w:tr>
        <w:trPr/>
        <w:tc>
          <w:tcPr>
            <w:tcW w:w="13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1007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u w:val="single"/>
              </w:rPr>
              <w:t>Purpose of Agreement</w:t>
            </w:r>
            <w:r>
              <w:rPr>
                <w:rFonts w:ascii="Times New Roman;Times;serif" w:hAnsi="Times New Roman;Times;serif"/>
                <w:sz w:val="20"/>
              </w:rPr>
              <w:t>. I understand that the Company is engaged in a continuous program of research, development, production and marketing in connection with its business and that it is critical for the Company to preserve and protect its Proprietary Information (as defined in Section 3 below), its rights in Inventions (as defined in Section 2 below) and in any other intellectual property rights. Accordingly, I am entering into this Key Employee Invention Assignment and Confidentiality Agreement (this “</w:t>
            </w:r>
            <w:r>
              <w:rPr>
                <w:rFonts w:ascii="Times New Roman;Times;serif" w:hAnsi="Times New Roman;Times;serif"/>
                <w:sz w:val="20"/>
                <w:u w:val="single"/>
              </w:rPr>
              <w:t>Agreement</w:t>
            </w:r>
            <w:r>
              <w:rPr>
                <w:rFonts w:ascii="Times New Roman;Times;serif" w:hAnsi="Times New Roman;Times;serif"/>
                <w:sz w:val="20"/>
              </w:rPr>
              <w:t>”) as a condition of my continued employment with the Company, whether or not I am expected to create inventions of value for the Company.</w:t>
            </w:r>
          </w:p>
        </w:tc>
      </w:tr>
    </w:tbl>
    <w:tbl>
      <w:tblPr>
        <w:tblW w:w="10205" w:type="dxa"/>
        <w:jc w:val="left"/>
        <w:tblInd w:w="0" w:type="dxa"/>
        <w:tblLayout w:type="fixed"/>
        <w:tblCellMar>
          <w:top w:w="0" w:type="dxa"/>
          <w:left w:w="0" w:type="dxa"/>
          <w:bottom w:w="0" w:type="dxa"/>
          <w:right w:w="0" w:type="dxa"/>
        </w:tblCellMar>
      </w:tblPr>
      <w:tblGrid>
        <w:gridCol w:w="133"/>
        <w:gridCol w:w="10072"/>
      </w:tblGrid>
      <w:tr>
        <w:trPr/>
        <w:tc>
          <w:tcPr>
            <w:tcW w:w="13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1007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u w:val="single"/>
              </w:rPr>
              <w:t>Disclosure of Inventions</w:t>
            </w:r>
            <w:r>
              <w:rPr>
                <w:rFonts w:ascii="Times New Roman;Times;serif" w:hAnsi="Times New Roman;Times;serif"/>
                <w:sz w:val="20"/>
              </w:rPr>
              <w:t>. I will promptly disclose in confidence to the Company all inventions, improvements, designs, original works of authorship, derivative works, formulas, processes, compositions of matter, techniques, know-how, computer software programs, databases, mask works and trade secrets (the “</w:t>
            </w:r>
            <w:r>
              <w:rPr>
                <w:rFonts w:ascii="Times New Roman;Times;serif" w:hAnsi="Times New Roman;Times;serif"/>
                <w:sz w:val="20"/>
                <w:u w:val="single"/>
              </w:rPr>
              <w:t>Inventions</w:t>
            </w:r>
            <w:r>
              <w:rPr>
                <w:rFonts w:ascii="Times New Roman;Times;serif" w:hAnsi="Times New Roman;Times;serif"/>
                <w:sz w:val="20"/>
              </w:rPr>
              <w:t>”) that I make or conceive or first reduce to practice or create, either alone or jointly with others, during the period of my employment, whether or not in the course of my employment, and whether or not such Inventions are patentable, copyrightable or protectible as trade secrets or mask works.</w:t>
            </w:r>
          </w:p>
        </w:tc>
      </w:tr>
    </w:tbl>
    <w:tbl>
      <w:tblPr>
        <w:tblW w:w="10205" w:type="dxa"/>
        <w:jc w:val="left"/>
        <w:tblInd w:w="0" w:type="dxa"/>
        <w:tblLayout w:type="fixed"/>
        <w:tblCellMar>
          <w:top w:w="0" w:type="dxa"/>
          <w:left w:w="0" w:type="dxa"/>
          <w:bottom w:w="0" w:type="dxa"/>
          <w:right w:w="0" w:type="dxa"/>
        </w:tblCellMar>
      </w:tblPr>
      <w:tblGrid>
        <w:gridCol w:w="128"/>
        <w:gridCol w:w="10077"/>
      </w:tblGrid>
      <w:tr>
        <w:trPr/>
        <w:tc>
          <w:tcPr>
            <w:tcW w:w="12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w:t>
            </w:r>
          </w:p>
        </w:tc>
        <w:tc>
          <w:tcPr>
            <w:tcW w:w="1007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u w:val="single"/>
              </w:rPr>
              <w:t>Proprietary Information</w:t>
            </w:r>
            <w:r>
              <w:rPr>
                <w:rFonts w:ascii="Times New Roman;Times;serif" w:hAnsi="Times New Roman;Times;serif"/>
                <w:sz w:val="20"/>
              </w:rPr>
              <w:t>. I understand that my employment by the Company creates a relationship of confidence and trust with respect to any information of a confidential or secret nature that may be disclosed to me by the Company that relates to the business of the Company or to the business of any parent, subsidiary, affiliate, customer or supplier of the Company or any other party with whom the Company agrees to hold information of such party in confidence (the “</w:t>
            </w:r>
            <w:r>
              <w:rPr>
                <w:rFonts w:ascii="Times New Roman;Times;serif" w:hAnsi="Times New Roman;Times;serif"/>
                <w:sz w:val="20"/>
                <w:u w:val="single"/>
              </w:rPr>
              <w:t>Proprietary Information</w:t>
            </w:r>
            <w:r>
              <w:rPr>
                <w:rFonts w:ascii="Times New Roman;Times;serif" w:hAnsi="Times New Roman;Times;serif"/>
                <w:sz w:val="20"/>
              </w:rPr>
              <w:t>”). Such Proprietary Information includes but is not limited to any confidential and/or proprietary knowledge, data or information, any past, present or future Inventions, marketing plans, product plans, business strategies, financial information (including budgets and unpublished financial statements), licenses, prices and costs, forecasts, personal information, suppliers, customers and lists of either, information, trade secrets, patents, mask works, ideas, confidential knowledge, data or other proprietary information relating to new and existing products, processes, know-how, designs, formulas, developmental or experimental work, improvements, discoveries, designs and techniques, computer programs, data bases, other original works of authorship, employee information including the skills and compensation of other employees of Company, or other subject matter pertaining to any business of Company. I agree that Company may from time to time create a list of specific Proprietary Information and I will acknowledge any such lists in writing upon request.</w:t>
            </w:r>
          </w:p>
        </w:tc>
      </w:tr>
    </w:tbl>
    <w:tbl>
      <w:tblPr>
        <w:tblW w:w="10205" w:type="dxa"/>
        <w:jc w:val="left"/>
        <w:tblInd w:w="0" w:type="dxa"/>
        <w:tblLayout w:type="fixed"/>
        <w:tblCellMar>
          <w:top w:w="0" w:type="dxa"/>
          <w:left w:w="0" w:type="dxa"/>
          <w:bottom w:w="0" w:type="dxa"/>
          <w:right w:w="0" w:type="dxa"/>
        </w:tblCellMar>
      </w:tblPr>
      <w:tblGrid>
        <w:gridCol w:w="139"/>
        <w:gridCol w:w="10066"/>
      </w:tblGrid>
      <w:tr>
        <w:trPr/>
        <w:tc>
          <w:tcPr>
            <w:tcW w:w="13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4.</w:t>
            </w:r>
          </w:p>
        </w:tc>
        <w:tc>
          <w:tcPr>
            <w:tcW w:w="1006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u w:val="single"/>
              </w:rPr>
              <w:t>Confidentiality</w:t>
            </w:r>
            <w:r>
              <w:rPr>
                <w:rFonts w:ascii="Times New Roman;Times;serif" w:hAnsi="Times New Roman;Times;serif"/>
                <w:sz w:val="20"/>
              </w:rPr>
              <w:t>. At all times, both during my employment and after its termination, I will keep and hold all such Proprietary Information in strict confidence and trust. I will not use or disclose any Proprietary Information without the prior written consent of the Company, except as may be necessary to perform my duties as an employee of the</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Exhibit A-1</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Company for the benefit of the Company. Upon termination of my employment with the Company, I will promptly deliver to the Company all documents and materials of any nature pertaining to my work with the Company. I will not take with me any documents or materials or copies thereof containing any Proprietary Information.</w:t>
      </w:r>
    </w:p>
    <w:tbl>
      <w:tblPr>
        <w:tblW w:w="10205" w:type="dxa"/>
        <w:jc w:val="left"/>
        <w:tblInd w:w="0" w:type="dxa"/>
        <w:tblLayout w:type="fixed"/>
        <w:tblCellMar>
          <w:top w:w="0" w:type="dxa"/>
          <w:left w:w="0" w:type="dxa"/>
          <w:bottom w:w="0" w:type="dxa"/>
          <w:right w:w="0" w:type="dxa"/>
        </w:tblCellMar>
      </w:tblPr>
      <w:tblGrid>
        <w:gridCol w:w="130"/>
        <w:gridCol w:w="10075"/>
      </w:tblGrid>
      <w:tr>
        <w:trPr/>
        <w:tc>
          <w:tcPr>
            <w:tcW w:w="1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5.</w:t>
            </w:r>
          </w:p>
        </w:tc>
        <w:tc>
          <w:tcPr>
            <w:tcW w:w="100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u w:val="single"/>
              </w:rPr>
              <w:t>Work for Hire; Assignment of Inventions</w:t>
            </w:r>
            <w:r>
              <w:rPr>
                <w:rFonts w:ascii="Times New Roman;Times;serif" w:hAnsi="Times New Roman;Times;serif"/>
                <w:sz w:val="20"/>
              </w:rPr>
              <w:t>. I acknowledge and agree that any copyrightable works prepared by me either alone or jointly with others, within the scope of my employment are “works for hire” under the United States Copyright Act and that the Company will be considered the author and owner of such copyrightable works. In the event that any such copyrightable works are not deemed to be “works made for hire,” I hereby irrevocably assign all of my right, title and interest in and to such copyrightable works to Company. I agree that all Inventions that (i) are developed using equipment, supplies, facilities or trade secrets of the Company, (ii) result from work performed by me for the Company, or (iii) relate to the Company’s business or current or anticipated research and development (collectively, “</w:t>
            </w:r>
            <w:r>
              <w:rPr>
                <w:rFonts w:ascii="Times New Roman;Times;serif" w:hAnsi="Times New Roman;Times;serif"/>
                <w:sz w:val="20"/>
                <w:u w:val="single"/>
              </w:rPr>
              <w:t>Company Inventions</w:t>
            </w:r>
            <w:r>
              <w:rPr>
                <w:rFonts w:ascii="Times New Roman;Times;serif" w:hAnsi="Times New Roman;Times;serif"/>
                <w:sz w:val="20"/>
              </w:rPr>
              <w:t>”), will be the sole and exclusive property of the Company and are hereby irrevocably assigned by me to the Company.</w:t>
            </w:r>
          </w:p>
        </w:tc>
      </w:tr>
    </w:tbl>
    <w:tbl>
      <w:tblPr>
        <w:tblW w:w="10205" w:type="dxa"/>
        <w:jc w:val="left"/>
        <w:tblInd w:w="0" w:type="dxa"/>
        <w:tblLayout w:type="fixed"/>
        <w:tblCellMar>
          <w:top w:w="0" w:type="dxa"/>
          <w:left w:w="0" w:type="dxa"/>
          <w:bottom w:w="0" w:type="dxa"/>
          <w:right w:w="0" w:type="dxa"/>
        </w:tblCellMar>
      </w:tblPr>
      <w:tblGrid>
        <w:gridCol w:w="129"/>
        <w:gridCol w:w="10076"/>
      </w:tblGrid>
      <w:tr>
        <w:trPr/>
        <w:tc>
          <w:tcPr>
            <w:tcW w:w="12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6.</w:t>
            </w:r>
          </w:p>
        </w:tc>
        <w:tc>
          <w:tcPr>
            <w:tcW w:w="1007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u w:val="single"/>
              </w:rPr>
              <w:t>Assignment of Other Rights</w:t>
            </w:r>
            <w:r>
              <w:rPr>
                <w:rFonts w:ascii="Times New Roman;Times;serif" w:hAnsi="Times New Roman;Times;serif"/>
                <w:sz w:val="20"/>
              </w:rPr>
              <w:t>. In addition to the foregoing assignment of Company Inventions to the Company, I hereby irrevocably transfer and assign to the Company: (i) all worldwide patents, patent applications, copyrights, mask works, trade secrets and other intellectual property rights in any Company Invention; and (ii) any and all Moral Rights (as defined below) that I may have in or with respect to any Company Invention. I also hereby forever waive and agree never to assert any and all Moral Rights I may have in or with respect to any Company Invention, even after termination of my work on behalf of the Company. “</w:t>
            </w:r>
            <w:r>
              <w:rPr>
                <w:rFonts w:ascii="Times New Roman;Times;serif" w:hAnsi="Times New Roman;Times;serif"/>
                <w:sz w:val="20"/>
                <w:u w:val="single"/>
              </w:rPr>
              <w:t>Moral Rights</w:t>
            </w:r>
            <w:r>
              <w:rPr>
                <w:rFonts w:ascii="Times New Roman;Times;serif" w:hAnsi="Times New Roman;Times;serif"/>
                <w:sz w:val="20"/>
              </w:rPr>
              <w:t>” mean any rights to claim authorship of a Company Invention, to object to or prevent the modification of any Company Invention, or to withdraw from circulation or control the publication or distribution of any Company Invention, and any similar right, existing under judicial or statutory law of any country in the world, or under any treaty, regardless of whether or not such right is denominated or generally referred to as a “moral right”.</w:t>
            </w:r>
          </w:p>
        </w:tc>
      </w:tr>
    </w:tbl>
    <w:tbl>
      <w:tblPr>
        <w:tblW w:w="10205" w:type="dxa"/>
        <w:jc w:val="left"/>
        <w:tblInd w:w="0" w:type="dxa"/>
        <w:tblLayout w:type="fixed"/>
        <w:tblCellMar>
          <w:top w:w="0" w:type="dxa"/>
          <w:left w:w="0" w:type="dxa"/>
          <w:bottom w:w="0" w:type="dxa"/>
          <w:right w:w="0" w:type="dxa"/>
        </w:tblCellMar>
      </w:tblPr>
      <w:tblGrid>
        <w:gridCol w:w="129"/>
        <w:gridCol w:w="10076"/>
      </w:tblGrid>
      <w:tr>
        <w:trPr/>
        <w:tc>
          <w:tcPr>
            <w:tcW w:w="12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7.</w:t>
            </w:r>
          </w:p>
        </w:tc>
        <w:tc>
          <w:tcPr>
            <w:tcW w:w="1007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u w:val="single"/>
              </w:rPr>
              <w:t>Assistance</w:t>
            </w:r>
            <w:r>
              <w:rPr>
                <w:rFonts w:ascii="Times New Roman;Times;serif" w:hAnsi="Times New Roman;Times;serif"/>
                <w:sz w:val="20"/>
              </w:rPr>
              <w:t>. For no consideration in addition to my salary or wages during my employment, I agree to assist the Company in every proper way to obtain for the Company and enforce patents, copyrights, mask work rights, trade secret rights and other legal protections for the Company’s Inventions in any and all countries. I will execute any documents that the Company may reasonably request for use in obtaining or enforcing such patents, copyrights, mask work rights, trade secrets and other legal protections. My obligations under this paragraph will continue beyond the termination of my employment with the Company, provided that the Company will compensate me at a reasonable rate after such termination for time or expenses actually spent by me at the Company’s request on such assistance. I appoint the Chief Executive Officer of the Company as my attorney-in-fact to execute documents on my behalf for this purpose. I hereby waive and quitclaim to Company any and all claims, of any nature whatsoever, which I now or may hereafter have for infringement of any proprietary rights assigned hereunder to Company.</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8.</w:t>
            </w:r>
          </w:p>
        </w:tc>
        <w:tc>
          <w:tcPr>
            <w:tcW w:w="1006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u w:val="single"/>
              </w:rPr>
              <w:t>No Breach of Prior Agreement</w:t>
            </w:r>
            <w:r>
              <w:rPr>
                <w:rFonts w:ascii="Times New Roman;Times;serif" w:hAnsi="Times New Roman;Times;serif"/>
                <w:sz w:val="20"/>
              </w:rPr>
              <w:t>. I represent that my performance of all the terms of this Agreement and my duties as an employee of the Company will not breach any invention assignment, proprietary information, confidentiality or similar agreement with any former employer or other party. I represent that I did not bring with me to the Company</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Exhibit A-2</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or use in the performance of my duties for the Company any documents or materials or intangibles of a former employer or third party that are not generally available to the public or have not been legally transferred to the Company.</w:t>
      </w:r>
    </w:p>
    <w:tbl>
      <w:tblPr>
        <w:tblW w:w="10205" w:type="dxa"/>
        <w:jc w:val="left"/>
        <w:tblInd w:w="0" w:type="dxa"/>
        <w:tblLayout w:type="fixed"/>
        <w:tblCellMar>
          <w:top w:w="0" w:type="dxa"/>
          <w:left w:w="0" w:type="dxa"/>
          <w:bottom w:w="0" w:type="dxa"/>
          <w:right w:w="0" w:type="dxa"/>
        </w:tblCellMar>
      </w:tblPr>
      <w:tblGrid>
        <w:gridCol w:w="137"/>
        <w:gridCol w:w="10068"/>
      </w:tblGrid>
      <w:tr>
        <w:trPr/>
        <w:tc>
          <w:tcPr>
            <w:tcW w:w="13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9.</w:t>
            </w:r>
          </w:p>
        </w:tc>
        <w:tc>
          <w:tcPr>
            <w:tcW w:w="1006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u w:val="single"/>
              </w:rPr>
              <w:t>Efforts; Duty Not to Compete</w:t>
            </w:r>
            <w:r>
              <w:rPr>
                <w:rFonts w:ascii="Times New Roman;Times;serif" w:hAnsi="Times New Roman;Times;serif"/>
                <w:sz w:val="20"/>
              </w:rPr>
              <w:t>. I understand that my employment with the Company requires my undivided attention and effort during normal business hours. While I am employed by the Company, I will not, without the Company’s express prior written consent, provide services to, or assist in any manner, any business or third party which competes with the current or planned business of the Company.</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10.</w:t>
            </w:r>
          </w:p>
        </w:tc>
        <w:tc>
          <w:tcPr>
            <w:tcW w:w="994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u w:val="single"/>
              </w:rPr>
              <w:t>Notification</w:t>
            </w:r>
            <w:r>
              <w:rPr>
                <w:rFonts w:ascii="Times New Roman;Times;serif" w:hAnsi="Times New Roman;Times;serif"/>
                <w:sz w:val="20"/>
              </w:rPr>
              <w:t>. I hereby authorize the Company to notify my actual or future employers of the terms of this Agreement and my responsibilities hereunder.</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11.</w:t>
            </w:r>
          </w:p>
        </w:tc>
        <w:tc>
          <w:tcPr>
            <w:tcW w:w="996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u w:val="single"/>
              </w:rPr>
              <w:t>Non-Disparagement</w:t>
            </w:r>
            <w:r>
              <w:rPr>
                <w:rFonts w:ascii="Times New Roman;Times;serif" w:hAnsi="Times New Roman;Times;serif"/>
                <w:sz w:val="20"/>
              </w:rPr>
              <w:t>. During my employment with the Company and after termination of my employment, I will not directly or indirectly disparage, defame, otherwise speak negatively about the Company or its predecessors, successors, or past or present subsidiaries or affiliated entities, officers, directors, agents, employees and assigns, in any manner, or take or cause to be taken any other action that is, likely to be harmful to them or their business, business reputation or personal reputation in any way, provided that I shall respond accurately and fully to any question, inquiry or request for information when instructed by the Company or otherwise required by legal process.</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12.</w:t>
            </w:r>
          </w:p>
        </w:tc>
        <w:tc>
          <w:tcPr>
            <w:tcW w:w="996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u w:val="single"/>
              </w:rPr>
              <w:t>Injunctive Relief</w:t>
            </w:r>
            <w:r>
              <w:rPr>
                <w:rFonts w:ascii="Times New Roman;Times;serif" w:hAnsi="Times New Roman;Times;serif"/>
                <w:sz w:val="20"/>
              </w:rPr>
              <w:t>. I understand that in the event of a breach or threatened breach of this Agreement by me the Company may suffer irreparable harm and will therefore be entitled to injunctive relief to enforce this Agreement, without prejudice to any other rights or remedies that Company may have for a breach of this Agreement.</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13.</w:t>
            </w:r>
          </w:p>
        </w:tc>
        <w:tc>
          <w:tcPr>
            <w:tcW w:w="997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u w:val="single"/>
              </w:rPr>
              <w:t>Governing Law; Severability</w:t>
            </w:r>
            <w:r>
              <w:rPr>
                <w:rFonts w:ascii="Times New Roman;Times;serif" w:hAnsi="Times New Roman;Times;serif"/>
                <w:sz w:val="20"/>
              </w:rPr>
              <w:t>. This Agreement will be governed by and construed in accordance with the laws of the Cayman Islands, without giving effect to that body of laws pertaining to conflict of laws. If any provision of this Agreement is determined by any court or arbitrator of competent jurisdiction to be invalid, illegal or unenforceable in any respect, such provision will be enforced to the maximum extent possible given the intent of the parties hereto. If such clause or provision cannot be so enforced, such provision shall be stricken from this Agreement and the remainder of this Agreement shall be enforced as if such invalid, illegal or unenforceable clause or provision had (to the extent not enforceable) never been contained in this Agreement. Notwithstanding the forgoing, if the value of this Agreement based upon the substantial benefit of the bargain for any party is materially impaired, which determination as made by the presiding court or arbitrator of competent jurisdiction shall be binding, then this Agreement will not be enforceable against such affected party and both parties agree to renegotiate such provision(s) in good faith.</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14.</w:t>
            </w:r>
          </w:p>
        </w:tc>
        <w:tc>
          <w:tcPr>
            <w:tcW w:w="995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u w:val="single"/>
              </w:rPr>
              <w:t>Counterparts</w:t>
            </w:r>
            <w:r>
              <w:rPr>
                <w:rFonts w:ascii="Times New Roman;Times;serif" w:hAnsi="Times New Roman;Times;serif"/>
                <w:sz w:val="20"/>
              </w:rPr>
              <w:t>. This Agreement may be executed in any number of counterparts, each of which when so executed and delivered will be deemed an original, and all of which together shall constitute one and the same agreement.</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15.</w:t>
            </w:r>
          </w:p>
        </w:tc>
        <w:tc>
          <w:tcPr>
            <w:tcW w:w="995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u w:val="single"/>
              </w:rPr>
              <w:t>Titles and Headings</w:t>
            </w:r>
            <w:r>
              <w:rPr>
                <w:rFonts w:ascii="Times New Roman;Times;serif" w:hAnsi="Times New Roman;Times;serif"/>
                <w:sz w:val="20"/>
              </w:rPr>
              <w:t>. The titles, captions and headings of this Agreement are included for ease of reference only and will be disregarded in interpreting or construing this Agreement. Unless otherwise specifically stated, all references herein to “sections” and “exhibits” will mean “sections” and “exhibits” to this Agreement.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Exhibit A-3</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16.</w:t>
            </w:r>
          </w:p>
        </w:tc>
        <w:tc>
          <w:tcPr>
            <w:tcW w:w="996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u w:val="single"/>
              </w:rPr>
              <w:t>Entire Agreement</w:t>
            </w:r>
            <w:r>
              <w:rPr>
                <w:rFonts w:ascii="Times New Roman;Times;serif" w:hAnsi="Times New Roman;Times;serif"/>
                <w:sz w:val="20"/>
              </w:rPr>
              <w:t>. This Agreement and the documents referred to herein constitute the entire agreement and understanding of the parties with respect to the subject matter of this Agreement, and supersede all prior understandings and agreements, whether oral or written, between or among the parties hereto with respect to the specific subject matter hereof.</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17.</w:t>
            </w:r>
          </w:p>
        </w:tc>
        <w:tc>
          <w:tcPr>
            <w:tcW w:w="99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u w:val="single"/>
              </w:rPr>
              <w:t>Amendment and Waivers</w:t>
            </w:r>
            <w:r>
              <w:rPr>
                <w:rFonts w:ascii="Times New Roman;Times;serif" w:hAnsi="Times New Roman;Times;serif"/>
                <w:sz w:val="20"/>
              </w:rPr>
              <w:t>. This Agreement may be amended only by a written agreement executed by each of the parties hereto. No amendment of or waiver of, or modification of any obligation under this Agreement will be enforceable unless set forth in a writing signed by the party against which enforcement is sought. Any amendment effected in accordance with this section will be binding upon all parties hereto and each of their respective successors and assigns. No delay or failure to require performance of any provision of this Agreement shall constitute a waiver of that provision as to that or any other instance. No waiver granted under this Agreement as to any one provision herein shall constitute a subsequent waiver of such provision or of any other provision herein, nor shall it constitute the waiver of any performance other than the actual performance specifically waived.</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18.</w:t>
            </w:r>
          </w:p>
        </w:tc>
        <w:tc>
          <w:tcPr>
            <w:tcW w:w="996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u w:val="single"/>
              </w:rPr>
              <w:t>Successors and Assigns; Assignment</w:t>
            </w:r>
            <w:r>
              <w:rPr>
                <w:rFonts w:ascii="Times New Roman;Times;serif" w:hAnsi="Times New Roman;Times;serif"/>
                <w:sz w:val="20"/>
              </w:rPr>
              <w:t>. Except as otherwise provided in this Agreement, this Agreement, and the rights and obligations of the parties hereunder, will be binding upon and inure to the benefit of their respective successors, assigns, heirs, executors, administrators and legal representatives. The Company may assign any of its rights and obligations under this Agreement. No other party to this Agreement may assign, whether voluntarily or by operation of law, any of its rights and obligations under this Agreement, except with the prior written consent of the Company.</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19.</w:t>
            </w:r>
          </w:p>
        </w:tc>
        <w:tc>
          <w:tcPr>
            <w:tcW w:w="995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u w:val="single"/>
              </w:rPr>
              <w:t>Further Assurances</w:t>
            </w:r>
            <w:r>
              <w:rPr>
                <w:rFonts w:ascii="Times New Roman;Times;serif" w:hAnsi="Times New Roman;Times;serif"/>
                <w:sz w:val="20"/>
              </w:rPr>
              <w:t>. The parties agree to execute such further documents and instruments and to take such further actions as may be reasonably necessary to carry out the purposes and intent of this Agreement.</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20.</w:t>
            </w:r>
          </w:p>
        </w:tc>
        <w:tc>
          <w:tcPr>
            <w:tcW w:w="99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u w:val="single"/>
              </w:rPr>
              <w:t>Not Employment Contract</w:t>
            </w:r>
            <w:r>
              <w:rPr>
                <w:rFonts w:ascii="Times New Roman;Times;serif" w:hAnsi="Times New Roman;Times;serif"/>
                <w:sz w:val="20"/>
              </w:rPr>
              <w:t>. I understand that this Agreement does not constitute a contract of employment or obligate the Company to employ me for any stated period of time.</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Exhibit A-4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This Agreement shall be effective as of the Effective Date.</w:t>
      </w:r>
    </w:p>
    <w:p>
      <w:pPr>
        <w:pStyle w:val="TextBody"/>
        <w:bidi w:val="0"/>
        <w:spacing w:before="0" w:after="0"/>
        <w:ind w:left="0" w:right="0" w:hanging="0"/>
        <w:jc w:val="left"/>
        <w:rPr/>
      </w:pPr>
      <w:r>
        <w:rPr/>
        <w:t>​</w:t>
      </w:r>
    </w:p>
    <w:tbl>
      <w:tblPr>
        <w:tblW w:w="1291" w:type="dxa"/>
        <w:jc w:val="left"/>
        <w:tblInd w:w="0" w:type="dxa"/>
        <w:tblLayout w:type="fixed"/>
        <w:tblCellMar>
          <w:top w:w="0" w:type="dxa"/>
          <w:left w:w="0" w:type="dxa"/>
          <w:bottom w:w="0" w:type="dxa"/>
          <w:right w:w="0" w:type="dxa"/>
        </w:tblCellMar>
      </w:tblPr>
      <w:tblGrid>
        <w:gridCol w:w="991"/>
        <w:gridCol w:w="38"/>
        <w:gridCol w:w="262"/>
      </w:tblGrid>
      <w:tr>
        <w:trPr/>
        <w:tc>
          <w:tcPr>
            <w:tcW w:w="1291" w:type="dxa"/>
            <w:gridSpan w:val="3"/>
            <w:tcBorders/>
            <w:vAlign w:val="center"/>
          </w:tcPr>
          <w:p>
            <w:pPr>
              <w:pStyle w:val="TableContents"/>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EMPLOYEE</w:t>
            </w:r>
          </w:p>
        </w:tc>
      </w:tr>
      <w:tr>
        <w:trPr/>
        <w:tc>
          <w:tcPr>
            <w:tcW w:w="1029"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r>
      <w:tr>
        <w:trPr/>
        <w:tc>
          <w:tcPr>
            <w:tcW w:w="1291"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00" w:type="dxa"/>
            <w:gridSpan w:val="2"/>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1206" w:type="dxa"/>
        <w:jc w:val="left"/>
        <w:tblInd w:w="0" w:type="dxa"/>
        <w:tblLayout w:type="fixed"/>
        <w:tblCellMar>
          <w:top w:w="0" w:type="dxa"/>
          <w:left w:w="0" w:type="dxa"/>
          <w:bottom w:w="0" w:type="dxa"/>
          <w:right w:w="0" w:type="dxa"/>
        </w:tblCellMar>
      </w:tblPr>
      <w:tblGrid>
        <w:gridCol w:w="421"/>
        <w:gridCol w:w="631"/>
        <w:gridCol w:w="154"/>
      </w:tblGrid>
      <w:tr>
        <w:trPr/>
        <w:tc>
          <w:tcPr>
            <w:tcW w:w="1206" w:type="dxa"/>
            <w:gridSpan w:val="3"/>
            <w:tcBorders/>
            <w:vAlign w:val="center"/>
          </w:tcPr>
          <w:p>
            <w:pPr>
              <w:pStyle w:val="TableContents"/>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COMPANY</w: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Exhibit A-5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sz w:val="20"/>
          <w:u w:val="single"/>
        </w:rPr>
      </w:pPr>
      <w:r>
        <w:rPr>
          <w:rFonts w:ascii="Times New Roman;Times;serif" w:hAnsi="Times New Roman;Times;serif"/>
          <w:sz w:val="20"/>
          <w:u w:val="single"/>
        </w:rPr>
        <w:t>Exhibit B</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Non-Compete Agreement</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Dear </w:t>
      </w:r>
      <w:r>
        <w:rPr>
          <w:rFonts w:ascii="Times New Roman;Times;serif" w:hAnsi="Times New Roman;Times;serif"/>
          <w:b/>
          <w:sz w:val="20"/>
        </w:rPr>
        <w:t>________</w:t>
      </w:r>
      <w:r>
        <w:rPr>
          <w:rFonts w:ascii="Times New Roman;Times;serif" w:hAnsi="Times New Roman;Times;serif"/>
          <w:sz w:val="20"/>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an employee of NetEase, Inc., a Cayman Islands company (as contemplated in the employment agreement between NetEase, Inc. and you (the “</w:t>
      </w:r>
      <w:r>
        <w:rPr>
          <w:rFonts w:ascii="Times New Roman;Times;serif" w:hAnsi="Times New Roman;Times;serif"/>
          <w:sz w:val="20"/>
          <w:u w:val="single"/>
        </w:rPr>
        <w:t>Employment Agreement</w:t>
      </w:r>
      <w:r>
        <w:rPr>
          <w:rFonts w:ascii="Times New Roman;Times;serif" w:hAnsi="Times New Roman;Times;serif"/>
          <w:sz w:val="20"/>
        </w:rPr>
        <w:t>”)), or with any of its subsidiaries (collectively, the “</w:t>
      </w:r>
      <w:r>
        <w:rPr>
          <w:rFonts w:ascii="Times New Roman;Times;serif" w:hAnsi="Times New Roman;Times;serif"/>
          <w:sz w:val="20"/>
          <w:u w:val="single"/>
        </w:rPr>
        <w:t>Company</w:t>
      </w:r>
      <w:r>
        <w:rPr>
          <w:rFonts w:ascii="Times New Roman;Times;serif" w:hAnsi="Times New Roman;Times;serif"/>
          <w:sz w:val="20"/>
        </w:rPr>
        <w:t>”), you must execute and deliver a covenant not to compete with the Company during your employment and for twelve (12) months thereafter. The terms and conditions set forth below, as applicable, shall, upon your acceptance thereof, become an agreement between you and the Company (this “</w:t>
      </w:r>
      <w:r>
        <w:rPr>
          <w:rFonts w:ascii="Times New Roman;Times;serif" w:hAnsi="Times New Roman;Times;serif"/>
          <w:sz w:val="20"/>
          <w:u w:val="single"/>
        </w:rPr>
        <w:t>Agreement</w:t>
      </w:r>
      <w:r>
        <w:rPr>
          <w:rFonts w:ascii="Times New Roman;Times;serif" w:hAnsi="Times New Roman;Times;serif"/>
          <w:sz w:val="20"/>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Covenant Not to Compete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It is hereby agreed that, from the Effective date as defined in the Employment Agreement and so long as you are an employee, consultant or serve in a similar capacity with the Company, you shall devote substantially all of your professional time to the Company and shall not participate in any manner in the management or operation of any business other than that of the Company or serving on the board of directors of the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you are no longer employed by or acting as a consultant for the Company, you shall not be employed by or participate in any manner in the management or operation of any business or entity that is or may be directly competitive with and offering similar products or services as the Company until twelve (12) months after (i) the date of your termination of employment or (ii) if you serve as a consultant to the Company following your employment, the date on which you cease to act as a consultant with the Company (such date, the “</w:t>
      </w:r>
      <w:r>
        <w:rPr>
          <w:rFonts w:ascii="Times New Roman;Times;serif" w:hAnsi="Times New Roman;Times;serif"/>
          <w:sz w:val="20"/>
          <w:u w:val="single"/>
        </w:rPr>
        <w:t>Termination Date</w:t>
      </w:r>
      <w:r>
        <w:rPr>
          <w:rFonts w:ascii="Times New Roman;Times;serif" w:hAnsi="Times New Roman;Times;serif"/>
          <w:sz w:val="20"/>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Covenant Not to Solicit Employees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While employed by the Company and for a period of two (2) years after the Termination Date, you shall not, directly or indirectly, solicit for employment any person who was employed by the Company during your employment with the Company. In the event that you hire or employ any such person during such two (2) year period (without soliciting such person in violation of this foregoing restriction), you shall reimburse the Company for any and all costs and expenses incurred by the Company to replace such person (including, without limitation, costs and expenses incurred for recruiting, hiring and training).</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Covenant Not to Divert Business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a period of two (2) years after the Termination Date, you shall not, directly or indirectly:</w:t>
      </w:r>
    </w:p>
    <w:tbl>
      <w:tblPr>
        <w:tblW w:w="10205" w:type="dxa"/>
        <w:jc w:val="left"/>
        <w:tblInd w:w="0" w:type="dxa"/>
        <w:tblLayout w:type="fixed"/>
        <w:tblCellMar>
          <w:top w:w="0" w:type="dxa"/>
          <w:left w:w="0" w:type="dxa"/>
          <w:bottom w:w="0" w:type="dxa"/>
          <w:right w:w="0" w:type="dxa"/>
        </w:tblCellMar>
      </w:tblPr>
      <w:tblGrid>
        <w:gridCol w:w="101"/>
        <w:gridCol w:w="10104"/>
      </w:tblGrid>
      <w:tr>
        <w:trPr/>
        <w:tc>
          <w:tcPr>
            <w:tcW w:w="10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w:t>
            </w:r>
          </w:p>
        </w:tc>
        <w:tc>
          <w:tcPr>
            <w:tcW w:w="1010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work as an employee, employer, consultant, agent, principal, partner, manager, shareholder, officer, director, or in any other individual or representative capacity for any person or entity who or which was a customer of the Company during your employment with the Company, without the Company’s prior written consent; or</w:t>
            </w:r>
          </w:p>
        </w:tc>
      </w:tr>
    </w:tbl>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ii)</w:t>
            </w:r>
          </w:p>
        </w:tc>
        <w:tc>
          <w:tcPr>
            <w:tcW w:w="1003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call on, solicit, or take away for you or for any other person or entity any person or entity who or which was a customer of the Company, or with which the Company was in negotiations to become a customer of the Company, during your employment with the Company.</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Exhibit B-1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Company Rights if You Violate this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event that you do not comply with the terms of this Agreement, any profit sharing or equity compensation awards to which you would otherwise be entitled will be forfeited.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event you do not comply with the terms of this Agreement, the Employment Agreement or the Key Employee Invention Assignment and Confidentiality Agreement, we also reserve the right to discharge you as an employee. Furthermore, we reserve the right to recover monetary damages from you, and we may also recover punitive damages to the extent permitted by any applicable law. In the event that monetary damages are an inadequate remedy for any harm suffered by us as a result of a breach of this Agreement by you, we may also seek other relief, including an order of specific performance or injunctive relief. You will not seek, and you agree to waive any requirement for, the securing or posting of a bond in connection with our seeking or obtaining such relief.</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You further agree to indemnify and hold us harmless from any damages, losses, costs or liabilities (including legal fees and the costs of enforcing this indemnity agreement) arising out of or resulting from your failure to abide by the terms of this Agreement.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At-Will Employment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You agree and understand that, except as may be provided in any employment agreement between you and the Company, your employment with the Company is “at-will,” meaning that it is not for any specified period of time and can be terminated by you or by the Company at any time, with or without advance notice, and for any or no particular reason or cause. You agree and understand that it also means that job duties, title and responsibility and reporting level, compensation and benefits, as well as the Company’s personnel policies and procedures, may be changed at any time at-will by the Company. You understand and agree that nothing about the fact or the content of this Agreement is intended to, nor should be construed to, alter the at-will nature of your employment with the Company. You also understand and agree that the at-will nature of employment with the Company can only be changed by the Board of Directors of the Company in an express writing signed and dated by an authorized Board member and by you.</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Acknowledgment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You agree that, in light of the substantial benefits you will receive as our employee, the terms contained in this Agreement are necessary and reasonable in all respects and that the restrictions imposed on you are reasonable and necessary to protect our legitimate business interests. Additionally, you hereby acknowledge and agree that the restrictions imposed on you by this Agreement will not prevent you from obtaining employment in your field of expertise or cause you undue hardship.</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Governing Law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Agreement shall be governed by and construed in accordance with the laws of the Cayman Islands, without regard to any conflicts of laws provision thereof.</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By accepting this Agreement, you acknowledge that, given the nature of the Company’s business, the provisions contained in this Agreement contain reasonable limitations as to time, geographical area and scope of activity to be restrained, and do not impose a greater restraint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Exhibit B-2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than is necessary to protect and preserve the Company and to protect the Company’s legitimate interests. If, however, the provisions of this Agreement are determined by any court of competent jurisdiction or any arbitrator to be unenforceable by reason of its extending for too long a period of time or over too large a geographic area or by reason of its being too extensive in any other respect, or for any other reason, it will be interpreted to extend only over the longest period of time for which it may be enforceable and over the largest geographical area as to which it may be enforceable and to the maximum extent in all other aspects as to which it may be enforceable, all as determined by such court or arbitrator in such action.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Please confirm your agreement with the foregoing by signing and returning directly to the undersigned the duplicate copy of this letter enclosed herewith.</w:t>
      </w:r>
    </w:p>
    <w:p>
      <w:pPr>
        <w:pStyle w:val="TextBody"/>
        <w:bidi w:val="0"/>
        <w:spacing w:before="0" w:after="0"/>
        <w:ind w:left="0" w:right="0" w:hanging="0"/>
        <w:jc w:val="left"/>
        <w:rPr/>
      </w:pPr>
      <w:r>
        <w:rPr/>
        <w:t>​</w:t>
      </w:r>
    </w:p>
    <w:tbl>
      <w:tblPr>
        <w:tblW w:w="1639" w:type="dxa"/>
        <w:jc w:val="left"/>
        <w:tblInd w:w="0" w:type="dxa"/>
        <w:tblLayout w:type="fixed"/>
        <w:tblCellMar>
          <w:top w:w="0" w:type="dxa"/>
          <w:left w:w="0" w:type="dxa"/>
          <w:bottom w:w="0" w:type="dxa"/>
          <w:right w:w="0" w:type="dxa"/>
        </w:tblCellMar>
      </w:tblPr>
      <w:tblGrid>
        <w:gridCol w:w="124"/>
        <w:gridCol w:w="568"/>
        <w:gridCol w:w="947"/>
      </w:tblGrid>
      <w:tr>
        <w:trPr/>
        <w:tc>
          <w:tcPr>
            <w:tcW w:w="124" w:type="dxa"/>
            <w:tcBorders/>
            <w:vAlign w:val="center"/>
          </w:tcPr>
          <w:p>
            <w:pPr>
              <w:pStyle w:val="TableContents"/>
              <w:bidi w:val="0"/>
              <w:spacing w:before="0" w:after="240"/>
              <w:ind w:left="0" w:right="0" w:hanging="0"/>
              <w:jc w:val="both"/>
              <w:rPr/>
            </w:pPr>
            <w:r>
              <w:rPr/>
              <w:t>​</w:t>
            </w:r>
          </w:p>
        </w:tc>
        <w:tc>
          <w:tcPr>
            <w:tcW w:w="1515" w:type="dxa"/>
            <w:gridSpan w:val="2"/>
            <w:tcBorders/>
            <w:vAlign w:val="center"/>
          </w:tcPr>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Very truly yours,</w:t>
            </w:r>
          </w:p>
        </w:tc>
      </w:tr>
      <w:tr>
        <w:trPr/>
        <w:tc>
          <w:tcPr>
            <w:tcW w:w="124" w:type="dxa"/>
            <w:tcBorders/>
            <w:vAlign w:val="center"/>
          </w:tcPr>
          <w:p>
            <w:pPr>
              <w:pStyle w:val="TableContents"/>
              <w:bidi w:val="0"/>
              <w:spacing w:before="0" w:after="240"/>
              <w:ind w:left="0" w:right="0" w:hanging="0"/>
              <w:jc w:val="both"/>
              <w:rPr/>
            </w:pPr>
            <w:r>
              <w:rPr/>
              <w:t>​</w:t>
            </w:r>
          </w:p>
        </w:tc>
        <w:tc>
          <w:tcPr>
            <w:tcW w:w="1515" w:type="dxa"/>
            <w:gridSpan w:val="2"/>
            <w:tcBorders/>
            <w:vAlign w:val="center"/>
          </w:tcPr>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NetEase, Inc.</w:t>
            </w:r>
          </w:p>
        </w:tc>
      </w:tr>
      <w:tr>
        <w:trPr/>
        <w:tc>
          <w:tcPr>
            <w:tcW w:w="1639"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94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68" w:type="dxa"/>
            <w:tcBorders/>
            <w:vAlign w:val="center"/>
          </w:tcPr>
          <w:p>
            <w:pPr>
              <w:pStyle w:val="TableContents"/>
              <w:bidi w:val="0"/>
              <w:spacing w:before="0" w:after="0"/>
              <w:ind w:left="0" w:right="0" w:hanging="0"/>
              <w:jc w:val="left"/>
              <w:rPr/>
            </w:pPr>
            <w:r>
              <w:rPr/>
              <w:t>​</w:t>
            </w:r>
          </w:p>
        </w:tc>
        <w:tc>
          <w:tcPr>
            <w:tcW w:w="947"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r>
      <w:tr>
        <w:trPr/>
        <w:tc>
          <w:tcPr>
            <w:tcW w:w="124" w:type="dxa"/>
            <w:tcBorders/>
            <w:vAlign w:val="center"/>
          </w:tcPr>
          <w:p>
            <w:pPr>
              <w:pStyle w:val="TableContents"/>
              <w:bidi w:val="0"/>
              <w:spacing w:before="0" w:after="0"/>
              <w:ind w:left="0" w:right="0" w:hanging="0"/>
              <w:jc w:val="left"/>
              <w:rPr/>
            </w:pPr>
            <w:r>
              <w:rPr/>
              <w:t>​</w:t>
            </w:r>
          </w:p>
        </w:tc>
        <w:tc>
          <w:tcPr>
            <w:tcW w:w="568"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left"/>
        <w:rPr/>
      </w:pPr>
      <w:r>
        <w:rPr/>
        <w:t>​</w:t>
      </w:r>
    </w:p>
    <w:tbl>
      <w:tblPr>
        <w:tblW w:w="2595" w:type="dxa"/>
        <w:jc w:val="left"/>
        <w:tblInd w:w="0" w:type="dxa"/>
        <w:tblLayout w:type="fixed"/>
        <w:tblCellMar>
          <w:top w:w="0" w:type="dxa"/>
          <w:left w:w="0" w:type="dxa"/>
          <w:bottom w:w="0" w:type="dxa"/>
          <w:right w:w="0" w:type="dxa"/>
        </w:tblCellMar>
      </w:tblPr>
      <w:tblGrid>
        <w:gridCol w:w="2055"/>
        <w:gridCol w:w="540"/>
      </w:tblGrid>
      <w:tr>
        <w:trPr/>
        <w:tc>
          <w:tcPr>
            <w:tcW w:w="2595" w:type="dxa"/>
            <w:gridSpan w:val="2"/>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Accepted and Agreed to as</w:t>
            </w:r>
          </w:p>
        </w:tc>
      </w:tr>
      <w:tr>
        <w:trPr/>
        <w:tc>
          <w:tcPr>
            <w:tcW w:w="2595" w:type="dxa"/>
            <w:gridSpan w:val="2"/>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of the date first above written:</w:t>
            </w:r>
          </w:p>
        </w:tc>
      </w:tr>
      <w:tr>
        <w:trPr/>
        <w:tc>
          <w:tcPr>
            <w:tcW w:w="2595" w:type="dxa"/>
            <w:gridSpan w:val="2"/>
            <w:tcBorders/>
            <w:vAlign w:val="center"/>
          </w:tcPr>
          <w:p>
            <w:pPr>
              <w:pStyle w:val="TableContents"/>
              <w:bidi w:val="0"/>
              <w:spacing w:before="0" w:after="0"/>
              <w:ind w:left="0" w:right="0" w:hanging="0"/>
              <w:jc w:val="left"/>
              <w:rPr/>
            </w:pPr>
            <w:r>
              <w:rPr/>
              <w:t>​</w:t>
            </w:r>
          </w:p>
        </w:tc>
      </w:tr>
      <w:tr>
        <w:trPr/>
        <w:tc>
          <w:tcPr>
            <w:tcW w:w="20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0" w:type="dxa"/>
            <w:tcBorders/>
            <w:vAlign w:val="center"/>
          </w:tcPr>
          <w:p>
            <w:pPr>
              <w:pStyle w:val="TableContents"/>
              <w:bidi w:val="0"/>
              <w:spacing w:before="0" w:after="0"/>
              <w:ind w:left="0" w:right="0" w:hanging="0"/>
              <w:jc w:val="left"/>
              <w:rPr/>
            </w:pPr>
            <w:r>
              <w:rPr/>
              <w:t>​</w:t>
            </w:r>
          </w:p>
        </w:tc>
      </w:tr>
      <w:tr>
        <w:trPr/>
        <w:tc>
          <w:tcPr>
            <w:tcW w:w="2055"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540"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Exhibit B-3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sz w:val="20"/>
          <w:u w:val="single"/>
        </w:rPr>
      </w:pPr>
      <w:r>
        <w:rPr>
          <w:rFonts w:ascii="Times New Roman;Times;serif" w:hAnsi="Times New Roman;Times;serif"/>
          <w:sz w:val="20"/>
          <w:u w:val="single"/>
        </w:rPr>
        <w:t>Exhibit C</w:t>
      </w:r>
    </w:p>
    <w:p>
      <w:pPr>
        <w:pStyle w:val="TextBody"/>
        <w:bidi w:val="0"/>
        <w:spacing w:before="0" w:after="240"/>
        <w:ind w:left="0" w:right="0" w:hanging="0"/>
        <w:jc w:val="center"/>
        <w:rPr>
          <w:rFonts w:ascii="Times New Roman;Times;serif" w:hAnsi="Times New Roman;Times;serif"/>
          <w:sz w:val="20"/>
          <w:u w:val="single"/>
        </w:rPr>
      </w:pPr>
      <w:r>
        <w:rPr>
          <w:rFonts w:ascii="Times New Roman;Times;serif" w:hAnsi="Times New Roman;Times;serif"/>
          <w:sz w:val="20"/>
          <w:u w:val="single"/>
        </w:rPr>
        <w:t>Form of Release Certificate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________</w:t>
      </w:r>
      <w:r>
        <w:rPr>
          <w:rFonts w:ascii="Times New Roman;Times;serif" w:hAnsi="Times New Roman;Times;serif"/>
          <w:sz w:val="20"/>
        </w:rPr>
        <w:t xml:space="preserve"> (“</w:t>
      </w:r>
      <w:r>
        <w:rPr>
          <w:rFonts w:ascii="Times New Roman;Times;serif" w:hAnsi="Times New Roman;Times;serif"/>
          <w:sz w:val="20"/>
          <w:u w:val="single"/>
        </w:rPr>
        <w:t>You</w:t>
      </w:r>
      <w:r>
        <w:rPr>
          <w:rFonts w:ascii="Times New Roman;Times;serif" w:hAnsi="Times New Roman;Times;serif"/>
          <w:sz w:val="20"/>
        </w:rPr>
        <w:t>”) and NetEase, Inc. (the “</w:t>
      </w:r>
      <w:r>
        <w:rPr>
          <w:rFonts w:ascii="Times New Roman;Times;serif" w:hAnsi="Times New Roman;Times;serif"/>
          <w:sz w:val="20"/>
          <w:u w:val="single"/>
        </w:rPr>
        <w:t>Company</w:t>
      </w:r>
      <w:r>
        <w:rPr>
          <w:rFonts w:ascii="Times New Roman;Times;serif" w:hAnsi="Times New Roman;Times;serif"/>
          <w:sz w:val="20"/>
        </w:rPr>
        <w:t>”) have agreed to enter into this Release Certificate on the following terms: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Within ten (10) business days after you sign this Release Certificate (which you may sign no sooner than the last day of your employment with the Company), you will become eligible to receive any severance benefits which are expressly set forth in the terms of your Employment Agreement dated </w:t>
      </w:r>
      <w:r>
        <w:rPr>
          <w:rFonts w:ascii="Times New Roman;Times;serif" w:hAnsi="Times New Roman;Times;serif"/>
          <w:b/>
          <w:sz w:val="20"/>
        </w:rPr>
        <w:t xml:space="preserve">________ </w:t>
      </w:r>
      <w:r>
        <w:rPr>
          <w:rFonts w:ascii="Times New Roman;Times;serif" w:hAnsi="Times New Roman;Times;serif"/>
          <w:sz w:val="20"/>
        </w:rPr>
        <w:t>between the Company and you (the “</w:t>
      </w:r>
      <w:r>
        <w:rPr>
          <w:rFonts w:ascii="Times New Roman;Times;serif" w:hAnsi="Times New Roman;Times;serif"/>
          <w:sz w:val="20"/>
          <w:u w:val="single"/>
        </w:rPr>
        <w:t>Agreement</w:t>
      </w:r>
      <w:r>
        <w:rPr>
          <w:rFonts w:ascii="Times New Roman;Times;serif" w:hAnsi="Times New Roman;Times;serif"/>
          <w:sz w:val="20"/>
        </w:rPr>
        <w:t>”), and the Subsidiary Employment Agreement (as defined in the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return for the consideration described in the Agreement, you and your representatives completely release the Company, its affiliated, related, parent or subsidiary corporations, and its and their present and former directors, officers, and employees (the “Released Parties”) from all claims of any kind, known and unknown, which you may now have or have ever had against any of them, or arising out of your relationship with any of them, including all claims arising from your employment or the termination of your employment, whether based on contract, tort, statute, local ordinance, regulation or any comparable law in any jurisdiction (“</w:t>
      </w:r>
      <w:r>
        <w:rPr>
          <w:rFonts w:ascii="Times New Roman;Times;serif" w:hAnsi="Times New Roman;Times;serif"/>
          <w:sz w:val="20"/>
          <w:u w:val="single"/>
        </w:rPr>
        <w:t>Released Claims</w:t>
      </w:r>
      <w:r>
        <w:rPr>
          <w:rFonts w:ascii="Times New Roman;Times;serif" w:hAnsi="Times New Roman;Times;serif"/>
          <w:sz w:val="20"/>
        </w:rPr>
        <w:t>”). By way of example and not in limitation, the Released Claims shall include any claims arising under the Labour Law of the People’s Republic of China, the Employment Act of Singapore, Title VII of the U.S. Civil Rights Act of 1964, the Americans with Disabilities Act, the Worker Adjustment and Retraining Notification Act, and the Age Discrimination in Employment Act, or any comparable law of any other jurisdiction or nation, as well as any claims asserting wrongful termination, breach of contract, breach of the covenant of good faith and fair dealing, negligent or intentional misrepresentation, and defamation and any claims for attorneys’ fees. You also agree not to initiate or cause to be initiated against any of the Released Parties any lawsuit, compliance review, administrative claim, investigation or proceedings of any kind which pertain in any manner to the Released Claims.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You acknowledge that the release of claims under the Age Discrimination in Employment Act (“</w:t>
      </w:r>
      <w:r>
        <w:rPr>
          <w:rFonts w:ascii="Times New Roman;Times;serif" w:hAnsi="Times New Roman;Times;serif"/>
          <w:sz w:val="20"/>
          <w:u w:val="single"/>
        </w:rPr>
        <w:t>ADEA</w:t>
      </w:r>
      <w:r>
        <w:rPr>
          <w:rFonts w:ascii="Times New Roman;Times;serif" w:hAnsi="Times New Roman;Times;serif"/>
          <w:sz w:val="20"/>
        </w:rPr>
        <w:t>”) is subject to special waiver protection. Therefore, you acknowledge the following: (a) you have had 21 days to consider this Release Certificate (but may sign it at any time beforehand if you so desire); (b) you can consult an attorney in doing so; (c) you can revoke this Release Certificate within seven (7) days of signing it by sending a certified letter to that effect to the Chief Executive Officer at NetEase Building, No. 599 Wangshang Road, Binjiang District, Hangzhou, 310052, People’s Republic of China; and that (d) notwithstanding the foregoing, the portion of this Release Certificate that pertains to the release of claims under the ADEA shall not become effective or enforceable and no funds shall be exchanged until the 7-day revocation period has expired, but that all other provisions of this Release Certificate will become effective upon its execution by the parties.</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You agree to immediately return to the Company all Company documents (and all copies thereof) and other Company property which you have had in your possession or control at any time, including, but not limited to, the items set forth in </w:t>
      </w:r>
      <w:r>
        <w:rPr>
          <w:rFonts w:ascii="Times New Roman;Times;serif" w:hAnsi="Times New Roman;Times;serif"/>
          <w:sz w:val="20"/>
          <w:u w:val="single"/>
        </w:rPr>
        <w:t>Exhibit 1</w:t>
      </w:r>
      <w:r>
        <w:rPr>
          <w:rFonts w:ascii="Times New Roman;Times;serif" w:hAnsi="Times New Roman;Times;serif"/>
          <w:sz w:val="20"/>
        </w:rPr>
        <w:t xml:space="preserve"> to this Release Certificate, and all Company mobile phones in your possession, your laptop computer and the smart phone or similar personal digital assistant provided by the Company, the Company’s files, notes, drawings, records, business plans and forecasts, financial information, specifications, computer-recorded information, tangible property, credit cards, entry cards, identification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Exhibit C-1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badges and keys, and any materials of any kind which contain or embody any proprietary or confidential information of the Company (and all reproductions thereof).</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You understand and agree that you shall remain bound by the terms of that certain Key Employee Invention Assignment and Confidentiality Agreement between you and the Company, attached as </w:t>
      </w:r>
      <w:r>
        <w:rPr>
          <w:rFonts w:ascii="Times New Roman;Times;serif" w:hAnsi="Times New Roman;Times;serif"/>
          <w:sz w:val="20"/>
          <w:u w:val="single"/>
        </w:rPr>
        <w:t>Exhibit 2</w:t>
      </w:r>
      <w:r>
        <w:rPr>
          <w:rFonts w:ascii="Times New Roman;Times;serif" w:hAnsi="Times New Roman;Times;serif"/>
          <w:sz w:val="20"/>
        </w:rPr>
        <w:t xml:space="preserve"> to this Release Certificate (the “</w:t>
      </w:r>
      <w:r>
        <w:rPr>
          <w:rFonts w:ascii="Times New Roman;Times;serif" w:hAnsi="Times New Roman;Times;serif"/>
          <w:sz w:val="20"/>
          <w:u w:val="single"/>
        </w:rPr>
        <w:t>Confidentiality Agreement</w:t>
      </w:r>
      <w:r>
        <w:rPr>
          <w:rFonts w:ascii="Times New Roman;Times;serif" w:hAnsi="Times New Roman;Times;serif"/>
          <w:sz w:val="20"/>
        </w:rPr>
        <w:t xml:space="preserve">”), and the Non-Compete Agreement between you and the Company, attached hereto as </w:t>
      </w:r>
      <w:r>
        <w:rPr>
          <w:rFonts w:ascii="Times New Roman;Times;serif" w:hAnsi="Times New Roman;Times;serif"/>
          <w:sz w:val="20"/>
          <w:u w:val="single"/>
        </w:rPr>
        <w:t>Exhibit 3</w:t>
      </w:r>
      <w:r>
        <w:rPr>
          <w:rFonts w:ascii="Times New Roman;Times;serif" w:hAnsi="Times New Roman;Times;serif"/>
          <w:sz w:val="20"/>
        </w:rPr>
        <w:t xml:space="preserve"> to this Release Certificate (the “</w:t>
      </w:r>
      <w:r>
        <w:rPr>
          <w:rFonts w:ascii="Times New Roman;Times;serif" w:hAnsi="Times New Roman;Times;serif"/>
          <w:sz w:val="20"/>
          <w:u w:val="single"/>
        </w:rPr>
        <w:t>Non-Compete Agreement</w:t>
      </w:r>
      <w:r>
        <w:rPr>
          <w:rFonts w:ascii="Times New Roman;Times;serif" w:hAnsi="Times New Roman;Times;serif"/>
          <w:sz w:val="20"/>
        </w:rPr>
        <w:t>”), both of which shall each be considered a part of this Release Certificate.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You acknowledge and agree that the Company shall have no obligation to assist or facilitate in any way the deposit of any ordinary shares owned by you (including shares received upon the settlement of any equity compensation awards) into the Company’s American Depositary Receipt program unless and until you deliver a certificate to the Company in a form satisfactory to the Company, to the effect that you are not then in possession of any material nonpublic information regarding the Company and the Company and its Board of Directors conclude it is reasonable to rely on such certificate.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You agree to hold in strictest confidence the circumstances of your separation from the Company and the provisions of this Release Certificate, and not to publicize or disclose such information in any manner whatsoever; provided, however, that you may disclose this Agreement to your immediate family, your attorney and tax advisors, or as otherwise required by law. You also agree not to, either by yourself or indirectly through others, disparage, defame, otherwise speak negatively about the Company or any of the Released Parties in any manner, or take or cause to be taken any other action that is, likely to be harmful to them or their business, business reputation or personal reputation in any way, provided that you shall respond accurately and fully to any question, inquiry or request for information when instructed by the Company or otherwise required by legal process.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parties agree that this Release Certificate and the Agreement contain all of our agreements and understandings with respect to their subject matter, and may not be contradicted by evidence of any prior or contemporaneous agreement, except to the extent that the provisions of any such agreement have been expressly referred to in this Release Certificate or the Agreement as having continued effect. It is agreed that this Release Certificate shall be governed by the laws of the Cayman Islands. If any provision of this Release Certificate or its application to any person, place, or circumstance is held by a court of competent jurisdiction to be invalid, unenforceable, or void, the remainder of this Release Certificate and such provision as applied to other person, places, and circumstances will remain in full force and effect.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Please note that this Release Certificate may not be signed before the last day of your employment with the Company, and that your eligibility for severance benefits is conditioned upon meeting the terms set forth in the Agreement. By your signature below, you acknowledge that (a) you have read this Release Certificate or have been afforded every opportunity to do so; (b) you are fully aware of this Release Certificate’s contents and legal effect; (c) you have had an opportunity to consult with an attorney of your choosing prior to signing this Release Certificate; and (d) you have chosen to sign this Release Certificate freely, without coercion, and based upon your own judgment and not in reliance upon any promises made by the Company other than those contained in this Release Certificate.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Exhibit C-2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w:t>
      </w:r>
    </w:p>
    <w:tbl>
      <w:tblPr>
        <w:tblW w:w="2788" w:type="dxa"/>
        <w:jc w:val="left"/>
        <w:tblInd w:w="0" w:type="dxa"/>
        <w:tblLayout w:type="fixed"/>
        <w:tblCellMar>
          <w:top w:w="0" w:type="dxa"/>
          <w:left w:w="0" w:type="dxa"/>
          <w:bottom w:w="28" w:type="dxa"/>
          <w:right w:w="0" w:type="dxa"/>
        </w:tblCellMar>
      </w:tblPr>
      <w:tblGrid>
        <w:gridCol w:w="1876"/>
        <w:gridCol w:w="326"/>
        <w:gridCol w:w="586"/>
      </w:tblGrid>
      <w:tr>
        <w:trPr/>
        <w:tc>
          <w:tcPr>
            <w:tcW w:w="1876" w:type="dxa"/>
            <w:tcBorders>
              <w:bottom w:val="single" w:sz="2" w:space="0" w:color="000000"/>
            </w:tcBorders>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vAlign w:val="center"/>
          </w:tcPr>
          <w:p>
            <w:pPr>
              <w:pStyle w:val="TableContents"/>
              <w:bidi w:val="0"/>
              <w:spacing w:before="0" w:after="0"/>
              <w:ind w:left="0" w:right="0" w:hanging="0"/>
              <w:jc w:val="left"/>
              <w:rPr/>
            </w:pPr>
            <w:r>
              <w:rPr/>
              <w:t>​</w:t>
            </w:r>
          </w:p>
        </w:tc>
      </w:tr>
      <w:tr>
        <w:trPr/>
        <w:tc>
          <w:tcPr>
            <w:tcW w:w="1876"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w:t>
            </w:r>
          </w:p>
        </w:tc>
        <w:tc>
          <w:tcPr>
            <w:tcW w:w="326" w:type="dxa"/>
            <w:tcBorders/>
            <w:tcMar>
              <w:bottom w:w="0" w:type="dxa"/>
            </w:tcMar>
            <w:vAlign w:val="center"/>
          </w:tcPr>
          <w:p>
            <w:pPr>
              <w:pStyle w:val="TableContents"/>
              <w:bidi w:val="0"/>
              <w:spacing w:before="0" w:after="0"/>
              <w:ind w:left="0" w:right="0" w:hanging="0"/>
              <w:jc w:val="left"/>
              <w:rPr/>
            </w:pPr>
            <w:r>
              <w:rPr/>
              <w:t>​</w:t>
            </w:r>
          </w:p>
        </w:tc>
        <w:tc>
          <w:tcPr>
            <w:tcW w:w="586"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r>
      <w:tr>
        <w:trPr/>
        <w:tc>
          <w:tcPr>
            <w:tcW w:w="187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586" w:type="dxa"/>
            <w:tcBorders/>
            <w:tcMar>
              <w:bottom w:w="0" w:type="dxa"/>
            </w:tcMar>
            <w:vAlign w:val="center"/>
          </w:tcPr>
          <w:p>
            <w:pPr>
              <w:pStyle w:val="TableContents"/>
              <w:bidi w:val="0"/>
              <w:spacing w:before="0" w:after="0"/>
              <w:ind w:left="0" w:right="0" w:hanging="0"/>
              <w:jc w:val="left"/>
              <w:rPr/>
            </w:pPr>
            <w:r>
              <w:rPr/>
              <w:t>​</w:t>
            </w:r>
          </w:p>
        </w:tc>
      </w:tr>
      <w:tr>
        <w:trPr/>
        <w:tc>
          <w:tcPr>
            <w:tcW w:w="1876" w:type="dxa"/>
            <w:tcBorders>
              <w:bottom w:val="single" w:sz="2" w:space="0" w:color="000000"/>
            </w:tcBorders>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vAlign w:val="center"/>
          </w:tcPr>
          <w:p>
            <w:pPr>
              <w:pStyle w:val="TableContents"/>
              <w:bidi w:val="0"/>
              <w:spacing w:before="0" w:after="0"/>
              <w:ind w:left="0" w:right="0" w:hanging="0"/>
              <w:jc w:val="left"/>
              <w:rPr/>
            </w:pPr>
            <w:r>
              <w:rPr/>
              <w:t>​</w:t>
            </w:r>
          </w:p>
        </w:tc>
      </w:tr>
      <w:tr>
        <w:trPr/>
        <w:tc>
          <w:tcPr>
            <w:tcW w:w="1876"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 Signatory]</w:t>
            </w:r>
          </w:p>
        </w:tc>
        <w:tc>
          <w:tcPr>
            <w:tcW w:w="326" w:type="dxa"/>
            <w:tcBorders/>
            <w:tcMar>
              <w:bottom w:w="0" w:type="dxa"/>
            </w:tcMar>
            <w:vAlign w:val="center"/>
          </w:tcPr>
          <w:p>
            <w:pPr>
              <w:pStyle w:val="TableContents"/>
              <w:bidi w:val="0"/>
              <w:spacing w:before="0" w:after="0"/>
              <w:ind w:left="0" w:right="0" w:hanging="0"/>
              <w:jc w:val="left"/>
              <w:rPr/>
            </w:pPr>
            <w:r>
              <w:rPr/>
              <w:t>​</w:t>
            </w:r>
          </w:p>
        </w:tc>
        <w:tc>
          <w:tcPr>
            <w:tcW w:w="586"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Exhibit C-3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sz w:val="20"/>
          <w:u w:val="single"/>
        </w:rPr>
      </w:pPr>
      <w:r>
        <w:rPr>
          <w:rFonts w:ascii="Times New Roman;Times;serif" w:hAnsi="Times New Roman;Times;serif"/>
          <w:sz w:val="20"/>
          <w:u w:val="single"/>
        </w:rPr>
        <w:t>Exhibit 1</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[Property to be returned]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Exhibit 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sz w:val="20"/>
          <w:u w:val="single"/>
        </w:rPr>
      </w:pPr>
      <w:r>
        <w:rPr>
          <w:rFonts w:ascii="Times New Roman;Times;serif" w:hAnsi="Times New Roman;Times;serif"/>
          <w:sz w:val="20"/>
          <w:u w:val="single"/>
        </w:rPr>
        <w:t>Exhibit 2</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[Confidentiality Agreement]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Exhibit 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sz w:val="20"/>
          <w:u w:val="single"/>
        </w:rPr>
      </w:pPr>
      <w:r>
        <w:rPr>
          <w:rFonts w:ascii="Times New Roman;Times;serif" w:hAnsi="Times New Roman;Times;serif"/>
          <w:sz w:val="20"/>
          <w:u w:val="single"/>
        </w:rPr>
        <w:t>Exhibit 3</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[Non-Compete Agreement]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Exhibit 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157" w:name="ntes-20231231xex4d46.htm"/>
      <w:bookmarkStart w:id="2158" w:name="ksntes20231231xex4d46"/>
      <w:bookmarkEnd w:id="2157"/>
      <w:bookmarkEnd w:id="2158"/>
      <w:r>
        <w:rPr>
          <w:rFonts w:ascii="Times New Roman;Times;serif" w:hAnsi="Times New Roman;Times;serif"/>
          <w:b/>
          <w:sz w:val="20"/>
        </w:rPr>
        <w:t>Exhibit 4.46</w:t>
      </w:r>
      <w:r>
        <w:br w:type="page"/>
      </w:r>
    </w:p>
    <w:p>
      <w:pPr>
        <w:pStyle w:val="TextBody"/>
        <w:bidi w:val="0"/>
        <w:spacing w:before="0" w:after="0"/>
        <w:ind w:left="0" w:right="0" w:hanging="0"/>
        <w:jc w:val="right"/>
        <w:rPr/>
      </w:pPr>
      <w:r>
        <w:rPr/>
        <w:t>​</w:t>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sz w:val="20"/>
        </w:rPr>
        <w:t>(Certain identified information has</w:t>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sz w:val="20"/>
        </w:rPr>
        <w:t>been excluded from this exhibit</w:t>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sz w:val="20"/>
        </w:rPr>
        <w:t>because it is both not material and</w:t>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sz w:val="20"/>
        </w:rPr>
        <w:t>is the type that the registrant treats</w:t>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as private or confidential)</w:t>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DATED September 12, 2023</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USD300,000,000 REVOLVING LOAN FACILITY AGREEMENT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BETWEEN</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YOUDAO, INC.</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and</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NETEASE, INC.</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THIS FACILITY AGREEMENT</w:t>
      </w:r>
      <w:r>
        <w:rPr>
          <w:rFonts w:ascii="Times New Roman;Times;serif" w:hAnsi="Times New Roman;Times;serif"/>
          <w:sz w:val="20"/>
        </w:rPr>
        <w:t xml:space="preserve"> is entered into on September 12, 2023 (the “</w:t>
      </w:r>
      <w:r>
        <w:rPr>
          <w:rFonts w:ascii="Times New Roman;Times;serif" w:hAnsi="Times New Roman;Times;serif"/>
          <w:b/>
          <w:sz w:val="20"/>
        </w:rPr>
        <w:t>Effective Date</w:t>
      </w:r>
      <w:r>
        <w:rPr>
          <w:rFonts w:ascii="Times New Roman;Times;serif" w:hAnsi="Times New Roman;Times;serif"/>
          <w:sz w:val="20"/>
        </w:rPr>
        <w:t>”), by and between the following Parties:</w:t>
      </w:r>
    </w:p>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998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Youdao, Inc., a company with limited liability incorporated under the laws of Cayman Islands, with its registered office at PO Box 309, Ugland House, Grand Cayman, KY1-1104, Cayman Islands (the “</w:t>
            </w:r>
            <w:r>
              <w:rPr>
                <w:rFonts w:ascii="Times New Roman;Times;serif" w:hAnsi="Times New Roman;Times;serif"/>
                <w:b/>
                <w:sz w:val="20"/>
              </w:rPr>
              <w:t>Borrower</w:t>
            </w:r>
            <w:r>
              <w:rPr>
                <w:rFonts w:ascii="Times New Roman;Times;serif" w:hAnsi="Times New Roman;Times;serif"/>
                <w:sz w:val="20"/>
              </w:rPr>
              <w:t>”); and</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99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NetEase, Inc., a company with limited liability incorporated under the laws of Cayman Islands, with its registered office at PO Box 309, Ugland House, Grand Cayman, KY1-1104, Cayman Islands (the “</w:t>
            </w:r>
            <w:r>
              <w:rPr>
                <w:rFonts w:ascii="Times New Roman;Times;serif" w:hAnsi="Times New Roman;Times;serif"/>
                <w:b/>
                <w:sz w:val="20"/>
              </w:rPr>
              <w:t>Lender</w:t>
            </w:r>
            <w:r>
              <w:rPr>
                <w:rFonts w:ascii="Times New Roman;Times;serif" w:hAnsi="Times New Roman;Times;serif"/>
                <w:sz w:val="20"/>
              </w:rPr>
              <w:t>”).</w:t>
            </w:r>
          </w:p>
        </w:tc>
      </w:tr>
    </w:tbl>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BACKGROUND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Lender has agreed to provide the Borrower an unsecured revolving loan facility on the date of this agreement (the “</w:t>
      </w:r>
      <w:r>
        <w:rPr>
          <w:rFonts w:ascii="Times New Roman;Times;serif" w:hAnsi="Times New Roman;Times;serif"/>
          <w:b/>
          <w:sz w:val="20"/>
        </w:rPr>
        <w:t>Agreement</w:t>
      </w:r>
      <w:r>
        <w:rPr>
          <w:rFonts w:ascii="Times New Roman;Times;serif" w:hAnsi="Times New Roman;Times;serif"/>
          <w:sz w:val="20"/>
        </w:rPr>
        <w:t>”) to provide funds for the Borrower to support its general corporate requirements set forth herein.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For purpose of this Agreement, the Lender and the Borrower are hereinafter individually referred to as a </w:t>
      </w:r>
      <w:r>
        <w:rPr>
          <w:rFonts w:ascii="Times New Roman;Times;serif" w:hAnsi="Times New Roman;Times;serif"/>
          <w:b/>
          <w:sz w:val="20"/>
        </w:rPr>
        <w:t>Party</w:t>
      </w:r>
      <w:r>
        <w:rPr>
          <w:rFonts w:ascii="Times New Roman;Times;serif" w:hAnsi="Times New Roman;Times;serif"/>
          <w:sz w:val="20"/>
        </w:rPr>
        <w:t xml:space="preserve">, and collectively as the </w:t>
      </w:r>
      <w:r>
        <w:rPr>
          <w:rFonts w:ascii="Times New Roman;Times;serif" w:hAnsi="Times New Roman;Times;serif"/>
          <w:b/>
          <w:sz w:val="20"/>
        </w:rPr>
        <w:t>Parties</w:t>
      </w:r>
      <w:r>
        <w:rPr>
          <w:rFonts w:ascii="Times New Roman;Times;serif" w:hAnsi="Times New Roman;Times;serif"/>
          <w:sz w:val="20"/>
        </w:rPr>
        <w:t>.</w:t>
      </w:r>
    </w:p>
    <w:p>
      <w:pPr>
        <w:pStyle w:val="TextBody"/>
        <w:bidi w:val="0"/>
        <w:spacing w:before="0" w:after="12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AGREED TERMS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w:t>
      </w:r>
      <w:r>
        <w:rPr>
          <w:rFonts w:ascii="Times New Roman;Times;serif" w:hAnsi="Times New Roman;Times;serif"/>
          <w:b/>
          <w:sz w:val="20"/>
        </w:rPr>
        <w:t>DEFINITIONS AND INTERPRETATION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1.1</w:t>
      </w:r>
      <w:r>
        <w:rPr>
          <w:rFonts w:ascii="Times New Roman;Times;serif" w:hAnsi="Times New Roman;Times;serif"/>
          <w:b/>
          <w:sz w:val="20"/>
        </w:rPr>
        <w:t>Definitions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following definitions apply in this Agreement.</w:t>
      </w:r>
    </w:p>
    <w:p>
      <w:pPr>
        <w:pStyle w:val="TextBody"/>
        <w:bidi w:val="0"/>
        <w:spacing w:before="0" w:after="240"/>
        <w:ind w:left="720" w:right="0" w:hanging="0"/>
        <w:jc w:val="both"/>
        <w:rPr/>
      </w:pPr>
      <w:r>
        <w:rPr/>
        <w:t>“</w:t>
      </w:r>
      <w:r>
        <w:rPr>
          <w:rFonts w:ascii="Times New Roman;Times;serif" w:hAnsi="Times New Roman;Times;serif"/>
          <w:b/>
          <w:sz w:val="20"/>
        </w:rPr>
        <w:t>Availability Period”</w:t>
      </w:r>
      <w:r>
        <w:rPr>
          <w:rFonts w:ascii="Times New Roman;Times;serif" w:hAnsi="Times New Roman;Times;serif"/>
          <w:sz w:val="20"/>
        </w:rPr>
        <w:t xml:space="preserve"> means the period from April 1, 2024 (the “</w:t>
      </w:r>
      <w:r>
        <w:rPr>
          <w:rFonts w:ascii="Times New Roman;Times;serif" w:hAnsi="Times New Roman;Times;serif"/>
          <w:b/>
          <w:sz w:val="20"/>
        </w:rPr>
        <w:t>Credit Commencement Date</w:t>
      </w:r>
      <w:r>
        <w:rPr>
          <w:rFonts w:ascii="Times New Roman;Times;serif" w:hAnsi="Times New Roman;Times;serif"/>
          <w:sz w:val="20"/>
        </w:rPr>
        <w:t>”) to the date falling 35 months after the Credit Commencement Date.</w:t>
      </w:r>
    </w:p>
    <w:p>
      <w:pPr>
        <w:pStyle w:val="TextBody"/>
        <w:bidi w:val="0"/>
        <w:spacing w:before="0" w:after="240"/>
        <w:ind w:left="720" w:right="0" w:hanging="0"/>
        <w:jc w:val="both"/>
        <w:rPr/>
      </w:pPr>
      <w:r>
        <w:rPr/>
        <w:t>“</w:t>
      </w:r>
      <w:r>
        <w:rPr>
          <w:rFonts w:ascii="Times New Roman;Times;serif" w:hAnsi="Times New Roman;Times;serif"/>
          <w:b/>
          <w:sz w:val="20"/>
        </w:rPr>
        <w:t xml:space="preserve">Banking Day” </w:t>
      </w:r>
      <w:r>
        <w:rPr>
          <w:rFonts w:ascii="Times New Roman;Times;serif" w:hAnsi="Times New Roman;Times;serif"/>
          <w:sz w:val="20"/>
        </w:rPr>
        <w:t>means a day other than: (a) a Saturday or Sunday in the State of New York; and (b) a day on which Securities Industry and Financial Markets Association recommends that the fixed income departments of its members be closed for the entire day for the purpose of trading in US Government securities.</w:t>
      </w:r>
    </w:p>
    <w:p>
      <w:pPr>
        <w:pStyle w:val="TextBody"/>
        <w:bidi w:val="0"/>
        <w:spacing w:before="0" w:after="240"/>
        <w:ind w:left="720" w:right="0" w:hanging="0"/>
        <w:jc w:val="both"/>
        <w:rPr/>
      </w:pPr>
      <w:r>
        <w:rPr/>
        <w:t>“</w:t>
      </w:r>
      <w:r>
        <w:rPr>
          <w:rFonts w:ascii="Times New Roman;Times;serif" w:hAnsi="Times New Roman;Times;serif"/>
          <w:b/>
          <w:sz w:val="20"/>
        </w:rPr>
        <w:t>Business Day”</w:t>
      </w:r>
      <w:r>
        <w:rPr>
          <w:rFonts w:ascii="Times New Roman;Times;serif" w:hAnsi="Times New Roman;Times;serif"/>
          <w:sz w:val="20"/>
        </w:rPr>
        <w:t xml:space="preserve"> means any day that is not a Saturday, Sunday, legal holiday or other day on which commercial banks are required or authorized by law to be closed in the PRC and Hong Kong.</w:t>
      </w:r>
    </w:p>
    <w:p>
      <w:pPr>
        <w:pStyle w:val="TextBody"/>
        <w:bidi w:val="0"/>
        <w:spacing w:before="0" w:after="240"/>
        <w:ind w:left="720" w:right="0" w:hanging="0"/>
        <w:jc w:val="both"/>
        <w:rPr/>
      </w:pPr>
      <w:r>
        <w:rPr/>
        <w:t>“</w:t>
      </w:r>
      <w:r>
        <w:rPr>
          <w:rFonts w:ascii="Times New Roman;Times;serif" w:hAnsi="Times New Roman;Times;serif"/>
          <w:b/>
          <w:sz w:val="20"/>
        </w:rPr>
        <w:t xml:space="preserve">Drawdown Date” </w:t>
      </w:r>
      <w:r>
        <w:rPr>
          <w:rFonts w:ascii="Times New Roman;Times;serif" w:hAnsi="Times New Roman;Times;serif"/>
          <w:sz w:val="20"/>
        </w:rPr>
        <w:t>means the date of advance of a Loan.</w:t>
      </w:r>
    </w:p>
    <w:p>
      <w:pPr>
        <w:pStyle w:val="TextBody"/>
        <w:bidi w:val="0"/>
        <w:spacing w:before="0" w:after="240"/>
        <w:ind w:left="720" w:right="0" w:hanging="0"/>
        <w:jc w:val="both"/>
        <w:rPr/>
      </w:pPr>
      <w:r>
        <w:rPr/>
        <w:t>“</w:t>
      </w:r>
      <w:r>
        <w:rPr>
          <w:rFonts w:ascii="Times New Roman;Times;serif" w:hAnsi="Times New Roman;Times;serif"/>
          <w:b/>
          <w:sz w:val="20"/>
        </w:rPr>
        <w:t>Final Maturity Date”</w:t>
      </w:r>
      <w:r>
        <w:rPr>
          <w:rFonts w:ascii="Times New Roman;Times;serif" w:hAnsi="Times New Roman;Times;serif"/>
          <w:sz w:val="20"/>
        </w:rPr>
        <w:t xml:space="preserve"> means the date falling 36 months after the Credit Commencement Date.</w:t>
      </w:r>
    </w:p>
    <w:p>
      <w:pPr>
        <w:pStyle w:val="TextBody"/>
        <w:bidi w:val="0"/>
        <w:spacing w:before="0" w:after="240"/>
        <w:ind w:left="720" w:right="0" w:hanging="0"/>
        <w:jc w:val="both"/>
        <w:rPr/>
      </w:pPr>
      <w:r>
        <w:rPr/>
        <w:t>“</w:t>
      </w:r>
      <w:r>
        <w:rPr>
          <w:rFonts w:ascii="Times New Roman;Times;serif" w:hAnsi="Times New Roman;Times;serif"/>
          <w:b/>
          <w:sz w:val="20"/>
        </w:rPr>
        <w:t>Facility Amount”</w:t>
      </w:r>
      <w:r>
        <w:rPr>
          <w:rFonts w:ascii="Times New Roman;Times;serif" w:hAnsi="Times New Roman;Times;serif"/>
          <w:sz w:val="20"/>
        </w:rPr>
        <w:t xml:space="preserve"> means USD300,000,000 or its equivalent amount in any other currencies mutually agreed by both Parties on the Effective Date.</w:t>
      </w:r>
    </w:p>
    <w:p>
      <w:pPr>
        <w:pStyle w:val="TextBody"/>
        <w:bidi w:val="0"/>
        <w:spacing w:before="0" w:after="240"/>
        <w:ind w:left="720" w:right="0" w:hanging="0"/>
        <w:jc w:val="both"/>
        <w:rPr/>
      </w:pPr>
      <w:r>
        <w:rPr/>
        <w:t>“</w:t>
      </w:r>
      <w:r>
        <w:rPr>
          <w:rFonts w:ascii="Times New Roman;Times;serif" w:hAnsi="Times New Roman;Times;serif"/>
          <w:b/>
          <w:sz w:val="20"/>
        </w:rPr>
        <w:t>Interest Period”</w:t>
      </w:r>
      <w:r>
        <w:rPr>
          <w:rFonts w:ascii="Times New Roman;Times;serif" w:hAnsi="Times New Roman;Times;serif"/>
          <w:sz w:val="20"/>
        </w:rPr>
        <w:t xml:space="preserve"> means each period determined under this Agreement by reference to which interest on a Loan is calculation.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pPr>
      <w:r>
        <w:rPr/>
        <w:t>“</w:t>
      </w:r>
      <w:r>
        <w:rPr>
          <w:rFonts w:ascii="Times New Roman;Times;serif" w:hAnsi="Times New Roman;Times;serif"/>
          <w:b/>
          <w:sz w:val="20"/>
        </w:rPr>
        <w:t>Loan”</w:t>
      </w:r>
      <w:r>
        <w:rPr>
          <w:rFonts w:ascii="Times New Roman;Times;serif" w:hAnsi="Times New Roman;Times;serif"/>
          <w:sz w:val="20"/>
        </w:rPr>
        <w:t xml:space="preserve"> means the principal amount of the loan made or to be made by the Lender to the Borrower under Loan Drawdown Notice or (as the context requires) the principal amount outstanding for the time being of that loan.</w:t>
      </w:r>
    </w:p>
    <w:p>
      <w:pPr>
        <w:pStyle w:val="TextBody"/>
        <w:bidi w:val="0"/>
        <w:spacing w:before="0" w:after="240"/>
        <w:ind w:left="720" w:right="0" w:hanging="0"/>
        <w:jc w:val="both"/>
        <w:rPr/>
      </w:pPr>
      <w:r>
        <w:rPr/>
        <w:t>“</w:t>
      </w:r>
      <w:r>
        <w:rPr>
          <w:rFonts w:ascii="Times New Roman;Times;serif" w:hAnsi="Times New Roman;Times;serif"/>
          <w:b/>
          <w:sz w:val="20"/>
        </w:rPr>
        <w:t>Margin”</w:t>
      </w:r>
      <w:r>
        <w:rPr>
          <w:rFonts w:ascii="Times New Roman;Times;serif" w:hAnsi="Times New Roman;Times;serif"/>
          <w:sz w:val="20"/>
        </w:rPr>
        <w:t xml:space="preserve"> means 1.1% per annum.</w:t>
      </w:r>
    </w:p>
    <w:p>
      <w:pPr>
        <w:pStyle w:val="TextBody"/>
        <w:bidi w:val="0"/>
        <w:spacing w:before="0" w:after="240"/>
        <w:ind w:left="720" w:right="0" w:hanging="0"/>
        <w:jc w:val="both"/>
        <w:rPr/>
      </w:pPr>
      <w:r>
        <w:rPr/>
        <w:t>“</w:t>
      </w:r>
      <w:r>
        <w:rPr>
          <w:rFonts w:ascii="Times New Roman;Times;serif" w:hAnsi="Times New Roman;Times;serif"/>
          <w:b/>
          <w:sz w:val="20"/>
        </w:rPr>
        <w:t xml:space="preserve">Material Adverse Effect” </w:t>
      </w:r>
      <w:r>
        <w:rPr>
          <w:rFonts w:ascii="Times New Roman;Times;serif" w:hAnsi="Times New Roman;Times;serif"/>
          <w:sz w:val="20"/>
        </w:rPr>
        <w:t>means any material adverse effect on (i) the business or financial condition of the Borrower, including but not limited to material deterioration of business conditions, serious losses, insolvency; (ii) the ability of the Borrower to perform its payment obligations under this Agreement; or (iii) the validity, legality or enforceability of this Agreement, or the rights and remedies of the Lender under this Agreement.</w:t>
      </w:r>
    </w:p>
    <w:p>
      <w:pPr>
        <w:pStyle w:val="TextBody"/>
        <w:bidi w:val="0"/>
        <w:spacing w:before="0" w:after="240"/>
        <w:ind w:left="720" w:right="0" w:hanging="0"/>
        <w:jc w:val="both"/>
        <w:rPr/>
      </w:pPr>
      <w:r>
        <w:rPr/>
        <w:t>“</w:t>
      </w:r>
      <w:r>
        <w:rPr>
          <w:rFonts w:ascii="Times New Roman;Times;serif" w:hAnsi="Times New Roman;Times;serif"/>
          <w:b/>
          <w:sz w:val="20"/>
        </w:rPr>
        <w:t>PRC”</w:t>
      </w:r>
      <w:r>
        <w:rPr>
          <w:rFonts w:ascii="Times New Roman;Times;serif" w:hAnsi="Times New Roman;Times;serif"/>
          <w:sz w:val="20"/>
        </w:rPr>
        <w:t xml:space="preserve"> means the People’s Republic of China.</w:t>
      </w:r>
    </w:p>
    <w:p>
      <w:pPr>
        <w:pStyle w:val="TextBody"/>
        <w:bidi w:val="0"/>
        <w:spacing w:before="0" w:after="240"/>
        <w:ind w:left="720" w:right="0" w:hanging="0"/>
        <w:jc w:val="both"/>
        <w:rPr/>
      </w:pPr>
      <w:r>
        <w:rPr/>
        <w:t>“</w:t>
      </w:r>
      <w:r>
        <w:rPr>
          <w:rFonts w:ascii="Times New Roman;Times;serif" w:hAnsi="Times New Roman;Times;serif"/>
          <w:b/>
          <w:sz w:val="20"/>
        </w:rPr>
        <w:t>Relevant Governmental Body”</w:t>
      </w:r>
      <w:r>
        <w:rPr>
          <w:rFonts w:ascii="Times New Roman;Times;serif" w:hAnsi="Times New Roman;Times;serif"/>
          <w:sz w:val="20"/>
        </w:rPr>
        <w:t xml:space="preserve"> means the Federal Reserve Board and/or the Federal Reserve Bank of New York, or a committee officially endorsed or convened by the Federal Reserve Board and/or the Federal Reserve Bank of New York or any successor thereto.</w:t>
      </w:r>
    </w:p>
    <w:p>
      <w:pPr>
        <w:pStyle w:val="TextBody"/>
        <w:bidi w:val="0"/>
        <w:spacing w:before="0" w:after="240"/>
        <w:ind w:left="720" w:right="0" w:hanging="0"/>
        <w:jc w:val="both"/>
        <w:rPr/>
      </w:pPr>
      <w:r>
        <w:rPr/>
        <w:t>“</w:t>
      </w:r>
      <w:r>
        <w:rPr>
          <w:rFonts w:ascii="Times New Roman;Times;serif" w:hAnsi="Times New Roman;Times;serif"/>
          <w:b/>
          <w:sz w:val="20"/>
        </w:rPr>
        <w:t xml:space="preserve">SOFR” </w:t>
      </w:r>
      <w:r>
        <w:rPr>
          <w:rFonts w:ascii="Times New Roman;Times;serif" w:hAnsi="Times New Roman;Times;serif"/>
          <w:sz w:val="20"/>
        </w:rPr>
        <w:t>with respect to any day means the secured overnight financing rate published for such day by the Federal Reserve Bank of New York, as the administrator of the benchmark, (or a successor administrator) on the Federal Reserve Bank of New York’s Website.</w:t>
      </w:r>
    </w:p>
    <w:p>
      <w:pPr>
        <w:pStyle w:val="TextBody"/>
        <w:bidi w:val="0"/>
        <w:spacing w:before="0" w:after="240"/>
        <w:ind w:left="720" w:right="0" w:hanging="0"/>
        <w:jc w:val="both"/>
        <w:rPr/>
      </w:pPr>
      <w:r>
        <w:rPr/>
        <w:t>“</w:t>
      </w:r>
      <w:r>
        <w:rPr>
          <w:rFonts w:ascii="Times New Roman;Times;serif" w:hAnsi="Times New Roman;Times;serif"/>
          <w:b/>
          <w:sz w:val="20"/>
        </w:rPr>
        <w:t>Term SOFR”</w:t>
      </w:r>
      <w:r>
        <w:rPr>
          <w:rFonts w:ascii="Times New Roman;Times;serif" w:hAnsi="Times New Roman;Times;serif"/>
          <w:sz w:val="20"/>
        </w:rPr>
        <w:t xml:space="preserve"> means the forward-looking term rate based on SOFR that has been selected or recommended by the Relevant Governmental Body (which is currently published by CME Group Benchmark Administration Limited) two Banking Days prior to the first day of the Interest Period.</w:t>
      </w:r>
    </w:p>
    <w:p>
      <w:pPr>
        <w:pStyle w:val="TextBody"/>
        <w:bidi w:val="0"/>
        <w:spacing w:before="0" w:after="240"/>
        <w:ind w:left="720" w:right="0" w:hanging="0"/>
        <w:jc w:val="both"/>
        <w:rPr/>
      </w:pPr>
      <w:r>
        <w:rPr/>
        <w:t>“</w:t>
      </w:r>
      <w:r>
        <w:rPr>
          <w:rFonts w:ascii="Times New Roman;Times;serif" w:hAnsi="Times New Roman;Times;serif"/>
          <w:b/>
          <w:sz w:val="20"/>
        </w:rPr>
        <w:t>USD”</w:t>
      </w:r>
      <w:r>
        <w:rPr>
          <w:rFonts w:ascii="Times New Roman;Times;serif" w:hAnsi="Times New Roman;Times;serif"/>
          <w:sz w:val="20"/>
        </w:rPr>
        <w:t xml:space="preserve"> means the lawful currency of the United States of America.</w:t>
      </w:r>
    </w:p>
    <w:tbl>
      <w:tblPr>
        <w:tblW w:w="1495" w:type="dxa"/>
        <w:jc w:val="left"/>
        <w:tblInd w:w="0" w:type="dxa"/>
        <w:tblLayout w:type="fixed"/>
        <w:tblCellMar>
          <w:top w:w="0" w:type="dxa"/>
          <w:left w:w="0" w:type="dxa"/>
          <w:bottom w:w="0" w:type="dxa"/>
          <w:right w:w="0" w:type="dxa"/>
        </w:tblCellMar>
      </w:tblPr>
      <w:tblGrid>
        <w:gridCol w:w="275"/>
        <w:gridCol w:w="1220"/>
      </w:tblGrid>
      <w:tr>
        <w:trPr/>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1.2</w:t>
            </w:r>
          </w:p>
        </w:tc>
        <w:tc>
          <w:tcPr>
            <w:tcW w:w="122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Interpretation</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In this Agreement, to the extent applicable,</w:t>
      </w:r>
    </w:p>
    <w:tbl>
      <w:tblPr>
        <w:tblW w:w="7818" w:type="dxa"/>
        <w:jc w:val="left"/>
        <w:tblInd w:w="0" w:type="dxa"/>
        <w:tblLayout w:type="fixed"/>
        <w:tblCellMar>
          <w:top w:w="0" w:type="dxa"/>
          <w:left w:w="0" w:type="dxa"/>
          <w:bottom w:w="0" w:type="dxa"/>
          <w:right w:w="0" w:type="dxa"/>
        </w:tblCellMar>
      </w:tblPr>
      <w:tblGrid>
        <w:gridCol w:w="23"/>
        <w:gridCol w:w="230"/>
        <w:gridCol w:w="756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756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clause, schedule and paragraph headings shall not affect the interpretation of this Agreement;</w:t>
            </w:r>
          </w:p>
        </w:tc>
      </w:tr>
    </w:tbl>
    <w:tbl>
      <w:tblPr>
        <w:tblW w:w="10205" w:type="dxa"/>
        <w:jc w:val="left"/>
        <w:tblInd w:w="0" w:type="dxa"/>
        <w:tblLayout w:type="fixed"/>
        <w:tblCellMar>
          <w:top w:w="0" w:type="dxa"/>
          <w:left w:w="0" w:type="dxa"/>
          <w:bottom w:w="0" w:type="dxa"/>
          <w:right w:w="0" w:type="dxa"/>
        </w:tblCellMar>
      </w:tblPr>
      <w:tblGrid>
        <w:gridCol w:w="23"/>
        <w:gridCol w:w="202"/>
        <w:gridCol w:w="9980"/>
      </w:tblGrid>
      <w:tr>
        <w:trPr/>
        <w:tc>
          <w:tcPr>
            <w:tcW w:w="2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998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 xml:space="preserve">a reference to a </w:t>
            </w:r>
            <w:r>
              <w:rPr>
                <w:rFonts w:ascii="Times New Roman;Times;serif" w:hAnsi="Times New Roman;Times;serif"/>
                <w:b/>
                <w:sz w:val="20"/>
              </w:rPr>
              <w:t>person</w:t>
            </w:r>
            <w:r>
              <w:rPr>
                <w:rFonts w:ascii="Times New Roman;Times;serif" w:hAnsi="Times New Roman;Times;serif"/>
                <w:sz w:val="20"/>
              </w:rPr>
              <w:t xml:space="preserve"> shall include a reference to an individual, firm, company, corporation, partnership, unincorporated body of persons, government, state or agency of a state or any association, trust, joint venture or consortium (whether or not having separate legal personality) and that person’s personal representatives, successors, permitted assigns and permitted transferees;</w:t>
            </w:r>
          </w:p>
        </w:tc>
      </w:tr>
    </w:tbl>
    <w:tbl>
      <w:tblPr>
        <w:tblW w:w="10205" w:type="dxa"/>
        <w:jc w:val="left"/>
        <w:tblInd w:w="0" w:type="dxa"/>
        <w:tblLayout w:type="fixed"/>
        <w:tblCellMar>
          <w:top w:w="0" w:type="dxa"/>
          <w:left w:w="0" w:type="dxa"/>
          <w:bottom w:w="0" w:type="dxa"/>
          <w:right w:w="0" w:type="dxa"/>
        </w:tblCellMar>
      </w:tblPr>
      <w:tblGrid>
        <w:gridCol w:w="23"/>
        <w:gridCol w:w="228"/>
        <w:gridCol w:w="9954"/>
      </w:tblGrid>
      <w:tr>
        <w:trPr/>
        <w:tc>
          <w:tcPr>
            <w:tcW w:w="2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995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unless the context otherwise requires, words in the singular shall include the plural and in the plural shall include the singular;</w:t>
            </w:r>
          </w:p>
        </w:tc>
      </w:tr>
    </w:tbl>
    <w:tbl>
      <w:tblPr>
        <w:tblW w:w="8538" w:type="dxa"/>
        <w:jc w:val="left"/>
        <w:tblInd w:w="0" w:type="dxa"/>
        <w:tblLayout w:type="fixed"/>
        <w:tblCellMar>
          <w:top w:w="0" w:type="dxa"/>
          <w:left w:w="0" w:type="dxa"/>
          <w:bottom w:w="0" w:type="dxa"/>
          <w:right w:w="0" w:type="dxa"/>
        </w:tblCellMar>
      </w:tblPr>
      <w:tblGrid>
        <w:gridCol w:w="23"/>
        <w:gridCol w:w="245"/>
        <w:gridCol w:w="827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82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 reference to a Party shall include that Party’s successors, permitted assigns and permitted transferees;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9768" w:type="dxa"/>
        <w:jc w:val="left"/>
        <w:tblInd w:w="0" w:type="dxa"/>
        <w:tblLayout w:type="fixed"/>
        <w:tblCellMar>
          <w:top w:w="0" w:type="dxa"/>
          <w:left w:w="0" w:type="dxa"/>
          <w:bottom w:w="0" w:type="dxa"/>
          <w:right w:w="0" w:type="dxa"/>
        </w:tblCellMar>
      </w:tblPr>
      <w:tblGrid>
        <w:gridCol w:w="23"/>
        <w:gridCol w:w="230"/>
        <w:gridCol w:w="951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w:t>
            </w:r>
          </w:p>
        </w:tc>
        <w:tc>
          <w:tcPr>
            <w:tcW w:w="951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 reference to a statute or statutory provision is a reference to it as amended, extended or re-enacted from time to time;</w:t>
            </w:r>
          </w:p>
        </w:tc>
      </w:tr>
    </w:tbl>
    <w:tbl>
      <w:tblPr>
        <w:tblW w:w="10205" w:type="dxa"/>
        <w:jc w:val="left"/>
        <w:tblInd w:w="0" w:type="dxa"/>
        <w:tblLayout w:type="fixed"/>
        <w:tblCellMar>
          <w:top w:w="0" w:type="dxa"/>
          <w:left w:w="0" w:type="dxa"/>
          <w:bottom w:w="0" w:type="dxa"/>
          <w:right w:w="0" w:type="dxa"/>
        </w:tblCellMar>
      </w:tblPr>
      <w:tblGrid>
        <w:gridCol w:w="23"/>
        <w:gridCol w:w="188"/>
        <w:gridCol w:w="9994"/>
      </w:tblGrid>
      <w:tr>
        <w:trPr/>
        <w:tc>
          <w:tcPr>
            <w:tcW w:w="2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(f)</w:t>
            </w:r>
          </w:p>
        </w:tc>
        <w:tc>
          <w:tcPr>
            <w:tcW w:w="999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 reference to a statute or statutory provision shall include all subordinate legislation made from time to time under that statute or statutory provision;</w:t>
            </w:r>
          </w:p>
        </w:tc>
      </w:tr>
    </w:tbl>
    <w:tbl>
      <w:tblPr>
        <w:tblW w:w="4818" w:type="dxa"/>
        <w:jc w:val="left"/>
        <w:tblInd w:w="0" w:type="dxa"/>
        <w:tblLayout w:type="fixed"/>
        <w:tblCellMar>
          <w:top w:w="0" w:type="dxa"/>
          <w:left w:w="0" w:type="dxa"/>
          <w:bottom w:w="0" w:type="dxa"/>
          <w:right w:w="0" w:type="dxa"/>
        </w:tblCellMar>
      </w:tblPr>
      <w:tblGrid>
        <w:gridCol w:w="23"/>
        <w:gridCol w:w="245"/>
        <w:gridCol w:w="455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(g)</w:t>
            </w:r>
          </w:p>
        </w:tc>
        <w:tc>
          <w:tcPr>
            <w:tcW w:w="455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 xml:space="preserve">a reference to </w:t>
            </w:r>
            <w:r>
              <w:rPr>
                <w:rFonts w:ascii="Times New Roman;Times;serif" w:hAnsi="Times New Roman;Times;serif"/>
                <w:b/>
                <w:sz w:val="20"/>
              </w:rPr>
              <w:t xml:space="preserve">writing </w:t>
            </w:r>
            <w:r>
              <w:rPr>
                <w:rFonts w:ascii="Times New Roman;Times;serif" w:hAnsi="Times New Roman;Times;serif"/>
                <w:sz w:val="20"/>
              </w:rPr>
              <w:t xml:space="preserve">or </w:t>
            </w:r>
            <w:r>
              <w:rPr>
                <w:rFonts w:ascii="Times New Roman;Times;serif" w:hAnsi="Times New Roman;Times;serif"/>
                <w:b/>
                <w:sz w:val="20"/>
              </w:rPr>
              <w:t>written</w:t>
            </w:r>
            <w:r>
              <w:rPr>
                <w:rFonts w:ascii="Times New Roman;Times;serif" w:hAnsi="Times New Roman;Times;serif"/>
                <w:sz w:val="20"/>
              </w:rPr>
              <w:t xml:space="preserve"> includes fax and email;</w:t>
            </w:r>
          </w:p>
        </w:tc>
      </w:tr>
    </w:tbl>
    <w:tbl>
      <w:tblPr>
        <w:tblW w:w="10205" w:type="dxa"/>
        <w:jc w:val="left"/>
        <w:tblInd w:w="0" w:type="dxa"/>
        <w:tblLayout w:type="fixed"/>
        <w:tblCellMar>
          <w:top w:w="0" w:type="dxa"/>
          <w:left w:w="0" w:type="dxa"/>
          <w:bottom w:w="0" w:type="dxa"/>
          <w:right w:w="0" w:type="dxa"/>
        </w:tblCellMar>
      </w:tblPr>
      <w:tblGrid>
        <w:gridCol w:w="23"/>
        <w:gridCol w:w="207"/>
        <w:gridCol w:w="9975"/>
      </w:tblGrid>
      <w:tr>
        <w:trPr/>
        <w:tc>
          <w:tcPr>
            <w:tcW w:w="2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(h)</w:t>
            </w:r>
          </w:p>
        </w:tc>
        <w:tc>
          <w:tcPr>
            <w:tcW w:w="99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 xml:space="preserve">a reference to this </w:t>
            </w:r>
            <w:r>
              <w:rPr>
                <w:rFonts w:ascii="Times New Roman;Times;serif" w:hAnsi="Times New Roman;Times;serif"/>
                <w:b/>
                <w:sz w:val="20"/>
              </w:rPr>
              <w:t>Agreement</w:t>
            </w:r>
            <w:r>
              <w:rPr>
                <w:rFonts w:ascii="Times New Roman;Times;serif" w:hAnsi="Times New Roman;Times;serif"/>
                <w:sz w:val="20"/>
              </w:rPr>
              <w:t xml:space="preserve"> (or any provision of it) or to any other agreement or document referred to in this Agreement is a reference to this Agreement, that provision or such other agreement or document as amended (in each case, other than in breach of the provisions of this Agreement) from time to time;</w:t>
            </w:r>
          </w:p>
        </w:tc>
      </w:tr>
    </w:tbl>
    <w:tbl>
      <w:tblPr>
        <w:tblW w:w="10205" w:type="dxa"/>
        <w:jc w:val="left"/>
        <w:tblInd w:w="0" w:type="dxa"/>
        <w:tblLayout w:type="fixed"/>
        <w:tblCellMar>
          <w:top w:w="0" w:type="dxa"/>
          <w:left w:w="0" w:type="dxa"/>
          <w:bottom w:w="0" w:type="dxa"/>
          <w:right w:w="0" w:type="dxa"/>
        </w:tblCellMar>
      </w:tblPr>
      <w:tblGrid>
        <w:gridCol w:w="23"/>
        <w:gridCol w:w="177"/>
        <w:gridCol w:w="10005"/>
      </w:tblGrid>
      <w:tr>
        <w:trPr/>
        <w:tc>
          <w:tcPr>
            <w:tcW w:w="2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w:t>
            </w:r>
          </w:p>
        </w:tc>
        <w:tc>
          <w:tcPr>
            <w:tcW w:w="1000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unless the context otherwise requires, a reference to a clause or schedule is to a clause of, or schedule to, this Agreement and a reference to a paragraph is to a paragraph of the relevant schedule;</w:t>
            </w:r>
          </w:p>
        </w:tc>
      </w:tr>
    </w:tbl>
    <w:tbl>
      <w:tblPr>
        <w:tblW w:w="10205" w:type="dxa"/>
        <w:jc w:val="left"/>
        <w:tblInd w:w="0" w:type="dxa"/>
        <w:tblLayout w:type="fixed"/>
        <w:tblCellMar>
          <w:top w:w="0" w:type="dxa"/>
          <w:left w:w="0" w:type="dxa"/>
          <w:bottom w:w="0" w:type="dxa"/>
          <w:right w:w="0" w:type="dxa"/>
        </w:tblCellMar>
      </w:tblPr>
      <w:tblGrid>
        <w:gridCol w:w="23"/>
        <w:gridCol w:w="169"/>
        <w:gridCol w:w="10013"/>
      </w:tblGrid>
      <w:tr>
        <w:trPr/>
        <w:tc>
          <w:tcPr>
            <w:tcW w:w="2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(j)</w:t>
            </w:r>
          </w:p>
        </w:tc>
        <w:tc>
          <w:tcPr>
            <w:tcW w:w="1001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 xml:space="preserve">any words following the terms </w:t>
            </w:r>
            <w:r>
              <w:rPr>
                <w:rFonts w:ascii="Times New Roman;Times;serif" w:hAnsi="Times New Roman;Times;serif"/>
                <w:b/>
                <w:sz w:val="20"/>
              </w:rPr>
              <w:t>including</w:t>
            </w:r>
            <w:r>
              <w:rPr>
                <w:rFonts w:ascii="Times New Roman;Times;serif" w:hAnsi="Times New Roman;Times;serif"/>
                <w:sz w:val="20"/>
              </w:rPr>
              <w:t xml:space="preserve">, </w:t>
            </w:r>
            <w:r>
              <w:rPr>
                <w:rFonts w:ascii="Times New Roman;Times;serif" w:hAnsi="Times New Roman;Times;serif"/>
                <w:b/>
                <w:sz w:val="20"/>
              </w:rPr>
              <w:t>include</w:t>
            </w:r>
            <w:r>
              <w:rPr>
                <w:rFonts w:ascii="Times New Roman;Times;serif" w:hAnsi="Times New Roman;Times;serif"/>
                <w:sz w:val="20"/>
              </w:rPr>
              <w:t xml:space="preserve">, </w:t>
            </w:r>
            <w:r>
              <w:rPr>
                <w:rFonts w:ascii="Times New Roman;Times;serif" w:hAnsi="Times New Roman;Times;serif"/>
                <w:b/>
                <w:sz w:val="20"/>
              </w:rPr>
              <w:t>in particular</w:t>
            </w:r>
            <w:r>
              <w:rPr>
                <w:rFonts w:ascii="Times New Roman;Times;serif" w:hAnsi="Times New Roman;Times;serif"/>
                <w:sz w:val="20"/>
              </w:rPr>
              <w:t xml:space="preserve">, </w:t>
            </w:r>
            <w:r>
              <w:rPr>
                <w:rFonts w:ascii="Times New Roman;Times;serif" w:hAnsi="Times New Roman;Times;serif"/>
                <w:b/>
                <w:sz w:val="20"/>
              </w:rPr>
              <w:t xml:space="preserve">for example </w:t>
            </w:r>
            <w:r>
              <w:rPr>
                <w:rFonts w:ascii="Times New Roman;Times;serif" w:hAnsi="Times New Roman;Times;serif"/>
                <w:sz w:val="20"/>
              </w:rPr>
              <w:t>or any similar expression shall be construed as illustrative and shall not limit the sense of the words, description, definition, phrase or term preceding those terms;</w:t>
            </w:r>
          </w:p>
        </w:tc>
      </w:tr>
    </w:tbl>
    <w:tbl>
      <w:tblPr>
        <w:tblW w:w="10205" w:type="dxa"/>
        <w:jc w:val="left"/>
        <w:tblInd w:w="0" w:type="dxa"/>
        <w:tblLayout w:type="fixed"/>
        <w:tblCellMar>
          <w:top w:w="0" w:type="dxa"/>
          <w:left w:w="0" w:type="dxa"/>
          <w:bottom w:w="0" w:type="dxa"/>
          <w:right w:w="0" w:type="dxa"/>
        </w:tblCellMar>
      </w:tblPr>
      <w:tblGrid>
        <w:gridCol w:w="23"/>
        <w:gridCol w:w="238"/>
        <w:gridCol w:w="9944"/>
      </w:tblGrid>
      <w:tr>
        <w:trPr/>
        <w:tc>
          <w:tcPr>
            <w:tcW w:w="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(k)</w:t>
            </w:r>
          </w:p>
        </w:tc>
        <w:tc>
          <w:tcPr>
            <w:tcW w:w="994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 xml:space="preserve">a reference to an </w:t>
            </w:r>
            <w:r>
              <w:rPr>
                <w:rFonts w:ascii="Times New Roman;Times;serif" w:hAnsi="Times New Roman;Times;serif"/>
                <w:b/>
                <w:sz w:val="20"/>
              </w:rPr>
              <w:t>amendment</w:t>
            </w:r>
            <w:r>
              <w:rPr>
                <w:rFonts w:ascii="Times New Roman;Times;serif" w:hAnsi="Times New Roman;Times;serif"/>
                <w:sz w:val="20"/>
              </w:rPr>
              <w:t xml:space="preserve"> includes a novation, re-enactment, supplement or variation (and </w:t>
            </w:r>
            <w:r>
              <w:rPr>
                <w:rFonts w:ascii="Times New Roman;Times;serif" w:hAnsi="Times New Roman;Times;serif"/>
                <w:b/>
                <w:sz w:val="20"/>
              </w:rPr>
              <w:t>amended</w:t>
            </w:r>
            <w:r>
              <w:rPr>
                <w:rFonts w:ascii="Times New Roman;Times;serif" w:hAnsi="Times New Roman;Times;serif"/>
                <w:sz w:val="20"/>
              </w:rPr>
              <w:t xml:space="preserve"> shall be construed accordingly);</w:t>
            </w:r>
          </w:p>
        </w:tc>
      </w:tr>
    </w:tbl>
    <w:tbl>
      <w:tblPr>
        <w:tblW w:w="10205" w:type="dxa"/>
        <w:jc w:val="left"/>
        <w:tblInd w:w="0" w:type="dxa"/>
        <w:tblLayout w:type="fixed"/>
        <w:tblCellMar>
          <w:top w:w="0" w:type="dxa"/>
          <w:left w:w="0" w:type="dxa"/>
          <w:bottom w:w="0" w:type="dxa"/>
          <w:right w:w="0" w:type="dxa"/>
        </w:tblCellMar>
      </w:tblPr>
      <w:tblGrid>
        <w:gridCol w:w="23"/>
        <w:gridCol w:w="188"/>
        <w:gridCol w:w="9994"/>
      </w:tblGrid>
      <w:tr>
        <w:trPr/>
        <w:tc>
          <w:tcPr>
            <w:tcW w:w="2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(l)</w:t>
            </w:r>
          </w:p>
        </w:tc>
        <w:tc>
          <w:tcPr>
            <w:tcW w:w="999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 xml:space="preserve">a reference to an </w:t>
            </w:r>
            <w:r>
              <w:rPr>
                <w:rFonts w:ascii="Times New Roman;Times;serif" w:hAnsi="Times New Roman;Times;serif"/>
                <w:b/>
                <w:sz w:val="20"/>
              </w:rPr>
              <w:t>authorization</w:t>
            </w:r>
            <w:r>
              <w:rPr>
                <w:rFonts w:ascii="Times New Roman;Times;serif" w:hAnsi="Times New Roman;Times;serif"/>
                <w:sz w:val="20"/>
              </w:rPr>
              <w:t xml:space="preserve"> includes an approval, authorization, consent, exemption, filing, licence, notarisation, registration and resolution; and</w:t>
            </w:r>
          </w:p>
        </w:tc>
      </w:tr>
    </w:tbl>
    <w:tbl>
      <w:tblPr>
        <w:tblW w:w="10205" w:type="dxa"/>
        <w:jc w:val="left"/>
        <w:tblInd w:w="0" w:type="dxa"/>
        <w:tblLayout w:type="fixed"/>
        <w:tblCellMar>
          <w:top w:w="0" w:type="dxa"/>
          <w:left w:w="0" w:type="dxa"/>
          <w:bottom w:w="0" w:type="dxa"/>
          <w:right w:w="0" w:type="dxa"/>
        </w:tblCellMar>
      </w:tblPr>
      <w:tblGrid>
        <w:gridCol w:w="23"/>
        <w:gridCol w:w="254"/>
        <w:gridCol w:w="9928"/>
      </w:tblGrid>
      <w:tr>
        <w:trPr/>
        <w:tc>
          <w:tcPr>
            <w:tcW w:w="2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(m)</w:t>
            </w:r>
          </w:p>
        </w:tc>
        <w:tc>
          <w:tcPr>
            <w:tcW w:w="992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 xml:space="preserve">a reference to a </w:t>
            </w:r>
            <w:r>
              <w:rPr>
                <w:rFonts w:ascii="Times New Roman;Times;serif" w:hAnsi="Times New Roman;Times;serif"/>
                <w:b/>
                <w:sz w:val="20"/>
              </w:rPr>
              <w:t>regulation</w:t>
            </w:r>
            <w:r>
              <w:rPr>
                <w:rFonts w:ascii="Times New Roman;Times;serif" w:hAnsi="Times New Roman;Times;serif"/>
                <w:sz w:val="20"/>
              </w:rPr>
              <w:t xml:space="preserve"> includes any regulation, rule, official directive, request or guideline (whether or not having the force of law) of any governmental, inter-governmental or supranational body, agency, department or regulatory, self-regulatory or other authority or organization.</w:t>
            </w:r>
          </w:p>
        </w:tc>
      </w:tr>
    </w:tbl>
    <w:tbl>
      <w:tblPr>
        <w:tblW w:w="1600" w:type="dxa"/>
        <w:jc w:val="left"/>
        <w:tblInd w:w="0" w:type="dxa"/>
        <w:tblLayout w:type="fixed"/>
        <w:tblCellMar>
          <w:top w:w="0" w:type="dxa"/>
          <w:left w:w="0" w:type="dxa"/>
          <w:bottom w:w="0" w:type="dxa"/>
          <w:right w:w="0" w:type="dxa"/>
        </w:tblCellMar>
      </w:tblPr>
      <w:tblGrid>
        <w:gridCol w:w="170"/>
        <w:gridCol w:w="1430"/>
      </w:tblGrid>
      <w:tr>
        <w:trPr/>
        <w:tc>
          <w:tcPr>
            <w:tcW w:w="17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2.</w:t>
            </w:r>
          </w:p>
        </w:tc>
        <w:tc>
          <w:tcPr>
            <w:tcW w:w="143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THE FACILITY</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2.1</w:t>
            </w:r>
          </w:p>
        </w:tc>
        <w:tc>
          <w:tcPr>
            <w:tcW w:w="99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Subject to the terms of this Agreement, the Lender grants to the Borrower a revolving loan facility under which the Lender shall make available to the Borrower Loans during the Availability Period up to the Facility Amount.</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2.2</w:t>
            </w:r>
          </w:p>
        </w:tc>
        <w:tc>
          <w:tcPr>
            <w:tcW w:w="99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aggregate principal amount of the Loans made available by the Lender according to this Agreement during the Availability Period shall not exceed the Facility Amount.</w:t>
            </w:r>
          </w:p>
        </w:tc>
      </w:tr>
    </w:tbl>
    <w:tbl>
      <w:tblPr>
        <w:tblW w:w="1210" w:type="dxa"/>
        <w:jc w:val="left"/>
        <w:tblInd w:w="0" w:type="dxa"/>
        <w:tblLayout w:type="fixed"/>
        <w:tblCellMar>
          <w:top w:w="0" w:type="dxa"/>
          <w:left w:w="0" w:type="dxa"/>
          <w:bottom w:w="0" w:type="dxa"/>
          <w:right w:w="0" w:type="dxa"/>
        </w:tblCellMar>
      </w:tblPr>
      <w:tblGrid>
        <w:gridCol w:w="170"/>
        <w:gridCol w:w="1040"/>
      </w:tblGrid>
      <w:tr>
        <w:trPr/>
        <w:tc>
          <w:tcPr>
            <w:tcW w:w="17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3.</w:t>
            </w:r>
          </w:p>
        </w:tc>
        <w:tc>
          <w:tcPr>
            <w:tcW w:w="104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THE LOAN</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3.1</w:t>
            </w:r>
          </w:p>
        </w:tc>
        <w:tc>
          <w:tcPr>
            <w:tcW w:w="99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Subject to the terms of this Agreement, the Borrower may borrow a Loan during the Availability Period by delivering a completed Loan Drawdown Notice, form of which is set out in Schedule A, two (2) Business Days before the proposed date of drawdown. The form and substance of Loan Drawdown Notice shall be satisfactory to the Lender.</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3.2</w:t>
            </w:r>
          </w:p>
        </w:tc>
        <w:tc>
          <w:tcPr>
            <w:tcW w:w="99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principal amount of each Loan shall be in a minimum of USD2,000,000 and an integral multiple of USD2,000,000 (or if less, the balance of the undrawn Facility Amount)</w:t>
            </w:r>
          </w:p>
        </w:tc>
      </w:tr>
    </w:tbl>
    <w:tbl>
      <w:tblPr>
        <w:tblW w:w="9760" w:type="dxa"/>
        <w:jc w:val="left"/>
        <w:tblInd w:w="0" w:type="dxa"/>
        <w:tblLayout w:type="fixed"/>
        <w:tblCellMar>
          <w:top w:w="0" w:type="dxa"/>
          <w:left w:w="0" w:type="dxa"/>
          <w:bottom w:w="0" w:type="dxa"/>
          <w:right w:w="0" w:type="dxa"/>
        </w:tblCellMar>
      </w:tblPr>
      <w:tblGrid>
        <w:gridCol w:w="275"/>
        <w:gridCol w:w="9485"/>
      </w:tblGrid>
      <w:tr>
        <w:trPr/>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3.3</w:t>
            </w:r>
          </w:p>
        </w:tc>
        <w:tc>
          <w:tcPr>
            <w:tcW w:w="948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currency of each drawdown shall be USD or any other currency mutually agreed by the Lender and the Borrower.</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3.4</w:t>
            </w:r>
          </w:p>
        </w:tc>
        <w:tc>
          <w:tcPr>
            <w:tcW w:w="99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In case of any inconsistency between the contents of the Loan Drawdown Notice and the provisions hereof, this Agreement shall prevail.</w:t>
            </w:r>
          </w:p>
        </w:tc>
      </w:tr>
    </w:tbl>
    <w:tbl>
      <w:tblPr>
        <w:tblW w:w="1090" w:type="dxa"/>
        <w:jc w:val="left"/>
        <w:tblInd w:w="0" w:type="dxa"/>
        <w:tblLayout w:type="fixed"/>
        <w:tblCellMar>
          <w:top w:w="0" w:type="dxa"/>
          <w:left w:w="0" w:type="dxa"/>
          <w:bottom w:w="0" w:type="dxa"/>
          <w:right w:w="0" w:type="dxa"/>
        </w:tblCellMar>
      </w:tblPr>
      <w:tblGrid>
        <w:gridCol w:w="170"/>
        <w:gridCol w:w="920"/>
      </w:tblGrid>
      <w:tr>
        <w:trPr/>
        <w:tc>
          <w:tcPr>
            <w:tcW w:w="17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4.</w:t>
            </w:r>
          </w:p>
        </w:tc>
        <w:tc>
          <w:tcPr>
            <w:tcW w:w="92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PURPOSE</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Borrower shall use all money borrowed under this Agreement for the purposes below only and not for any other proposes:</w:t>
      </w:r>
    </w:p>
    <w:tbl>
      <w:tblPr>
        <w:tblW w:w="4533" w:type="dxa"/>
        <w:jc w:val="left"/>
        <w:tblInd w:w="0" w:type="dxa"/>
        <w:tblLayout w:type="fixed"/>
        <w:tblCellMar>
          <w:top w:w="0" w:type="dxa"/>
          <w:left w:w="0" w:type="dxa"/>
          <w:bottom w:w="0" w:type="dxa"/>
          <w:right w:w="0" w:type="dxa"/>
        </w:tblCellMar>
      </w:tblPr>
      <w:tblGrid>
        <w:gridCol w:w="23"/>
        <w:gridCol w:w="230"/>
        <w:gridCol w:w="428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428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research and development expenses of the Borrower;</w:t>
            </w:r>
          </w:p>
        </w:tc>
      </w:tr>
    </w:tbl>
    <w:tbl>
      <w:tblPr>
        <w:tblW w:w="4038" w:type="dxa"/>
        <w:jc w:val="left"/>
        <w:tblInd w:w="0" w:type="dxa"/>
        <w:tblLayout w:type="fixed"/>
        <w:tblCellMar>
          <w:top w:w="0" w:type="dxa"/>
          <w:left w:w="0" w:type="dxa"/>
          <w:bottom w:w="0" w:type="dxa"/>
          <w:right w:w="0" w:type="dxa"/>
        </w:tblCellMar>
      </w:tblPr>
      <w:tblGrid>
        <w:gridCol w:w="23"/>
        <w:gridCol w:w="245"/>
        <w:gridCol w:w="377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37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sales and marketing expenses of the Borrower;</w:t>
            </w:r>
          </w:p>
        </w:tc>
      </w:tr>
    </w:tbl>
    <w:tbl>
      <w:tblPr>
        <w:tblW w:w="3048" w:type="dxa"/>
        <w:jc w:val="left"/>
        <w:tblInd w:w="0" w:type="dxa"/>
        <w:tblLayout w:type="fixed"/>
        <w:tblCellMar>
          <w:top w:w="0" w:type="dxa"/>
          <w:left w:w="0" w:type="dxa"/>
          <w:bottom w:w="0" w:type="dxa"/>
          <w:right w:w="0" w:type="dxa"/>
        </w:tblCellMar>
      </w:tblPr>
      <w:tblGrid>
        <w:gridCol w:w="23"/>
        <w:gridCol w:w="230"/>
        <w:gridCol w:w="279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279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capital injection into subsidiaries;</w:t>
            </w:r>
          </w:p>
        </w:tc>
      </w:tr>
    </w:tbl>
    <w:tbl>
      <w:tblPr>
        <w:tblW w:w="3243" w:type="dxa"/>
        <w:jc w:val="left"/>
        <w:tblInd w:w="0" w:type="dxa"/>
        <w:tblLayout w:type="fixed"/>
        <w:tblCellMar>
          <w:top w:w="0" w:type="dxa"/>
          <w:left w:w="0" w:type="dxa"/>
          <w:bottom w:w="0" w:type="dxa"/>
          <w:right w:w="0" w:type="dxa"/>
        </w:tblCellMar>
      </w:tblPr>
      <w:tblGrid>
        <w:gridCol w:w="23"/>
        <w:gridCol w:w="245"/>
        <w:gridCol w:w="297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29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repayment of loans by the Borrower;</w:t>
            </w:r>
          </w:p>
        </w:tc>
      </w:tr>
    </w:tbl>
    <w:tbl>
      <w:tblPr>
        <w:tblW w:w="4263" w:type="dxa"/>
        <w:jc w:val="left"/>
        <w:tblInd w:w="0" w:type="dxa"/>
        <w:tblLayout w:type="fixed"/>
        <w:tblCellMar>
          <w:top w:w="0" w:type="dxa"/>
          <w:left w:w="0" w:type="dxa"/>
          <w:bottom w:w="0" w:type="dxa"/>
          <w:right w:w="0" w:type="dxa"/>
        </w:tblCellMar>
      </w:tblPr>
      <w:tblGrid>
        <w:gridCol w:w="23"/>
        <w:gridCol w:w="230"/>
        <w:gridCol w:w="401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w:t>
            </w:r>
          </w:p>
        </w:tc>
        <w:tc>
          <w:tcPr>
            <w:tcW w:w="401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making advances to subsidiaries or affiliates; and</w:t>
            </w:r>
          </w:p>
        </w:tc>
      </w:tr>
    </w:tbl>
    <w:tbl>
      <w:tblPr>
        <w:tblW w:w="1698" w:type="dxa"/>
        <w:jc w:val="left"/>
        <w:tblInd w:w="0" w:type="dxa"/>
        <w:tblLayout w:type="fixed"/>
        <w:tblCellMar>
          <w:top w:w="0" w:type="dxa"/>
          <w:left w:w="0" w:type="dxa"/>
          <w:bottom w:w="0" w:type="dxa"/>
          <w:right w:w="0" w:type="dxa"/>
        </w:tblCellMar>
      </w:tblPr>
      <w:tblGrid>
        <w:gridCol w:w="23"/>
        <w:gridCol w:w="200"/>
        <w:gridCol w:w="147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(f)</w:t>
            </w:r>
          </w:p>
        </w:tc>
        <w:tc>
          <w:tcPr>
            <w:tcW w:w="14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share repurchases.</w:t>
            </w:r>
          </w:p>
        </w:tc>
      </w:tr>
    </w:tbl>
    <w:tbl>
      <w:tblPr>
        <w:tblW w:w="1975" w:type="dxa"/>
        <w:jc w:val="left"/>
        <w:tblInd w:w="0" w:type="dxa"/>
        <w:tblLayout w:type="fixed"/>
        <w:tblCellMar>
          <w:top w:w="0" w:type="dxa"/>
          <w:left w:w="0" w:type="dxa"/>
          <w:bottom w:w="0" w:type="dxa"/>
          <w:right w:w="0" w:type="dxa"/>
        </w:tblCellMar>
      </w:tblPr>
      <w:tblGrid>
        <w:gridCol w:w="170"/>
        <w:gridCol w:w="1805"/>
      </w:tblGrid>
      <w:tr>
        <w:trPr/>
        <w:tc>
          <w:tcPr>
            <w:tcW w:w="17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5.</w:t>
            </w:r>
          </w:p>
        </w:tc>
        <w:tc>
          <w:tcPr>
            <w:tcW w:w="180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INTEREST PERIOD</w:t>
            </w:r>
          </w:p>
        </w:tc>
      </w:tr>
    </w:tbl>
    <w:tbl>
      <w:tblPr>
        <w:tblW w:w="3715" w:type="dxa"/>
        <w:jc w:val="left"/>
        <w:tblInd w:w="0" w:type="dxa"/>
        <w:tblLayout w:type="fixed"/>
        <w:tblCellMar>
          <w:top w:w="0" w:type="dxa"/>
          <w:left w:w="0" w:type="dxa"/>
          <w:bottom w:w="0" w:type="dxa"/>
          <w:right w:w="0" w:type="dxa"/>
        </w:tblCellMar>
      </w:tblPr>
      <w:tblGrid>
        <w:gridCol w:w="275"/>
        <w:gridCol w:w="3440"/>
      </w:tblGrid>
      <w:tr>
        <w:trPr/>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5.1</w:t>
            </w:r>
          </w:p>
        </w:tc>
        <w:tc>
          <w:tcPr>
            <w:tcW w:w="344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Each Loan has successive Interest Periods.</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5.2</w:t>
            </w:r>
          </w:p>
        </w:tc>
        <w:tc>
          <w:tcPr>
            <w:tcW w:w="99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Each Interest Period for a Loan will start on its Drawdown Date or on the expiry of its preceding Interest Period and will be of a duration equal to the Interest Period stated in the Loan Drawdown Notice of that Loan.</w:t>
            </w:r>
          </w:p>
        </w:tc>
      </w:tr>
    </w:tbl>
    <w:tbl>
      <w:tblPr>
        <w:tblW w:w="9025" w:type="dxa"/>
        <w:jc w:val="left"/>
        <w:tblInd w:w="0" w:type="dxa"/>
        <w:tblLayout w:type="fixed"/>
        <w:tblCellMar>
          <w:top w:w="0" w:type="dxa"/>
          <w:left w:w="0" w:type="dxa"/>
          <w:bottom w:w="0" w:type="dxa"/>
          <w:right w:w="0" w:type="dxa"/>
        </w:tblCellMar>
      </w:tblPr>
      <w:tblGrid>
        <w:gridCol w:w="275"/>
        <w:gridCol w:w="8750"/>
      </w:tblGrid>
      <w:tr>
        <w:trPr/>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5.3</w:t>
            </w:r>
          </w:p>
        </w:tc>
        <w:tc>
          <w:tcPr>
            <w:tcW w:w="875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Interest Period that the Borrower may select in the Loan Drawdown Notice will be 1 month or 3 months.</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5.4</w:t>
            </w:r>
          </w:p>
        </w:tc>
        <w:tc>
          <w:tcPr>
            <w:tcW w:w="99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If an Interest Period would otherwise overrun the Final Maturity Date, it shall be shortened so that it ends on the Final Maturity Date.</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5.5</w:t>
            </w:r>
          </w:p>
        </w:tc>
        <w:tc>
          <w:tcPr>
            <w:tcW w:w="99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Borrower may consolidate and/or split the Loans borrowed by it by written notice to the Lender provided that there will not be, as a result of such consolidation and/or splitting, more than four (4) Loans in aggregate borrowed by the Borrower under this Agreement with Interest Period that end on different days. Loans which have been consolidated shall be treated as one Loan.</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5.6</w:t>
            </w:r>
          </w:p>
        </w:tc>
        <w:tc>
          <w:tcPr>
            <w:tcW w:w="99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Lender and the Borrower may enter into such other arrangement as they may agree for the adjustment of Interest Periods and the consolidation and/or splitting of Loans borrowed by the Borrower.</w:t>
            </w:r>
          </w:p>
        </w:tc>
      </w:tr>
    </w:tbl>
    <w:tbl>
      <w:tblPr>
        <w:tblW w:w="1180" w:type="dxa"/>
        <w:jc w:val="left"/>
        <w:tblInd w:w="0" w:type="dxa"/>
        <w:tblLayout w:type="fixed"/>
        <w:tblCellMar>
          <w:top w:w="0" w:type="dxa"/>
          <w:left w:w="0" w:type="dxa"/>
          <w:bottom w:w="0" w:type="dxa"/>
          <w:right w:w="0" w:type="dxa"/>
        </w:tblCellMar>
      </w:tblPr>
      <w:tblGrid>
        <w:gridCol w:w="170"/>
        <w:gridCol w:w="1010"/>
      </w:tblGrid>
      <w:tr>
        <w:trPr/>
        <w:tc>
          <w:tcPr>
            <w:tcW w:w="17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6.</w:t>
            </w:r>
          </w:p>
        </w:tc>
        <w:tc>
          <w:tcPr>
            <w:tcW w:w="101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INTEREST</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6.1</w:t>
            </w:r>
          </w:p>
        </w:tc>
        <w:tc>
          <w:tcPr>
            <w:tcW w:w="99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interest rate on each Loan for each of its Interest Period is the percentage rate per annum which is the aggregate of the applicable Term SOFR and Margin.</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6.2</w:t>
            </w:r>
          </w:p>
        </w:tc>
        <w:tc>
          <w:tcPr>
            <w:tcW w:w="99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Accrued interest at the rates determined by the Lender in accordance with above on each Loan is payable by the Borrower on the last day of each Interest Period for that Loan.</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6.3</w:t>
            </w:r>
          </w:p>
        </w:tc>
        <w:tc>
          <w:tcPr>
            <w:tcW w:w="99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Interests for a Loan under this Agreement shall be calculated on the basis of the actual number of days used and a year with 360 days.</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6.4</w:t>
            </w:r>
          </w:p>
        </w:tc>
        <w:tc>
          <w:tcPr>
            <w:tcW w:w="99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If the Borrower fails to pay on the due date any amount payable by it under this Agreement, the rate of interest will be equal to the aggregate of:</w:t>
            </w:r>
          </w:p>
        </w:tc>
      </w:tr>
    </w:tbl>
    <w:tbl>
      <w:tblPr>
        <w:tblW w:w="1278" w:type="dxa"/>
        <w:jc w:val="left"/>
        <w:tblInd w:w="0" w:type="dxa"/>
        <w:tblLayout w:type="fixed"/>
        <w:tblCellMar>
          <w:top w:w="0" w:type="dxa"/>
          <w:left w:w="0" w:type="dxa"/>
          <w:bottom w:w="0" w:type="dxa"/>
          <w:right w:w="0" w:type="dxa"/>
        </w:tblCellMar>
      </w:tblPr>
      <w:tblGrid>
        <w:gridCol w:w="23"/>
        <w:gridCol w:w="230"/>
        <w:gridCol w:w="102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10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Term SOFR;</w:t>
            </w:r>
          </w:p>
        </w:tc>
      </w:tr>
    </w:tbl>
    <w:tbl>
      <w:tblPr>
        <w:tblW w:w="1593" w:type="dxa"/>
        <w:jc w:val="left"/>
        <w:tblInd w:w="0" w:type="dxa"/>
        <w:tblLayout w:type="fixed"/>
        <w:tblCellMar>
          <w:top w:w="0" w:type="dxa"/>
          <w:left w:w="0" w:type="dxa"/>
          <w:bottom w:w="0" w:type="dxa"/>
          <w:right w:w="0" w:type="dxa"/>
        </w:tblCellMar>
      </w:tblPr>
      <w:tblGrid>
        <w:gridCol w:w="23"/>
        <w:gridCol w:w="245"/>
        <w:gridCol w:w="132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13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Margin; and</w:t>
            </w:r>
          </w:p>
        </w:tc>
      </w:tr>
    </w:tbl>
    <w:tbl>
      <w:tblPr>
        <w:tblW w:w="2823" w:type="dxa"/>
        <w:jc w:val="left"/>
        <w:tblInd w:w="0" w:type="dxa"/>
        <w:tblLayout w:type="fixed"/>
        <w:tblCellMar>
          <w:top w:w="0" w:type="dxa"/>
          <w:left w:w="0" w:type="dxa"/>
          <w:bottom w:w="0" w:type="dxa"/>
          <w:right w:w="0" w:type="dxa"/>
        </w:tblCellMar>
      </w:tblPr>
      <w:tblGrid>
        <w:gridCol w:w="23"/>
        <w:gridCol w:w="230"/>
        <w:gridCol w:w="257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25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Default interest 2 % per annum.</w:t>
            </w:r>
          </w:p>
        </w:tc>
      </w:tr>
    </w:tbl>
    <w:tbl>
      <w:tblPr>
        <w:tblW w:w="1435" w:type="dxa"/>
        <w:jc w:val="left"/>
        <w:tblInd w:w="0" w:type="dxa"/>
        <w:tblLayout w:type="fixed"/>
        <w:tblCellMar>
          <w:top w:w="0" w:type="dxa"/>
          <w:left w:w="0" w:type="dxa"/>
          <w:bottom w:w="0" w:type="dxa"/>
          <w:right w:w="0" w:type="dxa"/>
        </w:tblCellMar>
      </w:tblPr>
      <w:tblGrid>
        <w:gridCol w:w="170"/>
        <w:gridCol w:w="1265"/>
      </w:tblGrid>
      <w:tr>
        <w:trPr/>
        <w:tc>
          <w:tcPr>
            <w:tcW w:w="17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7.</w:t>
            </w:r>
          </w:p>
        </w:tc>
        <w:tc>
          <w:tcPr>
            <w:tcW w:w="126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REPAYMENT</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7.1</w:t>
            </w:r>
          </w:p>
        </w:tc>
        <w:tc>
          <w:tcPr>
            <w:tcW w:w="99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Borrower may repay a Loan together with accrued interests any time before the Final Maturity Date, only if the Borrower provides a written notice to the Lender three (3) Business Days before the date of actual repayment and set out which specific Loan is to be repaid.</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7.2</w:t>
            </w:r>
          </w:p>
        </w:tc>
        <w:tc>
          <w:tcPr>
            <w:tcW w:w="99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Loans repaid during the Availability Period can be re-borrowed during the Availability Period, provided that the aggregate principal amount of the Loans does not exceed the Facility Amount. Notwithstanding any other terms and conditions, all the unpaid Loans and the accrued interests become mature on the Final Maturity Date.</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7.3</w:t>
            </w:r>
          </w:p>
        </w:tc>
        <w:tc>
          <w:tcPr>
            <w:tcW w:w="99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If any payment becomes due on a day that is not a Business Day, the due date of such payment will be extended to the next succeeding Business Day, or, if that Business Day falls in the following calendar month, such due date shall be the immediately preceding Business Day.</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7.4</w:t>
            </w:r>
          </w:p>
        </w:tc>
        <w:tc>
          <w:tcPr>
            <w:tcW w:w="99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All payments made by the Borrower under this Agreement shall be made in full, without set-off, counterclaim or condition, and free and clear of, and without any deduction or withholding.</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3910" w:type="dxa"/>
        <w:jc w:val="left"/>
        <w:tblInd w:w="0" w:type="dxa"/>
        <w:tblLayout w:type="fixed"/>
        <w:tblCellMar>
          <w:top w:w="0" w:type="dxa"/>
          <w:left w:w="0" w:type="dxa"/>
          <w:bottom w:w="0" w:type="dxa"/>
          <w:right w:w="0" w:type="dxa"/>
        </w:tblCellMar>
      </w:tblPr>
      <w:tblGrid>
        <w:gridCol w:w="170"/>
        <w:gridCol w:w="3740"/>
      </w:tblGrid>
      <w:tr>
        <w:trPr/>
        <w:tc>
          <w:tcPr>
            <w:tcW w:w="17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8.</w:t>
            </w:r>
          </w:p>
        </w:tc>
        <w:tc>
          <w:tcPr>
            <w:tcW w:w="374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REPRESENTATIONS AND WARRANTIES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Borrower represents and warrants to the Lender which are deemed to be repeated at all times as from the Effective Date of this Agreement until all its liabilities under this Agreement have been discharged:</w:t>
      </w:r>
    </w:p>
    <w:tbl>
      <w:tblPr>
        <w:tblW w:w="8590" w:type="dxa"/>
        <w:jc w:val="left"/>
        <w:tblInd w:w="0" w:type="dxa"/>
        <w:tblLayout w:type="fixed"/>
        <w:tblCellMar>
          <w:top w:w="0" w:type="dxa"/>
          <w:left w:w="0" w:type="dxa"/>
          <w:bottom w:w="0" w:type="dxa"/>
          <w:right w:w="0" w:type="dxa"/>
        </w:tblCellMar>
      </w:tblPr>
      <w:tblGrid>
        <w:gridCol w:w="275"/>
        <w:gridCol w:w="8315"/>
      </w:tblGrid>
      <w:tr>
        <w:trPr/>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8.1</w:t>
            </w:r>
          </w:p>
        </w:tc>
        <w:tc>
          <w:tcPr>
            <w:tcW w:w="831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Borrower has the power and capacity to execute and perform its obligations under this Agreement.</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8.2</w:t>
            </w:r>
          </w:p>
        </w:tc>
        <w:tc>
          <w:tcPr>
            <w:tcW w:w="99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execution and performance of this Agreement by Borrower do not violate any laws or regulations or government approvals, authorizations, notices or other governmental documents having binding effect on or affecting Borrower, nor do they violate any agreements between the Borrower and any third party or any covenant made to any third party.</w:t>
            </w:r>
          </w:p>
        </w:tc>
      </w:tr>
    </w:tbl>
    <w:tbl>
      <w:tblPr>
        <w:tblW w:w="8965" w:type="dxa"/>
        <w:jc w:val="left"/>
        <w:tblInd w:w="0" w:type="dxa"/>
        <w:tblLayout w:type="fixed"/>
        <w:tblCellMar>
          <w:top w:w="0" w:type="dxa"/>
          <w:left w:w="0" w:type="dxa"/>
          <w:bottom w:w="0" w:type="dxa"/>
          <w:right w:w="0" w:type="dxa"/>
        </w:tblCellMar>
      </w:tblPr>
      <w:tblGrid>
        <w:gridCol w:w="275"/>
        <w:gridCol w:w="8690"/>
      </w:tblGrid>
      <w:tr>
        <w:trPr/>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8.3</w:t>
            </w:r>
          </w:p>
        </w:tc>
        <w:tc>
          <w:tcPr>
            <w:tcW w:w="869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This Agreement shall constitute lawful, valid and enforceable obligations on the Borrower upon execution.</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8.4</w:t>
            </w:r>
          </w:p>
        </w:tc>
        <w:tc>
          <w:tcPr>
            <w:tcW w:w="99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There are no pending disputes, litigations, arbitrations, administrative proceedings or any other legal proceedings relating to or involving the Borrower that may have a Material Adverse Effect.</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8.5</w:t>
            </w:r>
          </w:p>
        </w:tc>
        <w:tc>
          <w:tcPr>
            <w:tcW w:w="99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Borrower shall ensure that at all times any unsecured claims of the Lender against it under this Agreement rank at least pari passu with the claims of all its other unsecured creditors except those creditors whose claims are mandatorily preferred by laws.</w:t>
            </w:r>
          </w:p>
        </w:tc>
      </w:tr>
    </w:tbl>
    <w:tbl>
      <w:tblPr>
        <w:tblW w:w="7195" w:type="dxa"/>
        <w:jc w:val="left"/>
        <w:tblInd w:w="0" w:type="dxa"/>
        <w:tblLayout w:type="fixed"/>
        <w:tblCellMar>
          <w:top w:w="0" w:type="dxa"/>
          <w:left w:w="0" w:type="dxa"/>
          <w:bottom w:w="0" w:type="dxa"/>
          <w:right w:w="0" w:type="dxa"/>
        </w:tblCellMar>
      </w:tblPr>
      <w:tblGrid>
        <w:gridCol w:w="275"/>
        <w:gridCol w:w="6920"/>
      </w:tblGrid>
      <w:tr>
        <w:trPr/>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8.6</w:t>
            </w:r>
          </w:p>
        </w:tc>
        <w:tc>
          <w:tcPr>
            <w:tcW w:w="692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No Event of Default is continuing or might be expected to result from any drawdown.</w:t>
            </w:r>
          </w:p>
        </w:tc>
      </w:tr>
    </w:tbl>
    <w:tbl>
      <w:tblPr>
        <w:tblW w:w="1390" w:type="dxa"/>
        <w:jc w:val="left"/>
        <w:tblInd w:w="0" w:type="dxa"/>
        <w:tblLayout w:type="fixed"/>
        <w:tblCellMar>
          <w:top w:w="0" w:type="dxa"/>
          <w:left w:w="0" w:type="dxa"/>
          <w:bottom w:w="0" w:type="dxa"/>
          <w:right w:w="0" w:type="dxa"/>
        </w:tblCellMar>
      </w:tblPr>
      <w:tblGrid>
        <w:gridCol w:w="170"/>
        <w:gridCol w:w="1220"/>
      </w:tblGrid>
      <w:tr>
        <w:trPr/>
        <w:tc>
          <w:tcPr>
            <w:tcW w:w="17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9.</w:t>
            </w:r>
          </w:p>
        </w:tc>
        <w:tc>
          <w:tcPr>
            <w:tcW w:w="122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COVENANTS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Borrower covenants with the Lender that, as from the Effective Date of this Agreement until all its liabilities under this Agreement have been discharged:</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9.1</w:t>
            </w:r>
          </w:p>
        </w:tc>
        <w:tc>
          <w:tcPr>
            <w:tcW w:w="99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Borrower will promptly, after becoming aware of them, notify the Lender of any material litigation, arbitration or administrative proceedings or claim against it.</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9.2</w:t>
            </w:r>
          </w:p>
        </w:tc>
        <w:tc>
          <w:tcPr>
            <w:tcW w:w="99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Borrower will comply, in all respect, with all applicable laws, if failure to do so has or is reasonably likely to have a Material Adverse Effect on its ability to perform its obligations under this Agreement.</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9.3</w:t>
            </w:r>
          </w:p>
        </w:tc>
        <w:tc>
          <w:tcPr>
            <w:tcW w:w="99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Borrower will refrain from taking any action that may have a Material Adverse Effect on its ability to perform its obligations under this Agreement.</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9.4</w:t>
            </w:r>
          </w:p>
        </w:tc>
        <w:tc>
          <w:tcPr>
            <w:tcW w:w="99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Borrower will not use the revolving loan for any purpose other than the purposes set out in Clause 4 under this Agreement, except with the prior written consent of the Lender.</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9.5</w:t>
            </w:r>
          </w:p>
        </w:tc>
        <w:tc>
          <w:tcPr>
            <w:tcW w:w="99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Borrower will be subject to the Lender’s inspection and supervision of the use of revolving loan under this Agreement. The Borrower shall provide financial accounting statements and other information in a timely manner at the request of the Lender.</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9.6</w:t>
            </w:r>
          </w:p>
        </w:tc>
        <w:tc>
          <w:tcPr>
            <w:tcW w:w="99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Borrower will procure no other event or circumstance occurs which is reasonably likely to have a Material Adverse Effect on its ability to perform its obligations under this Agreement.</w:t>
            </w:r>
          </w:p>
        </w:tc>
      </w:tr>
    </w:tbl>
    <w:tbl>
      <w:tblPr>
        <w:tblW w:w="2260" w:type="dxa"/>
        <w:jc w:val="left"/>
        <w:tblInd w:w="0" w:type="dxa"/>
        <w:tblLayout w:type="fixed"/>
        <w:tblCellMar>
          <w:top w:w="0" w:type="dxa"/>
          <w:left w:w="0" w:type="dxa"/>
          <w:bottom w:w="0" w:type="dxa"/>
          <w:right w:w="0" w:type="dxa"/>
        </w:tblCellMar>
      </w:tblPr>
      <w:tblGrid>
        <w:gridCol w:w="275"/>
        <w:gridCol w:w="1985"/>
      </w:tblGrid>
      <w:tr>
        <w:trPr/>
        <w:tc>
          <w:tcPr>
            <w:tcW w:w="27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10.</w:t>
            </w:r>
          </w:p>
        </w:tc>
        <w:tc>
          <w:tcPr>
            <w:tcW w:w="198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EVENT OF DEFAULT</w:t>
            </w:r>
          </w:p>
        </w:tc>
      </w:tr>
    </w:tbl>
    <w:tbl>
      <w:tblPr>
        <w:tblW w:w="1510" w:type="dxa"/>
        <w:jc w:val="left"/>
        <w:tblInd w:w="0" w:type="dxa"/>
        <w:tblLayout w:type="fixed"/>
        <w:tblCellMar>
          <w:top w:w="0" w:type="dxa"/>
          <w:left w:w="0" w:type="dxa"/>
          <w:bottom w:w="0" w:type="dxa"/>
          <w:right w:w="0" w:type="dxa"/>
        </w:tblCellMar>
      </w:tblPr>
      <w:tblGrid>
        <w:gridCol w:w="380"/>
        <w:gridCol w:w="1130"/>
      </w:tblGrid>
      <w:tr>
        <w:trPr/>
        <w:tc>
          <w:tcPr>
            <w:tcW w:w="38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10.1</w:t>
            </w:r>
          </w:p>
        </w:tc>
        <w:tc>
          <w:tcPr>
            <w:tcW w:w="11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Non-payment</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Borrower does not pay on the due date any amount payable pursuant to this Agreement in the currency in which it is expressed to be payable unless:</w:t>
      </w:r>
    </w:p>
    <w:tbl>
      <w:tblPr>
        <w:tblW w:w="5538" w:type="dxa"/>
        <w:jc w:val="left"/>
        <w:tblInd w:w="0" w:type="dxa"/>
        <w:tblLayout w:type="fixed"/>
        <w:tblCellMar>
          <w:top w:w="0" w:type="dxa"/>
          <w:left w:w="0" w:type="dxa"/>
          <w:bottom w:w="0" w:type="dxa"/>
          <w:right w:w="0" w:type="dxa"/>
        </w:tblCellMar>
      </w:tblPr>
      <w:tblGrid>
        <w:gridCol w:w="23"/>
        <w:gridCol w:w="230"/>
        <w:gridCol w:w="528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528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its failure to pay is caused by administrative or technical error; or</w:t>
            </w:r>
          </w:p>
        </w:tc>
      </w:tr>
    </w:tbl>
    <w:tbl>
      <w:tblPr>
        <w:tblW w:w="5298" w:type="dxa"/>
        <w:jc w:val="left"/>
        <w:tblInd w:w="0" w:type="dxa"/>
        <w:tblLayout w:type="fixed"/>
        <w:tblCellMar>
          <w:top w:w="0" w:type="dxa"/>
          <w:left w:w="0" w:type="dxa"/>
          <w:bottom w:w="0" w:type="dxa"/>
          <w:right w:w="0" w:type="dxa"/>
        </w:tblCellMar>
      </w:tblPr>
      <w:tblGrid>
        <w:gridCol w:w="23"/>
        <w:gridCol w:w="245"/>
        <w:gridCol w:w="503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50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payment is made within five (5) Business Days of its due date.</w:t>
            </w:r>
          </w:p>
        </w:tc>
      </w:tr>
    </w:tbl>
    <w:tbl>
      <w:tblPr>
        <w:tblW w:w="1870" w:type="dxa"/>
        <w:jc w:val="left"/>
        <w:tblInd w:w="0" w:type="dxa"/>
        <w:tblLayout w:type="fixed"/>
        <w:tblCellMar>
          <w:top w:w="0" w:type="dxa"/>
          <w:left w:w="0" w:type="dxa"/>
          <w:bottom w:w="0" w:type="dxa"/>
          <w:right w:w="0" w:type="dxa"/>
        </w:tblCellMar>
      </w:tblPr>
      <w:tblGrid>
        <w:gridCol w:w="380"/>
        <w:gridCol w:w="1490"/>
      </w:tblGrid>
      <w:tr>
        <w:trPr/>
        <w:tc>
          <w:tcPr>
            <w:tcW w:w="38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10.2</w:t>
            </w:r>
          </w:p>
        </w:tc>
        <w:tc>
          <w:tcPr>
            <w:tcW w:w="149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Misrepresentation</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Any representation or statement made or deemed to be made by the Borrower in this Agreement or any other document delivered by or on behalf of the Borrower under or in connection with this Agreement is or proves to have been incorrect or misleading in any material respect when made or deemed to be made.</w:t>
      </w:r>
    </w:p>
    <w:tbl>
      <w:tblPr>
        <w:tblW w:w="1300" w:type="dxa"/>
        <w:jc w:val="left"/>
        <w:tblInd w:w="0" w:type="dxa"/>
        <w:tblLayout w:type="fixed"/>
        <w:tblCellMar>
          <w:top w:w="0" w:type="dxa"/>
          <w:left w:w="0" w:type="dxa"/>
          <w:bottom w:w="0" w:type="dxa"/>
          <w:right w:w="0" w:type="dxa"/>
        </w:tblCellMar>
      </w:tblPr>
      <w:tblGrid>
        <w:gridCol w:w="380"/>
        <w:gridCol w:w="920"/>
      </w:tblGrid>
      <w:tr>
        <w:trPr/>
        <w:tc>
          <w:tcPr>
            <w:tcW w:w="38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10.3</w:t>
            </w:r>
          </w:p>
        </w:tc>
        <w:tc>
          <w:tcPr>
            <w:tcW w:w="92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Insolvency</w:t>
            </w:r>
          </w:p>
        </w:tc>
      </w:tr>
    </w:tbl>
    <w:tbl>
      <w:tblPr>
        <w:tblW w:w="10205" w:type="dxa"/>
        <w:jc w:val="left"/>
        <w:tblInd w:w="0" w:type="dxa"/>
        <w:tblLayout w:type="fixed"/>
        <w:tblCellMar>
          <w:top w:w="0" w:type="dxa"/>
          <w:left w:w="0" w:type="dxa"/>
          <w:bottom w:w="0" w:type="dxa"/>
          <w:right w:w="0" w:type="dxa"/>
        </w:tblCellMar>
      </w:tblPr>
      <w:tblGrid>
        <w:gridCol w:w="23"/>
        <w:gridCol w:w="191"/>
        <w:gridCol w:w="9991"/>
      </w:tblGrid>
      <w:tr>
        <w:trPr/>
        <w:tc>
          <w:tcPr>
            <w:tcW w:w="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999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Borrower is or is presumed or deemed to be unable or admits inability to pay its debts as they fall due, suspends making payments on any of its debts or, by reason of actual or anticipated financial difficulties, commences negotiations with one or more of its creditors with a view to rescheduling any of its indebtedness.</w:t>
            </w:r>
          </w:p>
        </w:tc>
      </w:tr>
    </w:tbl>
    <w:tbl>
      <w:tblPr>
        <w:tblW w:w="6168" w:type="dxa"/>
        <w:jc w:val="left"/>
        <w:tblInd w:w="0" w:type="dxa"/>
        <w:tblLayout w:type="fixed"/>
        <w:tblCellMar>
          <w:top w:w="0" w:type="dxa"/>
          <w:left w:w="0" w:type="dxa"/>
          <w:bottom w:w="0" w:type="dxa"/>
          <w:right w:w="0" w:type="dxa"/>
        </w:tblCellMar>
      </w:tblPr>
      <w:tblGrid>
        <w:gridCol w:w="23"/>
        <w:gridCol w:w="245"/>
        <w:gridCol w:w="590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590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 moratorium is declared in respect of any indebtedness of the Borrower.</w:t>
            </w:r>
          </w:p>
        </w:tc>
      </w:tr>
    </w:tbl>
    <w:tbl>
      <w:tblPr>
        <w:tblW w:w="1150" w:type="dxa"/>
        <w:jc w:val="left"/>
        <w:tblInd w:w="0" w:type="dxa"/>
        <w:tblLayout w:type="fixed"/>
        <w:tblCellMar>
          <w:top w:w="0" w:type="dxa"/>
          <w:left w:w="0" w:type="dxa"/>
          <w:bottom w:w="0" w:type="dxa"/>
          <w:right w:w="0" w:type="dxa"/>
        </w:tblCellMar>
      </w:tblPr>
      <w:tblGrid>
        <w:gridCol w:w="380"/>
        <w:gridCol w:w="770"/>
      </w:tblGrid>
      <w:tr>
        <w:trPr/>
        <w:tc>
          <w:tcPr>
            <w:tcW w:w="38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10.4</w:t>
            </w:r>
          </w:p>
        </w:tc>
        <w:tc>
          <w:tcPr>
            <w:tcW w:w="7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Illegality</w:t>
            </w:r>
          </w:p>
        </w:tc>
      </w:tr>
    </w:tbl>
    <w:tbl>
      <w:tblPr>
        <w:tblW w:w="8148" w:type="dxa"/>
        <w:jc w:val="left"/>
        <w:tblInd w:w="0" w:type="dxa"/>
        <w:tblLayout w:type="fixed"/>
        <w:tblCellMar>
          <w:top w:w="0" w:type="dxa"/>
          <w:left w:w="0" w:type="dxa"/>
          <w:bottom w:w="0" w:type="dxa"/>
          <w:right w:w="0" w:type="dxa"/>
        </w:tblCellMar>
      </w:tblPr>
      <w:tblGrid>
        <w:gridCol w:w="23"/>
        <w:gridCol w:w="230"/>
        <w:gridCol w:w="789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789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It is or becomes unlawful for the Borrower to perform any of its obligations under this Agreement.</w:t>
            </w:r>
          </w:p>
        </w:tc>
      </w:tr>
    </w:tbl>
    <w:tbl>
      <w:tblPr>
        <w:tblW w:w="9723" w:type="dxa"/>
        <w:jc w:val="left"/>
        <w:tblInd w:w="0" w:type="dxa"/>
        <w:tblLayout w:type="fixed"/>
        <w:tblCellMar>
          <w:top w:w="0" w:type="dxa"/>
          <w:left w:w="0" w:type="dxa"/>
          <w:bottom w:w="0" w:type="dxa"/>
          <w:right w:w="0" w:type="dxa"/>
        </w:tblCellMar>
      </w:tblPr>
      <w:tblGrid>
        <w:gridCol w:w="23"/>
        <w:gridCol w:w="245"/>
        <w:gridCol w:w="945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94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Any obligations of the Borrower under any this Agreement are not or cease to be legal, valid, binding or enforceable.</w:t>
            </w:r>
          </w:p>
        </w:tc>
      </w:tr>
    </w:tbl>
    <w:tbl>
      <w:tblPr>
        <w:tblW w:w="4480" w:type="dxa"/>
        <w:jc w:val="left"/>
        <w:tblInd w:w="0" w:type="dxa"/>
        <w:tblLayout w:type="fixed"/>
        <w:tblCellMar>
          <w:top w:w="0" w:type="dxa"/>
          <w:left w:w="0" w:type="dxa"/>
          <w:bottom w:w="0" w:type="dxa"/>
          <w:right w:w="0" w:type="dxa"/>
        </w:tblCellMar>
      </w:tblPr>
      <w:tblGrid>
        <w:gridCol w:w="275"/>
        <w:gridCol w:w="4205"/>
      </w:tblGrid>
      <w:tr>
        <w:trPr/>
        <w:tc>
          <w:tcPr>
            <w:tcW w:w="27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11.</w:t>
            </w:r>
          </w:p>
        </w:tc>
        <w:tc>
          <w:tcPr>
            <w:tcW w:w="420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LENDER’S RIGHT TO DEMAND REPAYMENT</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If the Borrower breaches any provisions or causes any Event of Default of this Agreement or is reasonably believed by the Lender suffering a Material Adverse Effect, the Lender reserves the right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2"/>
        <w:gridCol w:w="9990"/>
      </w:tblGrid>
      <w:tr>
        <w:trPr/>
        <w:tc>
          <w:tcPr>
            <w:tcW w:w="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999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to unilaterally rescind this Agreement and demand repayment of the principal and accrued interests of the revolving loan in full. The Borrower shall, within three (3) Business Days of receiving such written notice, repay such principal and accrued interests of the loan in full as required by the Lender; and</w:t>
            </w:r>
          </w:p>
        </w:tc>
      </w:tr>
    </w:tbl>
    <w:tbl>
      <w:tblPr>
        <w:tblW w:w="3363" w:type="dxa"/>
        <w:jc w:val="left"/>
        <w:tblInd w:w="0" w:type="dxa"/>
        <w:tblLayout w:type="fixed"/>
        <w:tblCellMar>
          <w:top w:w="0" w:type="dxa"/>
          <w:left w:w="0" w:type="dxa"/>
          <w:bottom w:w="0" w:type="dxa"/>
          <w:right w:w="0" w:type="dxa"/>
        </w:tblCellMar>
      </w:tblPr>
      <w:tblGrid>
        <w:gridCol w:w="23"/>
        <w:gridCol w:w="245"/>
        <w:gridCol w:w="309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309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to reduce the Facility Amount to zero,</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and the Borrower shall compensate the Lender for any reasonable actual direct economic losses caused by the Borrower’s breaches under this Agreement.</w:t>
      </w:r>
    </w:p>
    <w:tbl>
      <w:tblPr>
        <w:tblW w:w="3310" w:type="dxa"/>
        <w:jc w:val="left"/>
        <w:tblInd w:w="0" w:type="dxa"/>
        <w:tblLayout w:type="fixed"/>
        <w:tblCellMar>
          <w:top w:w="0" w:type="dxa"/>
          <w:left w:w="0" w:type="dxa"/>
          <w:bottom w:w="0" w:type="dxa"/>
          <w:right w:w="0" w:type="dxa"/>
        </w:tblCellMar>
      </w:tblPr>
      <w:tblGrid>
        <w:gridCol w:w="275"/>
        <w:gridCol w:w="3035"/>
      </w:tblGrid>
      <w:tr>
        <w:trPr/>
        <w:tc>
          <w:tcPr>
            <w:tcW w:w="27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12.</w:t>
            </w:r>
          </w:p>
        </w:tc>
        <w:tc>
          <w:tcPr>
            <w:tcW w:w="303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ACCOUNTS AND CERTIFICATES</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12.1</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 xml:space="preserve">The Lender shall maintain accounts evidencing the amounts owed to it by the Borrower, in accordance with its usual practice. Entries in those accounts shall be </w:t>
            </w:r>
            <w:r>
              <w:rPr>
                <w:rFonts w:ascii="Times New Roman;Times;serif" w:hAnsi="Times New Roman;Times;serif"/>
                <w:i/>
                <w:sz w:val="20"/>
              </w:rPr>
              <w:t>prima facie</w:t>
            </w:r>
            <w:r>
              <w:rPr>
                <w:rFonts w:ascii="Times New Roman;Times;serif" w:hAnsi="Times New Roman;Times;serif"/>
                <w:sz w:val="20"/>
              </w:rPr>
              <w:t xml:space="preserve"> evidence of the existence and amount of the Borrower’s obligations as recorded in them.</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12.2</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If the Lender issues any certificate, determination or notification of a rate or any amount payable under this Agreement, it shall be (in the absence of manifest error) conclusive evidence of the matter to which it relates.</w:t>
            </w:r>
          </w:p>
        </w:tc>
      </w:tr>
    </w:tbl>
    <w:tbl>
      <w:tblPr>
        <w:tblW w:w="5770" w:type="dxa"/>
        <w:jc w:val="left"/>
        <w:tblInd w:w="0" w:type="dxa"/>
        <w:tblLayout w:type="fixed"/>
        <w:tblCellMar>
          <w:top w:w="0" w:type="dxa"/>
          <w:left w:w="0" w:type="dxa"/>
          <w:bottom w:w="0" w:type="dxa"/>
          <w:right w:w="0" w:type="dxa"/>
        </w:tblCellMar>
      </w:tblPr>
      <w:tblGrid>
        <w:gridCol w:w="275"/>
        <w:gridCol w:w="5495"/>
      </w:tblGrid>
      <w:tr>
        <w:trPr/>
        <w:tc>
          <w:tcPr>
            <w:tcW w:w="27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13.</w:t>
            </w:r>
          </w:p>
        </w:tc>
        <w:tc>
          <w:tcPr>
            <w:tcW w:w="549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AMENDMENTS, WAIVERS AND CONSENTS AND REMEDIES</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13.1</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No amendment of this Agreement shall be effective unless it is in writing and signed by, or on behalf of, each Party to it (or its authorized representative).</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13.2</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 waiver of any right or remedy under this Agreement or by law, or any consent given under this Agreement, is only effective if given in writing by the waiving or consenting Party and shall not be deemed a waiver of any other breach or default. It only applies in the circumstances for which it is given and shall not prevent the Party giving it from subsequently relying on the relevant provision.</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13.3</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 failure or delay by a Party to exercise any right or remedy provided under this Agreement or by law shall not constitute a waiver of that or any other right or remedy, prevent or restrict any further exercise of that or any other right or remedy or constitute an election to affirm this Agreement. No single or partial exercise of any right or remedy provided under this Agreement or by law shall prevent or restrict the further exercise of that or any other right or remedy. No election to affirm this Agreement by the Lender shall be effective unless it is in writing.</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13.4</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rights and remedies provided under this Agreement are cumulative and are in addition to, and not exclusive of, any rights and remedies provided by law.</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480" w:type="dxa"/>
        <w:jc w:val="left"/>
        <w:tblInd w:w="0" w:type="dxa"/>
        <w:tblLayout w:type="fixed"/>
        <w:tblCellMar>
          <w:top w:w="0" w:type="dxa"/>
          <w:left w:w="0" w:type="dxa"/>
          <w:bottom w:w="0" w:type="dxa"/>
          <w:right w:w="0" w:type="dxa"/>
        </w:tblCellMar>
      </w:tblPr>
      <w:tblGrid>
        <w:gridCol w:w="275"/>
        <w:gridCol w:w="1205"/>
      </w:tblGrid>
      <w:tr>
        <w:trPr/>
        <w:tc>
          <w:tcPr>
            <w:tcW w:w="27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14.</w:t>
            </w:r>
          </w:p>
        </w:tc>
        <w:tc>
          <w:tcPr>
            <w:tcW w:w="120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SEVERANCE</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If any provision (or part of a provision) of this Agreement is or becomes invalid, illegal or unenforceable, it shall be deemed modified to the minimum extent necessary to make it valid, legal and enforceable. If such modification is not possible, the relevant provision (or part of a provision) shall be deemed deleted. Any modification to or deletion of a provision (or part of a provision) under this clause shall not affect the legality, validity and enforceability of the rest of this Agreement.</w:t>
      </w:r>
    </w:p>
    <w:tbl>
      <w:tblPr>
        <w:tblW w:w="3115" w:type="dxa"/>
        <w:jc w:val="left"/>
        <w:tblInd w:w="0" w:type="dxa"/>
        <w:tblLayout w:type="fixed"/>
        <w:tblCellMar>
          <w:top w:w="0" w:type="dxa"/>
          <w:left w:w="0" w:type="dxa"/>
          <w:bottom w:w="0" w:type="dxa"/>
          <w:right w:w="0" w:type="dxa"/>
        </w:tblCellMar>
      </w:tblPr>
      <w:tblGrid>
        <w:gridCol w:w="275"/>
        <w:gridCol w:w="2840"/>
      </w:tblGrid>
      <w:tr>
        <w:trPr/>
        <w:tc>
          <w:tcPr>
            <w:tcW w:w="27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15.</w:t>
            </w:r>
          </w:p>
        </w:tc>
        <w:tc>
          <w:tcPr>
            <w:tcW w:w="284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ASSIGNMENT AND TRANSFER</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Borrower may not assign any of its rights or transfer any of its rights or obligations under this Agreement without the Lender’s prior express written consent.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Lender may assign any of its rights or transfer by novating any of its rights and obligations under this Agreement to an affiliate of the Lender according to the procedure at its own discretion at any time without prior written consent of the Borrower.</w:t>
      </w:r>
    </w:p>
    <w:tbl>
      <w:tblPr>
        <w:tblW w:w="1885" w:type="dxa"/>
        <w:jc w:val="left"/>
        <w:tblInd w:w="0" w:type="dxa"/>
        <w:tblLayout w:type="fixed"/>
        <w:tblCellMar>
          <w:top w:w="0" w:type="dxa"/>
          <w:left w:w="0" w:type="dxa"/>
          <w:bottom w:w="0" w:type="dxa"/>
          <w:right w:w="0" w:type="dxa"/>
        </w:tblCellMar>
      </w:tblPr>
      <w:tblGrid>
        <w:gridCol w:w="275"/>
        <w:gridCol w:w="1610"/>
      </w:tblGrid>
      <w:tr>
        <w:trPr/>
        <w:tc>
          <w:tcPr>
            <w:tcW w:w="27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16.</w:t>
            </w:r>
          </w:p>
        </w:tc>
        <w:tc>
          <w:tcPr>
            <w:tcW w:w="161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COUNTERPARTS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This Agreement may be executed in counterparts, and by the Parties on separate counterparts, but shall not be effective until each Party has executed at least one counterpart.  Each counterpart shall constitute an original of this Agreement, but the counterparts shall together constitute one and the same instrument.  The exchange of a fully executed version of this Agreement (in counterparts or otherwise) by electronic transmission in PDF format or by facsimile shall be sufficient to bind the Parties to the terms and conditions of this Agreement and no exchange of originals is necessary.</w:t>
      </w:r>
    </w:p>
    <w:tbl>
      <w:tblPr>
        <w:tblW w:w="2425" w:type="dxa"/>
        <w:jc w:val="left"/>
        <w:tblInd w:w="0" w:type="dxa"/>
        <w:tblLayout w:type="fixed"/>
        <w:tblCellMar>
          <w:top w:w="0" w:type="dxa"/>
          <w:left w:w="0" w:type="dxa"/>
          <w:bottom w:w="0" w:type="dxa"/>
          <w:right w:w="0" w:type="dxa"/>
        </w:tblCellMar>
      </w:tblPr>
      <w:tblGrid>
        <w:gridCol w:w="275"/>
        <w:gridCol w:w="2150"/>
      </w:tblGrid>
      <w:tr>
        <w:trPr/>
        <w:tc>
          <w:tcPr>
            <w:tcW w:w="27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17.</w:t>
            </w:r>
          </w:p>
        </w:tc>
        <w:tc>
          <w:tcPr>
            <w:tcW w:w="215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THIRD PARTY RIGHTS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 person who is not a Party to this Agreement has no right under the Contracts (Rights of Third Parties) Ordinance to enforce or enjoy the benefit of any term of this Agreement. This does not affect any right or remedy of a third party which exists, or is available, apart from that Ordinance.</w:t>
      </w:r>
    </w:p>
    <w:tbl>
      <w:tblPr>
        <w:tblW w:w="1165" w:type="dxa"/>
        <w:jc w:val="left"/>
        <w:tblInd w:w="0" w:type="dxa"/>
        <w:tblLayout w:type="fixed"/>
        <w:tblCellMar>
          <w:top w:w="0" w:type="dxa"/>
          <w:left w:w="0" w:type="dxa"/>
          <w:bottom w:w="0" w:type="dxa"/>
          <w:right w:w="0" w:type="dxa"/>
        </w:tblCellMar>
      </w:tblPr>
      <w:tblGrid>
        <w:gridCol w:w="275"/>
        <w:gridCol w:w="890"/>
      </w:tblGrid>
      <w:tr>
        <w:trPr/>
        <w:tc>
          <w:tcPr>
            <w:tcW w:w="27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18.</w:t>
            </w:r>
          </w:p>
        </w:tc>
        <w:tc>
          <w:tcPr>
            <w:tcW w:w="89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NOTICES</w:t>
            </w:r>
          </w:p>
        </w:tc>
      </w:tr>
    </w:tbl>
    <w:tbl>
      <w:tblPr>
        <w:tblW w:w="8965" w:type="dxa"/>
        <w:jc w:val="left"/>
        <w:tblInd w:w="0" w:type="dxa"/>
        <w:tblLayout w:type="fixed"/>
        <w:tblCellMar>
          <w:top w:w="0" w:type="dxa"/>
          <w:left w:w="0" w:type="dxa"/>
          <w:bottom w:w="0" w:type="dxa"/>
          <w:right w:w="0" w:type="dxa"/>
        </w:tblCellMar>
      </w:tblPr>
      <w:tblGrid>
        <w:gridCol w:w="380"/>
        <w:gridCol w:w="8585"/>
      </w:tblGrid>
      <w:tr>
        <w:trPr/>
        <w:tc>
          <w:tcPr>
            <w:tcW w:w="38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18.1</w:t>
            </w:r>
          </w:p>
        </w:tc>
        <w:tc>
          <w:tcPr>
            <w:tcW w:w="858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Any notice or other communication given to a Party under or in connection with, this Agreement shall be:</w:t>
            </w:r>
          </w:p>
        </w:tc>
      </w:tr>
    </w:tbl>
    <w:tbl>
      <w:tblPr>
        <w:tblW w:w="1128" w:type="dxa"/>
        <w:jc w:val="left"/>
        <w:tblInd w:w="0" w:type="dxa"/>
        <w:tblLayout w:type="fixed"/>
        <w:tblCellMar>
          <w:top w:w="0" w:type="dxa"/>
          <w:left w:w="0" w:type="dxa"/>
          <w:bottom w:w="0" w:type="dxa"/>
          <w:right w:w="0" w:type="dxa"/>
        </w:tblCellMar>
      </w:tblPr>
      <w:tblGrid>
        <w:gridCol w:w="23"/>
        <w:gridCol w:w="230"/>
        <w:gridCol w:w="87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8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in writing;</w:t>
            </w:r>
          </w:p>
        </w:tc>
      </w:tr>
    </w:tbl>
    <w:tbl>
      <w:tblPr>
        <w:tblW w:w="9798" w:type="dxa"/>
        <w:jc w:val="left"/>
        <w:tblInd w:w="0" w:type="dxa"/>
        <w:tblLayout w:type="fixed"/>
        <w:tblCellMar>
          <w:top w:w="0" w:type="dxa"/>
          <w:left w:w="0" w:type="dxa"/>
          <w:bottom w:w="0" w:type="dxa"/>
          <w:right w:w="0" w:type="dxa"/>
        </w:tblCellMar>
      </w:tblPr>
      <w:tblGrid>
        <w:gridCol w:w="23"/>
        <w:gridCol w:w="245"/>
        <w:gridCol w:w="953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95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delivered by hand, by email, by pre-paid first-class post or other next working day delivery service or sent by fax; and</w:t>
            </w:r>
          </w:p>
        </w:tc>
      </w:tr>
    </w:tbl>
    <w:tbl>
      <w:tblPr>
        <w:tblW w:w="873" w:type="dxa"/>
        <w:jc w:val="left"/>
        <w:tblInd w:w="0" w:type="dxa"/>
        <w:tblLayout w:type="fixed"/>
        <w:tblCellMar>
          <w:top w:w="0" w:type="dxa"/>
          <w:left w:w="0" w:type="dxa"/>
          <w:bottom w:w="0" w:type="dxa"/>
          <w:right w:w="0" w:type="dxa"/>
        </w:tblCellMar>
      </w:tblPr>
      <w:tblGrid>
        <w:gridCol w:w="23"/>
        <w:gridCol w:w="230"/>
        <w:gridCol w:w="62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62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sent to:</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548" w:type="dxa"/>
        <w:jc w:val="left"/>
        <w:tblInd w:w="0" w:type="dxa"/>
        <w:tblLayout w:type="fixed"/>
        <w:tblCellMar>
          <w:top w:w="0" w:type="dxa"/>
          <w:left w:w="0" w:type="dxa"/>
          <w:bottom w:w="0" w:type="dxa"/>
          <w:right w:w="0" w:type="dxa"/>
        </w:tblCellMar>
      </w:tblPr>
      <w:tblGrid>
        <w:gridCol w:w="23"/>
        <w:gridCol w:w="200"/>
        <w:gridCol w:w="132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w:t>
            </w:r>
          </w:p>
        </w:tc>
        <w:tc>
          <w:tcPr>
            <w:tcW w:w="13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Borrower at:</w:t>
            </w:r>
          </w:p>
        </w:tc>
      </w:tr>
    </w:tbl>
    <w:p>
      <w:pPr>
        <w:pStyle w:val="TextBody"/>
        <w:bidi w:val="0"/>
        <w:spacing w:before="0" w:after="240"/>
        <w:ind w:left="2275" w:right="0" w:hanging="0"/>
        <w:jc w:val="both"/>
        <w:rPr>
          <w:rFonts w:ascii="Times New Roman;Times;serif" w:hAnsi="Times New Roman;Times;serif"/>
          <w:sz w:val="20"/>
        </w:rPr>
      </w:pPr>
      <w:r>
        <w:rPr>
          <w:rFonts w:ascii="Times New Roman;Times;serif" w:hAnsi="Times New Roman;Times;serif"/>
          <w:sz w:val="20"/>
        </w:rPr>
        <w:t>[**]</w:t>
      </w:r>
    </w:p>
    <w:tbl>
      <w:tblPr>
        <w:tblW w:w="1428" w:type="dxa"/>
        <w:jc w:val="left"/>
        <w:tblInd w:w="0" w:type="dxa"/>
        <w:tblLayout w:type="fixed"/>
        <w:tblCellMar>
          <w:top w:w="0" w:type="dxa"/>
          <w:left w:w="0" w:type="dxa"/>
          <w:bottom w:w="0" w:type="dxa"/>
          <w:right w:w="0" w:type="dxa"/>
        </w:tblCellMar>
      </w:tblPr>
      <w:tblGrid>
        <w:gridCol w:w="23"/>
        <w:gridCol w:w="260"/>
        <w:gridCol w:w="1145"/>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(ii)</w:t>
            </w:r>
          </w:p>
        </w:tc>
        <w:tc>
          <w:tcPr>
            <w:tcW w:w="11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Lender at:</w:t>
            </w:r>
          </w:p>
        </w:tc>
      </w:tr>
    </w:tbl>
    <w:p>
      <w:pPr>
        <w:pStyle w:val="TextBody"/>
        <w:bidi w:val="0"/>
        <w:spacing w:before="0" w:after="240"/>
        <w:ind w:left="2275" w:right="0" w:hanging="0"/>
        <w:jc w:val="both"/>
        <w:rPr>
          <w:rFonts w:ascii="Times New Roman;Times;serif" w:hAnsi="Times New Roman;Times;serif"/>
          <w:sz w:val="20"/>
        </w:rPr>
      </w:pPr>
      <w:r>
        <w:rPr>
          <w:rFonts w:ascii="Times New Roman;Times;serif" w:hAnsi="Times New Roman;Times;serif"/>
          <w:sz w:val="20"/>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or to any other address or fax number as is notified in writing by either Party to the other from time to time.</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18.2</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Any notice or other communication that the Lender gives to the Borrower under or in connection with, this Agreement shall be deemed to have been received:</w:t>
            </w:r>
          </w:p>
        </w:tc>
      </w:tr>
    </w:tbl>
    <w:tbl>
      <w:tblPr>
        <w:tblW w:w="5418" w:type="dxa"/>
        <w:jc w:val="left"/>
        <w:tblInd w:w="0" w:type="dxa"/>
        <w:tblLayout w:type="fixed"/>
        <w:tblCellMar>
          <w:top w:w="0" w:type="dxa"/>
          <w:left w:w="0" w:type="dxa"/>
          <w:bottom w:w="0" w:type="dxa"/>
          <w:right w:w="0" w:type="dxa"/>
        </w:tblCellMar>
      </w:tblPr>
      <w:tblGrid>
        <w:gridCol w:w="23"/>
        <w:gridCol w:w="230"/>
        <w:gridCol w:w="516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516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if delivered by hand, at the time it is left at the relevant address;</w:t>
            </w:r>
          </w:p>
        </w:tc>
      </w:tr>
    </w:tbl>
    <w:tbl>
      <w:tblPr>
        <w:tblW w:w="9528" w:type="dxa"/>
        <w:jc w:val="left"/>
        <w:tblInd w:w="0" w:type="dxa"/>
        <w:tblLayout w:type="fixed"/>
        <w:tblCellMar>
          <w:top w:w="0" w:type="dxa"/>
          <w:left w:w="0" w:type="dxa"/>
          <w:bottom w:w="0" w:type="dxa"/>
          <w:right w:w="0" w:type="dxa"/>
        </w:tblCellMar>
      </w:tblPr>
      <w:tblGrid>
        <w:gridCol w:w="23"/>
        <w:gridCol w:w="245"/>
        <w:gridCol w:w="926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926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if delivered by email, at the time it transmitted the e-mail to the e-mail address provided by the intended recipient;</w:t>
            </w:r>
          </w:p>
        </w:tc>
      </w:tr>
    </w:tbl>
    <w:tbl>
      <w:tblPr>
        <w:tblW w:w="10205" w:type="dxa"/>
        <w:jc w:val="left"/>
        <w:tblInd w:w="0" w:type="dxa"/>
        <w:tblLayout w:type="fixed"/>
        <w:tblCellMar>
          <w:top w:w="0" w:type="dxa"/>
          <w:left w:w="0" w:type="dxa"/>
          <w:bottom w:w="0" w:type="dxa"/>
          <w:right w:w="0" w:type="dxa"/>
        </w:tblCellMar>
      </w:tblPr>
      <w:tblGrid>
        <w:gridCol w:w="23"/>
        <w:gridCol w:w="228"/>
        <w:gridCol w:w="9954"/>
      </w:tblGrid>
      <w:tr>
        <w:trPr/>
        <w:tc>
          <w:tcPr>
            <w:tcW w:w="2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995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if posted by pre-paid first-class post or other next working day delivery service, on the second Business Day after posting; and</w:t>
            </w:r>
          </w:p>
        </w:tc>
      </w:tr>
    </w:tbl>
    <w:tbl>
      <w:tblPr>
        <w:tblW w:w="3888" w:type="dxa"/>
        <w:jc w:val="left"/>
        <w:tblInd w:w="0" w:type="dxa"/>
        <w:tblLayout w:type="fixed"/>
        <w:tblCellMar>
          <w:top w:w="0" w:type="dxa"/>
          <w:left w:w="0" w:type="dxa"/>
          <w:bottom w:w="0" w:type="dxa"/>
          <w:right w:w="0" w:type="dxa"/>
        </w:tblCellMar>
      </w:tblPr>
      <w:tblGrid>
        <w:gridCol w:w="23"/>
        <w:gridCol w:w="245"/>
        <w:gridCol w:w="362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362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if sent by fax, when received in legible form.</w:t>
            </w:r>
          </w:p>
        </w:tc>
      </w:tr>
    </w:tbl>
    <w:tbl>
      <w:tblPr>
        <w:tblW w:w="9955" w:type="dxa"/>
        <w:jc w:val="left"/>
        <w:tblInd w:w="0" w:type="dxa"/>
        <w:tblLayout w:type="fixed"/>
        <w:tblCellMar>
          <w:top w:w="0" w:type="dxa"/>
          <w:left w:w="0" w:type="dxa"/>
          <w:bottom w:w="0" w:type="dxa"/>
          <w:right w:w="0" w:type="dxa"/>
        </w:tblCellMar>
      </w:tblPr>
      <w:tblGrid>
        <w:gridCol w:w="380"/>
        <w:gridCol w:w="9575"/>
      </w:tblGrid>
      <w:tr>
        <w:trPr/>
        <w:tc>
          <w:tcPr>
            <w:tcW w:w="38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18.3</w:t>
            </w:r>
          </w:p>
        </w:tc>
        <w:tc>
          <w:tcPr>
            <w:tcW w:w="95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Any notice or other communication given to the Lender shall be deemed to have been received only on actual receipt.</w:t>
            </w:r>
          </w:p>
        </w:tc>
      </w:tr>
    </w:tbl>
    <w:tbl>
      <w:tblPr>
        <w:tblW w:w="3895" w:type="dxa"/>
        <w:jc w:val="left"/>
        <w:tblInd w:w="0" w:type="dxa"/>
        <w:tblLayout w:type="fixed"/>
        <w:tblCellMar>
          <w:top w:w="0" w:type="dxa"/>
          <w:left w:w="0" w:type="dxa"/>
          <w:bottom w:w="0" w:type="dxa"/>
          <w:right w:w="0" w:type="dxa"/>
        </w:tblCellMar>
      </w:tblPr>
      <w:tblGrid>
        <w:gridCol w:w="275"/>
        <w:gridCol w:w="3620"/>
      </w:tblGrid>
      <w:tr>
        <w:trPr/>
        <w:tc>
          <w:tcPr>
            <w:tcW w:w="27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19.</w:t>
            </w:r>
          </w:p>
        </w:tc>
        <w:tc>
          <w:tcPr>
            <w:tcW w:w="362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GOVERNING LAW AND JURISDICTION</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19.1</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This Agreement and any dispute or claim arising out of or in connection with it or its subject matter shall be governed by, and construed in accordance with, Hong Kong law.</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19.2</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Any dispute, controversy, difference or claim arising out of or relating to this Agreement, including the existence, validity, interpretation, performance, breach or termination thereof or any dispute regarding non-contractual obligations arising out of or relating to it shall be referred to and finally resolved by arbitration administered by the Hong Kong International Arbitration Center (HKIAC) under the HKIAC Administered Arbitration Rules in force when the notice of arbitration is submitted. The seat of arbitration shall be Hong Kong.  The arbitration award shall be final and binding on both Parties.</w:t>
            </w:r>
          </w:p>
        </w:tc>
      </w:tr>
    </w:tbl>
    <w:tbl>
      <w:tblPr>
        <w:tblW w:w="1255" w:type="dxa"/>
        <w:jc w:val="left"/>
        <w:tblInd w:w="0" w:type="dxa"/>
        <w:tblLayout w:type="fixed"/>
        <w:tblCellMar>
          <w:top w:w="0" w:type="dxa"/>
          <w:left w:w="0" w:type="dxa"/>
          <w:bottom w:w="0" w:type="dxa"/>
          <w:right w:w="0" w:type="dxa"/>
        </w:tblCellMar>
      </w:tblPr>
      <w:tblGrid>
        <w:gridCol w:w="275"/>
        <w:gridCol w:w="980"/>
      </w:tblGrid>
      <w:tr>
        <w:trPr/>
        <w:tc>
          <w:tcPr>
            <w:tcW w:w="27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20.</w:t>
            </w:r>
          </w:p>
        </w:tc>
        <w:tc>
          <w:tcPr>
            <w:tcW w:w="98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VALIDITY</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This Agreement become effective on the Effective Date and end on the Final Maturity Date. This Agreement could be extended if Parties mutually agree and sign an extending loan agreement within 30 days prior to the Final Maturity Date.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SIGNATURE PAGES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The Borrower:</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YOUDAO, INC.</w:t>
      </w:r>
    </w:p>
    <w:p>
      <w:pPr>
        <w:pStyle w:val="TextBody"/>
        <w:bidi w:val="0"/>
        <w:spacing w:before="0" w:after="0"/>
        <w:ind w:left="0" w:right="0" w:hanging="0"/>
        <w:jc w:val="left"/>
        <w:rPr/>
      </w:pPr>
      <w:r>
        <w:rPr/>
        <w:t>​</w:t>
      </w:r>
    </w:p>
    <w:tbl>
      <w:tblPr>
        <w:tblW w:w="1535" w:type="dxa"/>
        <w:jc w:val="left"/>
        <w:tblInd w:w="0" w:type="dxa"/>
        <w:tblLayout w:type="fixed"/>
        <w:tblCellMar>
          <w:top w:w="0" w:type="dxa"/>
          <w:left w:w="0" w:type="dxa"/>
          <w:bottom w:w="28" w:type="dxa"/>
          <w:right w:w="0" w:type="dxa"/>
        </w:tblCellMar>
      </w:tblPr>
      <w:tblGrid>
        <w:gridCol w:w="1381"/>
        <w:gridCol w:w="154"/>
      </w:tblGrid>
      <w:tr>
        <w:trPr/>
        <w:tc>
          <w:tcPr>
            <w:tcW w:w="138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 Feng Zhou</w:t>
            </w:r>
          </w:p>
        </w:tc>
        <w:tc>
          <w:tcPr>
            <w:tcW w:w="154" w:type="dxa"/>
            <w:tcBorders>
              <w:bottom w:val="single" w:sz="2" w:space="0" w:color="000000"/>
            </w:tcBorders>
            <w:vAlign w:val="center"/>
          </w:tcPr>
          <w:p>
            <w:pPr>
              <w:pStyle w:val="TableContents"/>
              <w:bidi w:val="0"/>
              <w:spacing w:before="0" w:after="0"/>
              <w:ind w:left="0" w:right="0" w:hanging="0"/>
              <w:jc w:val="left"/>
              <w:rPr/>
            </w:pPr>
            <w:r>
              <w:rPr/>
              <w:t>​</w:t>
            </w:r>
          </w:p>
        </w:tc>
      </w:tr>
      <w:tr>
        <w:trPr/>
        <w:tc>
          <w:tcPr>
            <w:tcW w:w="1381" w:type="dxa"/>
            <w:tcBorders/>
            <w:tcMar>
              <w:bottom w:w="0" w:type="dxa"/>
            </w:tcMar>
            <w:vAlign w:val="center"/>
          </w:tcPr>
          <w:p>
            <w:pPr>
              <w:pStyle w:val="TableContents"/>
              <w:bidi w:val="0"/>
              <w:spacing w:before="0" w:after="0"/>
              <w:ind w:left="0" w:right="0" w:hanging="0"/>
              <w:jc w:val="left"/>
              <w:rPr/>
            </w:pPr>
            <w:r>
              <w:rPr/>
              <w:t>​</w:t>
            </w:r>
          </w:p>
        </w:tc>
        <w:tc>
          <w:tcPr>
            <w:tcW w:w="154" w:type="dxa"/>
            <w:tcBorders/>
            <w:tcMar>
              <w:bottom w:w="0" w:type="dxa"/>
            </w:tcMar>
            <w:vAlign w:val="center"/>
          </w:tcPr>
          <w:p>
            <w:pPr>
              <w:pStyle w:val="TableContents"/>
              <w:bidi w:val="0"/>
              <w:spacing w:before="0" w:after="0"/>
              <w:ind w:left="0" w:right="0" w:hanging="0"/>
              <w:jc w:val="left"/>
              <w:rPr/>
            </w:pPr>
            <w:r>
              <w:rPr/>
              <w:t>​</w:t>
            </w:r>
          </w:p>
        </w:tc>
      </w:tr>
      <w:tr>
        <w:trPr/>
        <w:tc>
          <w:tcPr>
            <w:tcW w:w="1381" w:type="dxa"/>
            <w:tcBorders/>
            <w:tcMar>
              <w:bottom w:w="0"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By: Feng Zhou</w:t>
            </w:r>
          </w:p>
        </w:tc>
        <w:tc>
          <w:tcPr>
            <w:tcW w:w="154" w:type="dxa"/>
            <w:tcBorders/>
            <w:tcMar>
              <w:bottom w:w="0"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The Lender:</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NETEASE, INC.</w:t>
      </w:r>
    </w:p>
    <w:p>
      <w:pPr>
        <w:pStyle w:val="TextBody"/>
        <w:bidi w:val="0"/>
        <w:spacing w:before="0" w:after="0"/>
        <w:ind w:left="0" w:right="0" w:hanging="0"/>
        <w:jc w:val="left"/>
        <w:rPr/>
      </w:pPr>
      <w:r>
        <w:rPr/>
        <w:t>​</w:t>
      </w:r>
    </w:p>
    <w:tbl>
      <w:tblPr>
        <w:tblW w:w="2690" w:type="dxa"/>
        <w:jc w:val="left"/>
        <w:tblInd w:w="0" w:type="dxa"/>
        <w:tblLayout w:type="fixed"/>
        <w:tblCellMar>
          <w:top w:w="0" w:type="dxa"/>
          <w:left w:w="0" w:type="dxa"/>
          <w:bottom w:w="0" w:type="dxa"/>
          <w:right w:w="0" w:type="dxa"/>
        </w:tblCellMar>
      </w:tblPr>
      <w:tblGrid>
        <w:gridCol w:w="2536"/>
        <w:gridCol w:w="154"/>
      </w:tblGrid>
      <w:tr>
        <w:trPr/>
        <w:tc>
          <w:tcPr>
            <w:tcW w:w="2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1610360" cy="175260"/>
                      <wp:effectExtent l="0" t="0" r="0" b="0"/>
                      <wp:wrapNone/>
                      <wp:docPr id="596" name="Frame595"/>
                      <a:graphic xmlns:a="http://schemas.openxmlformats.org/drawingml/2006/main">
                        <a:graphicData uri="http://schemas.microsoft.com/office/word/2010/wordprocessingShape">
                          <wps:wsp>
                            <wps:cNvSpPr txBox="1"/>
                            <wps:spPr>
                              <a:xfrm>
                                <a:off x="0" y="0"/>
                                <a:ext cx="1610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97790" cy="175260"/>
                      <wp:effectExtent l="0" t="0" r="0" b="0"/>
                      <wp:wrapNone/>
                      <wp:docPr id="597" name="Frame596"/>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 Charles Zhaoxuan Yang</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53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5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By: Charles Zhaoxuan Yang</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Schedule A:</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Loan Drawdown Notice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From:</w:t>
      </w:r>
      <w:r>
        <w:rPr>
          <w:rFonts w:ascii="Times New Roman;Times;serif" w:hAnsi="Times New Roman;Times;serif"/>
          <w:sz w:val="20"/>
        </w:rPr>
        <w:t>Youdao, Inc. as Borrower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To:</w:t>
      </w:r>
      <w:r>
        <w:rPr>
          <w:rFonts w:ascii="Times New Roman;Times;serif" w:hAnsi="Times New Roman;Times;serif"/>
          <w:sz w:val="20"/>
        </w:rPr>
        <w:t>NetEase, Inc. or its assignee as Lender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1006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This is a Loan Drawdown Notice attached to the Youdao, Inc. – USD300,000,000 Revolving Facility Agreement dated _____2023 (the “</w:t>
            </w:r>
            <w:r>
              <w:rPr>
                <w:rFonts w:ascii="Times New Roman;Times;serif" w:hAnsi="Times New Roman;Times;serif"/>
                <w:b/>
                <w:sz w:val="20"/>
              </w:rPr>
              <w:t>Facility Agreement</w:t>
            </w:r>
            <w:r>
              <w:rPr>
                <w:rFonts w:ascii="Times New Roman;Times;serif" w:hAnsi="Times New Roman;Times;serif"/>
                <w:sz w:val="20"/>
              </w:rPr>
              <w:t>”). All capitalized terms used but not defined in this Loan Drawdown Notice shall have the meanings given to such terms in the Facility Agreement.</w:t>
            </w:r>
          </w:p>
        </w:tc>
      </w:tr>
    </w:tbl>
    <w:tbl>
      <w:tblPr>
        <w:tblW w:w="7780" w:type="dxa"/>
        <w:jc w:val="left"/>
        <w:tblInd w:w="0" w:type="dxa"/>
        <w:tblLayout w:type="fixed"/>
        <w:tblCellMar>
          <w:top w:w="0" w:type="dxa"/>
          <w:left w:w="0" w:type="dxa"/>
          <w:bottom w:w="0" w:type="dxa"/>
          <w:right w:w="0" w:type="dxa"/>
        </w:tblCellMar>
      </w:tblPr>
      <w:tblGrid>
        <w:gridCol w:w="170"/>
        <w:gridCol w:w="7610"/>
      </w:tblGrid>
      <w:tr>
        <w:trPr/>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761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We wish to borrow a Loan on the following terms. This Loan Drawdown Notice is irrevocable.</w:t>
            </w:r>
          </w:p>
        </w:tc>
      </w:tr>
    </w:tbl>
    <w:p>
      <w:pPr>
        <w:pStyle w:val="TextBody"/>
        <w:bidi w:val="0"/>
        <w:spacing w:before="0" w:after="0"/>
        <w:ind w:left="0" w:right="0" w:hanging="0"/>
        <w:jc w:val="both"/>
        <w:rPr/>
      </w:pPr>
      <w:r>
        <w:rPr/>
        <w:t>​</w:t>
      </w:r>
    </w:p>
    <w:tbl>
      <w:tblPr>
        <w:tblW w:w="9109" w:type="dxa"/>
        <w:jc w:val="center"/>
        <w:tblInd w:w="0" w:type="dxa"/>
        <w:tblLayout w:type="fixed"/>
        <w:tblCellMar>
          <w:top w:w="28" w:type="dxa"/>
          <w:left w:w="93" w:type="dxa"/>
          <w:bottom w:w="28" w:type="dxa"/>
          <w:right w:w="100" w:type="dxa"/>
        </w:tblCellMar>
      </w:tblPr>
      <w:tblGrid>
        <w:gridCol w:w="2701"/>
        <w:gridCol w:w="2419"/>
        <w:gridCol w:w="2242"/>
        <w:gridCol w:w="1593"/>
        <w:gridCol w:w="154"/>
      </w:tblGrid>
      <w:tr>
        <w:trPr/>
        <w:tc>
          <w:tcPr>
            <w:tcW w:w="2701" w:type="dxa"/>
            <w:tcBorders>
              <w:top w:val="single" w:sz="12" w:space="0" w:color="000000"/>
              <w:left w:val="single" w:sz="1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Lender</w:t>
            </w:r>
          </w:p>
        </w:tc>
        <w:tc>
          <w:tcPr>
            <w:tcW w:w="6254" w:type="dxa"/>
            <w:gridSpan w:val="3"/>
            <w:tcBorders>
              <w:top w:val="single" w:sz="12" w:space="0" w:color="000000"/>
              <w:left w:val="single" w:sz="2" w:space="0" w:color="000000"/>
              <w:bottom w:val="single" w:sz="2" w:space="0" w:color="000000"/>
              <w:right w:val="single" w:sz="12" w:space="0" w:color="000000"/>
            </w:tcBorders>
            <w:tcMar>
              <w:left w:w="100" w:type="dxa"/>
              <w:right w:w="93"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NetEase, Inc. or its assignee</w:t>
            </w:r>
          </w:p>
        </w:tc>
        <w:tc>
          <w:tcPr>
            <w:tcW w:w="154" w:type="dxa"/>
            <w:tcBorders/>
            <w:tcMar>
              <w:left w:w="28" w:type="dxa"/>
              <w:right w:w="28" w:type="dxa"/>
            </w:tcMar>
          </w:tcPr>
          <w:p>
            <w:pPr>
              <w:pStyle w:val="TableContents"/>
              <w:bidi w:val="0"/>
              <w:spacing w:before="0" w:after="283"/>
              <w:jc w:val="left"/>
              <w:rPr>
                <w:sz w:val="4"/>
                <w:szCs w:val="4"/>
              </w:rPr>
            </w:pPr>
            <w:r>
              <w:rPr>
                <w:sz w:val="4"/>
                <w:szCs w:val="4"/>
              </w:rPr>
            </w:r>
          </w:p>
        </w:tc>
      </w:tr>
      <w:tr>
        <w:trPr/>
        <w:tc>
          <w:tcPr>
            <w:tcW w:w="2701" w:type="dxa"/>
            <w:tcBorders>
              <w:top w:val="single" w:sz="2" w:space="0" w:color="000000"/>
              <w:left w:val="single" w:sz="1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Borrower</w:t>
            </w:r>
          </w:p>
        </w:tc>
        <w:tc>
          <w:tcPr>
            <w:tcW w:w="6254" w:type="dxa"/>
            <w:gridSpan w:val="3"/>
            <w:tcBorders>
              <w:top w:val="single" w:sz="2" w:space="0" w:color="000000"/>
              <w:left w:val="single" w:sz="2" w:space="0" w:color="000000"/>
              <w:bottom w:val="single" w:sz="2" w:space="0" w:color="000000"/>
              <w:right w:val="single" w:sz="12" w:space="0" w:color="000000"/>
            </w:tcBorders>
            <w:tcMar>
              <w:left w:w="100" w:type="dxa"/>
              <w:right w:w="93"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Youdao Inc.</w:t>
            </w:r>
          </w:p>
        </w:tc>
        <w:tc>
          <w:tcPr>
            <w:tcW w:w="154" w:type="dxa"/>
            <w:tcBorders/>
            <w:tcMar>
              <w:left w:w="28" w:type="dxa"/>
              <w:right w:w="28" w:type="dxa"/>
            </w:tcMar>
          </w:tcPr>
          <w:p>
            <w:pPr>
              <w:pStyle w:val="TableContents"/>
              <w:bidi w:val="0"/>
              <w:spacing w:before="0" w:after="283"/>
              <w:jc w:val="left"/>
              <w:rPr>
                <w:sz w:val="4"/>
                <w:szCs w:val="4"/>
              </w:rPr>
            </w:pPr>
            <w:r>
              <w:rPr>
                <w:sz w:val="4"/>
                <w:szCs w:val="4"/>
              </w:rPr>
            </w:r>
          </w:p>
        </w:tc>
      </w:tr>
      <w:tr>
        <w:trPr/>
        <w:tc>
          <w:tcPr>
            <w:tcW w:w="2701" w:type="dxa"/>
            <w:tcBorders>
              <w:top w:val="single" w:sz="2" w:space="0" w:color="000000"/>
              <w:left w:val="single" w:sz="1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Loan Purpose</w:t>
            </w:r>
          </w:p>
        </w:tc>
        <w:tc>
          <w:tcPr>
            <w:tcW w:w="6254" w:type="dxa"/>
            <w:gridSpan w:val="3"/>
            <w:tcBorders>
              <w:top w:val="single" w:sz="2" w:space="0" w:color="000000"/>
              <w:left w:val="single" w:sz="2" w:space="0" w:color="000000"/>
              <w:bottom w:val="single" w:sz="2" w:space="0" w:color="000000"/>
              <w:right w:val="single" w:sz="12" w:space="0" w:color="000000"/>
            </w:tcBorders>
            <w:tcMar>
              <w:left w:w="100" w:type="dxa"/>
              <w:right w:w="9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Please refer to the purposes set out in Clause 4 under the Facility Agreement</w:t>
            </w:r>
          </w:p>
        </w:tc>
        <w:tc>
          <w:tcPr>
            <w:tcW w:w="154" w:type="dxa"/>
            <w:tcBorders/>
            <w:tcMar>
              <w:left w:w="28" w:type="dxa"/>
              <w:right w:w="28" w:type="dxa"/>
            </w:tcMar>
          </w:tcPr>
          <w:p>
            <w:pPr>
              <w:pStyle w:val="TableContents"/>
              <w:bidi w:val="0"/>
              <w:spacing w:before="0" w:after="283"/>
              <w:jc w:val="left"/>
              <w:rPr>
                <w:sz w:val="4"/>
                <w:szCs w:val="4"/>
              </w:rPr>
            </w:pPr>
            <w:r>
              <w:rPr>
                <w:sz w:val="4"/>
                <w:szCs w:val="4"/>
              </w:rPr>
            </w:r>
          </w:p>
        </w:tc>
      </w:tr>
      <w:tr>
        <w:trPr/>
        <w:tc>
          <w:tcPr>
            <w:tcW w:w="2701" w:type="dxa"/>
            <w:vMerge w:val="restart"/>
            <w:tcBorders>
              <w:top w:val="single" w:sz="2" w:space="0" w:color="000000"/>
              <w:left w:val="single" w:sz="1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Borrower Bank Account Details</w:t>
            </w:r>
          </w:p>
        </w:tc>
        <w:tc>
          <w:tcPr>
            <w:tcW w:w="2419" w:type="dxa"/>
            <w:tcBorders>
              <w:top w:val="single" w:sz="2" w:space="0" w:color="000000"/>
              <w:left w:val="single" w:sz="2" w:space="0" w:color="000000"/>
              <w:bottom w:val="single" w:sz="2" w:space="0" w:color="000000"/>
              <w:right w:val="single" w:sz="2" w:space="0" w:color="000000"/>
            </w:tcBorders>
            <w:tcMar>
              <w:left w:w="100"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Bank Name</w:t>
            </w:r>
          </w:p>
        </w:tc>
        <w:tc>
          <w:tcPr>
            <w:tcW w:w="3835" w:type="dxa"/>
            <w:gridSpan w:val="2"/>
            <w:tcBorders>
              <w:top w:val="single" w:sz="2" w:space="0" w:color="000000"/>
              <w:left w:val="single" w:sz="2" w:space="0" w:color="000000"/>
              <w:bottom w:val="single" w:sz="2" w:space="0" w:color="000000"/>
              <w:right w:val="single" w:sz="12" w:space="0" w:color="000000"/>
            </w:tcBorders>
            <w:tcMar>
              <w:left w:w="103" w:type="dxa"/>
              <w:right w:w="93" w:type="dxa"/>
            </w:tcMar>
            <w:vAlign w:val="center"/>
          </w:tcPr>
          <w:p>
            <w:pPr>
              <w:pStyle w:val="TableContents"/>
              <w:bidi w:val="0"/>
              <w:spacing w:before="0" w:after="0"/>
              <w:ind w:left="0" w:right="0" w:hanging="0"/>
              <w:jc w:val="left"/>
              <w:rPr/>
            </w:pPr>
            <w:r>
              <w:rPr/>
              <w:t>​</w:t>
            </w:r>
          </w:p>
        </w:tc>
        <w:tc>
          <w:tcPr>
            <w:tcW w:w="154" w:type="dxa"/>
            <w:tcBorders/>
            <w:tcMar>
              <w:left w:w="28" w:type="dxa"/>
              <w:right w:w="28" w:type="dxa"/>
            </w:tcMar>
          </w:tcPr>
          <w:p>
            <w:pPr>
              <w:pStyle w:val="TableContents"/>
              <w:bidi w:val="0"/>
              <w:spacing w:before="0" w:after="283"/>
              <w:jc w:val="left"/>
              <w:rPr>
                <w:sz w:val="4"/>
                <w:szCs w:val="4"/>
              </w:rPr>
            </w:pPr>
            <w:r>
              <w:rPr>
                <w:sz w:val="4"/>
                <w:szCs w:val="4"/>
              </w:rPr>
            </w:r>
          </w:p>
        </w:tc>
      </w:tr>
      <w:tr>
        <w:trPr/>
        <w:tc>
          <w:tcPr>
            <w:tcW w:w="2701" w:type="dxa"/>
            <w:vMerge w:val="continue"/>
            <w:tcBorders>
              <w:top w:val="single" w:sz="2" w:space="0" w:color="000000"/>
              <w:left w:val="single" w:sz="12" w:space="0" w:color="000000"/>
              <w:bottom w:val="single" w:sz="2" w:space="0" w:color="000000"/>
              <w:right w:val="single" w:sz="2" w:space="0" w:color="000000"/>
            </w:tcBorders>
            <w:vAlign w:val="center"/>
          </w:tcPr>
          <w:p>
            <w:pPr>
              <w:pStyle w:val="Normal"/>
              <w:bidi w:val="0"/>
              <w:jc w:val="left"/>
              <w:rPr/>
            </w:pPr>
            <w:r>
              <w:rPr/>
            </w:r>
          </w:p>
        </w:tc>
        <w:tc>
          <w:tcPr>
            <w:tcW w:w="2419" w:type="dxa"/>
            <w:tcBorders>
              <w:top w:val="single" w:sz="2" w:space="0" w:color="000000"/>
              <w:left w:val="single" w:sz="1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2242" w:type="dxa"/>
            <w:tcBorders>
              <w:top w:val="single" w:sz="2" w:space="0" w:color="000000"/>
              <w:left w:val="single" w:sz="2" w:space="0" w:color="000000"/>
              <w:bottom w:val="single" w:sz="2" w:space="0" w:color="000000"/>
              <w:right w:val="single" w:sz="2" w:space="0" w:color="000000"/>
            </w:tcBorders>
            <w:tcMar>
              <w:left w:w="100"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Bank SWIFT Code</w:t>
            </w:r>
          </w:p>
        </w:tc>
        <w:tc>
          <w:tcPr>
            <w:tcW w:w="1747" w:type="dxa"/>
            <w:gridSpan w:val="2"/>
            <w:tcBorders>
              <w:top w:val="single" w:sz="2" w:space="0" w:color="000000"/>
              <w:left w:val="single" w:sz="2" w:space="0" w:color="000000"/>
              <w:bottom w:val="single" w:sz="2" w:space="0" w:color="000000"/>
              <w:right w:val="single" w:sz="12" w:space="0" w:color="000000"/>
            </w:tcBorders>
            <w:tcMar>
              <w:left w:w="103" w:type="dxa"/>
              <w:right w:w="93" w:type="dxa"/>
            </w:tcMar>
            <w:vAlign w:val="center"/>
          </w:tcPr>
          <w:p>
            <w:pPr>
              <w:pStyle w:val="TableContents"/>
              <w:bidi w:val="0"/>
              <w:spacing w:before="0" w:after="0"/>
              <w:ind w:left="0" w:right="0" w:hanging="0"/>
              <w:jc w:val="left"/>
              <w:rPr/>
            </w:pPr>
            <w:r>
              <w:rPr/>
              <w:t>​</w:t>
            </w:r>
          </w:p>
        </w:tc>
      </w:tr>
      <w:tr>
        <w:trPr/>
        <w:tc>
          <w:tcPr>
            <w:tcW w:w="2701" w:type="dxa"/>
            <w:vMerge w:val="continue"/>
            <w:tcBorders>
              <w:top w:val="single" w:sz="2" w:space="0" w:color="000000"/>
              <w:left w:val="single" w:sz="12" w:space="0" w:color="000000"/>
              <w:bottom w:val="single" w:sz="2" w:space="0" w:color="000000"/>
              <w:right w:val="single" w:sz="2" w:space="0" w:color="000000"/>
            </w:tcBorders>
            <w:vAlign w:val="center"/>
          </w:tcPr>
          <w:p>
            <w:pPr>
              <w:pStyle w:val="Normal"/>
              <w:bidi w:val="0"/>
              <w:jc w:val="left"/>
              <w:rPr/>
            </w:pPr>
            <w:r>
              <w:rPr/>
            </w:r>
          </w:p>
        </w:tc>
        <w:tc>
          <w:tcPr>
            <w:tcW w:w="2419" w:type="dxa"/>
            <w:tcBorders>
              <w:top w:val="single" w:sz="2" w:space="0" w:color="000000"/>
              <w:left w:val="single" w:sz="1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2242" w:type="dxa"/>
            <w:tcBorders>
              <w:top w:val="single" w:sz="2" w:space="0" w:color="000000"/>
              <w:left w:val="single" w:sz="2" w:space="0" w:color="000000"/>
              <w:bottom w:val="single" w:sz="2" w:space="0" w:color="000000"/>
              <w:right w:val="single" w:sz="2" w:space="0" w:color="000000"/>
            </w:tcBorders>
            <w:tcMar>
              <w:left w:w="100"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 Name</w:t>
            </w:r>
          </w:p>
        </w:tc>
        <w:tc>
          <w:tcPr>
            <w:tcW w:w="1747" w:type="dxa"/>
            <w:gridSpan w:val="2"/>
            <w:tcBorders>
              <w:top w:val="single" w:sz="2" w:space="0" w:color="000000"/>
              <w:left w:val="single" w:sz="2" w:space="0" w:color="000000"/>
              <w:bottom w:val="single" w:sz="2" w:space="0" w:color="000000"/>
              <w:right w:val="single" w:sz="12" w:space="0" w:color="000000"/>
            </w:tcBorders>
            <w:tcMar>
              <w:left w:w="103" w:type="dxa"/>
              <w:right w:w="93" w:type="dxa"/>
            </w:tcMar>
            <w:vAlign w:val="center"/>
          </w:tcPr>
          <w:p>
            <w:pPr>
              <w:pStyle w:val="TableContents"/>
              <w:bidi w:val="0"/>
              <w:spacing w:before="0" w:after="0"/>
              <w:ind w:left="0" w:right="0" w:hanging="0"/>
              <w:jc w:val="left"/>
              <w:rPr/>
            </w:pPr>
            <w:r>
              <w:rPr/>
              <w:t>​</w:t>
            </w:r>
          </w:p>
        </w:tc>
      </w:tr>
      <w:tr>
        <w:trPr/>
        <w:tc>
          <w:tcPr>
            <w:tcW w:w="2701" w:type="dxa"/>
            <w:vMerge w:val="continue"/>
            <w:tcBorders>
              <w:top w:val="single" w:sz="2" w:space="0" w:color="000000"/>
              <w:left w:val="single" w:sz="12" w:space="0" w:color="000000"/>
              <w:bottom w:val="single" w:sz="2" w:space="0" w:color="000000"/>
              <w:right w:val="single" w:sz="2" w:space="0" w:color="000000"/>
            </w:tcBorders>
            <w:vAlign w:val="center"/>
          </w:tcPr>
          <w:p>
            <w:pPr>
              <w:pStyle w:val="Normal"/>
              <w:bidi w:val="0"/>
              <w:jc w:val="left"/>
              <w:rPr/>
            </w:pPr>
            <w:r>
              <w:rPr/>
            </w:r>
          </w:p>
        </w:tc>
        <w:tc>
          <w:tcPr>
            <w:tcW w:w="2419" w:type="dxa"/>
            <w:tcBorders>
              <w:top w:val="single" w:sz="2" w:space="0" w:color="000000"/>
              <w:left w:val="single" w:sz="1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2242" w:type="dxa"/>
            <w:tcBorders>
              <w:top w:val="single" w:sz="2" w:space="0" w:color="000000"/>
              <w:left w:val="single" w:sz="2" w:space="0" w:color="000000"/>
              <w:bottom w:val="single" w:sz="2" w:space="0" w:color="000000"/>
              <w:right w:val="single" w:sz="2" w:space="0" w:color="000000"/>
            </w:tcBorders>
            <w:tcMar>
              <w:left w:w="100"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 Number</w:t>
            </w:r>
          </w:p>
        </w:tc>
        <w:tc>
          <w:tcPr>
            <w:tcW w:w="1747" w:type="dxa"/>
            <w:gridSpan w:val="2"/>
            <w:tcBorders>
              <w:top w:val="single" w:sz="2" w:space="0" w:color="000000"/>
              <w:left w:val="single" w:sz="2" w:space="0" w:color="000000"/>
              <w:bottom w:val="single" w:sz="2" w:space="0" w:color="000000"/>
              <w:right w:val="single" w:sz="12" w:space="0" w:color="000000"/>
            </w:tcBorders>
            <w:tcMar>
              <w:left w:w="103" w:type="dxa"/>
              <w:right w:w="93" w:type="dxa"/>
            </w:tcMar>
            <w:vAlign w:val="center"/>
          </w:tcPr>
          <w:p>
            <w:pPr>
              <w:pStyle w:val="TableContents"/>
              <w:bidi w:val="0"/>
              <w:spacing w:before="0" w:after="0"/>
              <w:ind w:left="0" w:right="0" w:hanging="0"/>
              <w:jc w:val="left"/>
              <w:rPr/>
            </w:pPr>
            <w:r>
              <w:rPr/>
              <w:t>​</w:t>
            </w:r>
          </w:p>
        </w:tc>
      </w:tr>
      <w:tr>
        <w:trPr/>
        <w:tc>
          <w:tcPr>
            <w:tcW w:w="2701" w:type="dxa"/>
            <w:tcBorders>
              <w:top w:val="single" w:sz="2" w:space="0" w:color="000000"/>
              <w:left w:val="single" w:sz="1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Loan Currency</w:t>
            </w:r>
          </w:p>
        </w:tc>
        <w:tc>
          <w:tcPr>
            <w:tcW w:w="2419" w:type="dxa"/>
            <w:tcBorders>
              <w:top w:val="single" w:sz="2" w:space="0" w:color="000000"/>
              <w:left w:val="single" w:sz="2" w:space="0" w:color="000000"/>
              <w:bottom w:val="single" w:sz="2" w:space="0" w:color="000000"/>
              <w:right w:val="single" w:sz="2" w:space="0" w:color="000000"/>
            </w:tcBorders>
            <w:tcMar>
              <w:left w:w="100" w:type="dxa"/>
              <w:right w:w="103" w:type="dxa"/>
            </w:tcMar>
            <w:vAlign w:val="center"/>
          </w:tcPr>
          <w:p>
            <w:pPr>
              <w:pStyle w:val="TableContents"/>
              <w:bidi w:val="0"/>
              <w:spacing w:before="0" w:after="0"/>
              <w:ind w:left="0" w:right="0" w:hanging="0"/>
              <w:jc w:val="center"/>
              <w:rPr/>
            </w:pPr>
            <w:r>
              <w:rPr/>
              <w:t>​</w:t>
            </w:r>
          </w:p>
        </w:tc>
        <w:tc>
          <w:tcPr>
            <w:tcW w:w="2242" w:type="dxa"/>
            <w:tcBorders>
              <w:top w:val="single" w:sz="2" w:space="0" w:color="000000"/>
              <w:left w:val="single" w:sz="2" w:space="0" w:color="000000"/>
              <w:bottom w:val="single" w:sz="2" w:space="0" w:color="000000"/>
              <w:right w:val="single" w:sz="2" w:space="0" w:color="000000"/>
            </w:tcBorders>
            <w:tcMar>
              <w:lef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Loan Amount</w:t>
            </w:r>
          </w:p>
        </w:tc>
        <w:tc>
          <w:tcPr>
            <w:tcW w:w="1593" w:type="dxa"/>
            <w:tcBorders>
              <w:top w:val="single" w:sz="2" w:space="0" w:color="000000"/>
              <w:left w:val="single" w:sz="2" w:space="0" w:color="000000"/>
              <w:bottom w:val="single" w:sz="2" w:space="0" w:color="000000"/>
              <w:right w:val="single" w:sz="12" w:space="0" w:color="000000"/>
            </w:tcBorders>
            <w:tcMar>
              <w:left w:w="100" w:type="dxa"/>
              <w:right w:w="93" w:type="dxa"/>
            </w:tcMar>
            <w:vAlign w:val="center"/>
          </w:tcPr>
          <w:p>
            <w:pPr>
              <w:pStyle w:val="TableContents"/>
              <w:bidi w:val="0"/>
              <w:spacing w:before="0" w:after="0"/>
              <w:ind w:left="0" w:right="0" w:hanging="0"/>
              <w:jc w:val="center"/>
              <w:rPr/>
            </w:pPr>
            <w:r>
              <w:rPr/>
              <w:t>​</w:t>
            </w:r>
          </w:p>
        </w:tc>
        <w:tc>
          <w:tcPr>
            <w:tcW w:w="154" w:type="dxa"/>
            <w:tcBorders/>
            <w:tcMar>
              <w:left w:w="28" w:type="dxa"/>
              <w:right w:w="28" w:type="dxa"/>
            </w:tcMar>
          </w:tcPr>
          <w:p>
            <w:pPr>
              <w:pStyle w:val="TableContents"/>
              <w:bidi w:val="0"/>
              <w:spacing w:before="0" w:after="283"/>
              <w:jc w:val="left"/>
              <w:rPr>
                <w:sz w:val="4"/>
                <w:szCs w:val="4"/>
              </w:rPr>
            </w:pPr>
            <w:r>
              <w:rPr>
                <w:sz w:val="4"/>
                <w:szCs w:val="4"/>
              </w:rPr>
            </w:r>
          </w:p>
        </w:tc>
      </w:tr>
      <w:tr>
        <w:trPr/>
        <w:tc>
          <w:tcPr>
            <w:tcW w:w="2701" w:type="dxa"/>
            <w:tcBorders>
              <w:top w:val="single" w:sz="2" w:space="0" w:color="000000"/>
              <w:left w:val="single" w:sz="1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Interest Rate</w:t>
            </w:r>
          </w:p>
        </w:tc>
        <w:tc>
          <w:tcPr>
            <w:tcW w:w="2419" w:type="dxa"/>
            <w:tcBorders>
              <w:top w:val="single" w:sz="2" w:space="0" w:color="000000"/>
              <w:left w:val="single" w:sz="2" w:space="0" w:color="000000"/>
              <w:bottom w:val="single" w:sz="2" w:space="0" w:color="000000"/>
              <w:right w:val="single" w:sz="2" w:space="0" w:color="000000"/>
            </w:tcBorders>
            <w:tcMar>
              <w:left w:w="100"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Term SOFR + Margin</w:t>
            </w:r>
          </w:p>
        </w:tc>
        <w:tc>
          <w:tcPr>
            <w:tcW w:w="2242" w:type="dxa"/>
            <w:tcBorders>
              <w:top w:val="single" w:sz="2" w:space="0" w:color="000000"/>
              <w:left w:val="single" w:sz="2" w:space="0" w:color="000000"/>
              <w:bottom w:val="single" w:sz="2" w:space="0" w:color="000000"/>
              <w:right w:val="single" w:sz="2" w:space="0" w:color="000000"/>
            </w:tcBorders>
            <w:tcMar>
              <w:lef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Interest Period</w:t>
            </w:r>
          </w:p>
        </w:tc>
        <w:tc>
          <w:tcPr>
            <w:tcW w:w="1593" w:type="dxa"/>
            <w:tcBorders>
              <w:top w:val="single" w:sz="2" w:space="0" w:color="000000"/>
              <w:left w:val="single" w:sz="2" w:space="0" w:color="000000"/>
              <w:bottom w:val="single" w:sz="2" w:space="0" w:color="000000"/>
              <w:right w:val="single" w:sz="12" w:space="0" w:color="000000"/>
            </w:tcBorders>
            <w:tcMar>
              <w:left w:w="100" w:type="dxa"/>
              <w:right w:w="9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 or 3 months</w:t>
            </w:r>
          </w:p>
        </w:tc>
        <w:tc>
          <w:tcPr>
            <w:tcW w:w="154" w:type="dxa"/>
            <w:tcBorders/>
            <w:tcMar>
              <w:left w:w="28" w:type="dxa"/>
              <w:right w:w="28" w:type="dxa"/>
            </w:tcMar>
          </w:tcPr>
          <w:p>
            <w:pPr>
              <w:pStyle w:val="TableContents"/>
              <w:bidi w:val="0"/>
              <w:spacing w:before="0" w:after="283"/>
              <w:jc w:val="left"/>
              <w:rPr>
                <w:sz w:val="4"/>
                <w:szCs w:val="4"/>
              </w:rPr>
            </w:pPr>
            <w:r>
              <w:rPr>
                <w:sz w:val="4"/>
                <w:szCs w:val="4"/>
              </w:rPr>
            </w:r>
          </w:p>
        </w:tc>
      </w:tr>
      <w:tr>
        <w:trPr/>
        <w:tc>
          <w:tcPr>
            <w:tcW w:w="2701" w:type="dxa"/>
            <w:tcBorders>
              <w:top w:val="single" w:sz="2" w:space="0" w:color="000000"/>
              <w:left w:val="single" w:sz="12" w:space="0" w:color="000000"/>
              <w:bottom w:val="single" w:sz="1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Drawdown Date</w:t>
            </w:r>
          </w:p>
        </w:tc>
        <w:tc>
          <w:tcPr>
            <w:tcW w:w="2419" w:type="dxa"/>
            <w:tcBorders>
              <w:top w:val="single" w:sz="2" w:space="0" w:color="000000"/>
              <w:left w:val="single" w:sz="2" w:space="0" w:color="000000"/>
              <w:bottom w:val="single" w:sz="12" w:space="0" w:color="000000"/>
              <w:right w:val="single" w:sz="2" w:space="0" w:color="000000"/>
            </w:tcBorders>
            <w:tcMar>
              <w:left w:w="100" w:type="dxa"/>
            </w:tcMar>
            <w:vAlign w:val="center"/>
          </w:tcPr>
          <w:p>
            <w:pPr>
              <w:pStyle w:val="TableContents"/>
              <w:bidi w:val="0"/>
              <w:spacing w:before="0" w:after="0"/>
              <w:ind w:left="0" w:right="0" w:hanging="0"/>
              <w:jc w:val="left"/>
              <w:rPr/>
            </w:pPr>
            <w:r>
              <w:rPr/>
              <w:t>​</w:t>
            </w:r>
          </w:p>
        </w:tc>
        <w:tc>
          <w:tcPr>
            <w:tcW w:w="2242" w:type="dxa"/>
            <w:tcBorders>
              <w:top w:val="single" w:sz="2" w:space="0" w:color="000000"/>
              <w:left w:val="single" w:sz="2" w:space="0" w:color="000000"/>
              <w:bottom w:val="single" w:sz="12" w:space="0" w:color="000000"/>
              <w:right w:val="single" w:sz="2" w:space="0" w:color="000000"/>
            </w:tcBorders>
            <w:tcMar>
              <w:left w:w="10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Final Maturity Date</w:t>
            </w:r>
          </w:p>
        </w:tc>
        <w:tc>
          <w:tcPr>
            <w:tcW w:w="1593" w:type="dxa"/>
            <w:tcBorders>
              <w:top w:val="single" w:sz="2" w:space="0" w:color="000000"/>
              <w:left w:val="single" w:sz="2" w:space="0" w:color="000000"/>
              <w:bottom w:val="single" w:sz="12" w:space="0" w:color="000000"/>
              <w:right w:val="single" w:sz="12" w:space="0" w:color="000000"/>
            </w:tcBorders>
            <w:tcMar>
              <w:left w:w="100" w:type="dxa"/>
              <w:right w:w="93" w:type="dxa"/>
            </w:tcMar>
            <w:vAlign w:val="center"/>
          </w:tcPr>
          <w:p>
            <w:pPr>
              <w:pStyle w:val="TableContents"/>
              <w:bidi w:val="0"/>
              <w:spacing w:before="0" w:after="0"/>
              <w:ind w:left="0" w:right="0" w:hanging="0"/>
              <w:jc w:val="left"/>
              <w:rPr/>
            </w:pPr>
            <w:r>
              <w:rPr/>
              <w:t>​</w:t>
            </w:r>
          </w:p>
        </w:tc>
        <w:tc>
          <w:tcPr>
            <w:tcW w:w="154" w:type="dxa"/>
            <w:tcBorders/>
            <w:tcMar>
              <w:left w:w="28" w:type="dxa"/>
              <w:right w:w="28" w:type="dxa"/>
            </w:tcMa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pPr>
      <w:r>
        <w:rPr/>
        <w:t>​</w:t>
      </w:r>
    </w:p>
    <w:tbl>
      <w:tblPr>
        <w:tblW w:w="4836" w:type="dxa"/>
        <w:jc w:val="left"/>
        <w:tblInd w:w="0" w:type="dxa"/>
        <w:tblLayout w:type="fixed"/>
        <w:tblCellMar>
          <w:top w:w="0" w:type="dxa"/>
          <w:left w:w="0" w:type="dxa"/>
          <w:bottom w:w="0" w:type="dxa"/>
          <w:right w:w="0" w:type="dxa"/>
        </w:tblCellMar>
      </w:tblPr>
      <w:tblGrid>
        <w:gridCol w:w="1876"/>
        <w:gridCol w:w="109"/>
        <w:gridCol w:w="2851"/>
      </w:tblGrid>
      <w:tr>
        <w:trPr/>
        <w:tc>
          <w:tcPr>
            <w:tcW w:w="18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and on behalf of:</w:t>
            </w:r>
          </w:p>
        </w:tc>
        <w:tc>
          <w:tcPr>
            <w:tcW w:w="109" w:type="dxa"/>
            <w:tcBorders/>
            <w:vAlign w:val="center"/>
          </w:tcPr>
          <w:p>
            <w:pPr>
              <w:pStyle w:val="TableContents"/>
              <w:bidi w:val="0"/>
              <w:spacing w:before="0" w:after="0"/>
              <w:ind w:left="0" w:right="0" w:hanging="0"/>
              <w:jc w:val="both"/>
              <w:rPr/>
            </w:pPr>
            <w:r>
              <w:rPr/>
              <w:t>​</w:t>
            </w:r>
          </w:p>
        </w:tc>
        <w:tc>
          <w:tcPr>
            <w:tcW w:w="285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Acknowledged by:</w:t>
            </w:r>
          </w:p>
        </w:tc>
      </w:tr>
      <w:tr>
        <w:trPr/>
        <w:tc>
          <w:tcPr>
            <w:tcW w:w="1876"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YOUDAO, INC.</w:t>
            </w:r>
          </w:p>
        </w:tc>
        <w:tc>
          <w:tcPr>
            <w:tcW w:w="109" w:type="dxa"/>
            <w:tcBorders/>
            <w:vAlign w:val="center"/>
          </w:tcPr>
          <w:p>
            <w:pPr>
              <w:pStyle w:val="TableContents"/>
              <w:bidi w:val="0"/>
              <w:spacing w:before="0" w:after="0"/>
              <w:ind w:left="0" w:right="0" w:hanging="0"/>
              <w:jc w:val="both"/>
              <w:rPr/>
            </w:pPr>
            <w:r>
              <w:rPr/>
              <w:t>​</w:t>
            </w:r>
          </w:p>
        </w:tc>
        <w:tc>
          <w:tcPr>
            <w:tcW w:w="285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[NETEASE, INC.</w:t>
            </w:r>
            <w:r>
              <w:rPr>
                <w:rFonts w:ascii="Times New Roman;Times;serif" w:hAnsi="Times New Roman;Times;serif"/>
                <w:sz w:val="20"/>
              </w:rPr>
              <w:t xml:space="preserve"> or its assignee</w:t>
            </w:r>
            <w:r>
              <w:rPr>
                <w:rFonts w:ascii="Times New Roman;Times;serif" w:hAnsi="Times New Roman;Times;serif"/>
                <w:b/>
                <w:sz w:val="20"/>
              </w:rPr>
              <w:t>]</w:t>
            </w:r>
          </w:p>
        </w:tc>
      </w:tr>
      <w:tr>
        <w:trPr/>
        <w:tc>
          <w:tcPr>
            <w:tcW w:w="187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2851" w:type="dxa"/>
            <w:tcBorders/>
            <w:vAlign w:val="center"/>
          </w:tcPr>
          <w:p>
            <w:pPr>
              <w:pStyle w:val="TableContents"/>
              <w:bidi w:val="0"/>
              <w:spacing w:before="0" w:after="0"/>
              <w:ind w:left="0" w:right="0" w:hanging="0"/>
              <w:jc w:val="both"/>
              <w:rPr/>
            </w:pPr>
            <w:r>
              <w:rPr/>
              <w:t>​</w:t>
            </w:r>
          </w:p>
        </w:tc>
      </w:tr>
      <w:tr>
        <w:trPr/>
        <w:tc>
          <w:tcPr>
            <w:tcW w:w="187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2851" w:type="dxa"/>
            <w:tcBorders/>
            <w:vAlign w:val="center"/>
          </w:tcPr>
          <w:p>
            <w:pPr>
              <w:pStyle w:val="TableContents"/>
              <w:bidi w:val="0"/>
              <w:spacing w:before="0" w:after="0"/>
              <w:ind w:left="0" w:right="0" w:hanging="0"/>
              <w:jc w:val="both"/>
              <w:rPr/>
            </w:pPr>
            <w:r>
              <w:rPr/>
              <w:t>​</w:t>
            </w:r>
          </w:p>
        </w:tc>
      </w:tr>
      <w:tr>
        <w:trPr/>
        <w:tc>
          <w:tcPr>
            <w:tcW w:w="187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285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r>
      <w:tr>
        <w:trPr/>
        <w:tc>
          <w:tcPr>
            <w:tcW w:w="1876"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Authorized Signatory</w:t>
            </w:r>
          </w:p>
        </w:tc>
        <w:tc>
          <w:tcPr>
            <w:tcW w:w="109" w:type="dxa"/>
            <w:tcBorders/>
            <w:vAlign w:val="center"/>
          </w:tcPr>
          <w:p>
            <w:pPr>
              <w:pStyle w:val="TableContents"/>
              <w:bidi w:val="0"/>
              <w:spacing w:before="0" w:after="0"/>
              <w:ind w:left="0" w:right="0" w:hanging="0"/>
              <w:jc w:val="both"/>
              <w:rPr/>
            </w:pPr>
            <w:r>
              <w:rPr/>
              <w:t>​</w:t>
            </w:r>
          </w:p>
        </w:tc>
        <w:tc>
          <w:tcPr>
            <w:tcW w:w="2851"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Authorized Signatory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2159" w:name="ntes-20231231xex4d51.htm"/>
      <w:bookmarkStart w:id="2160" w:name="ksntes20231231xex4d51"/>
      <w:bookmarkEnd w:id="2159"/>
      <w:bookmarkEnd w:id="2160"/>
      <w:r>
        <w:rPr/>
        <w:t>​</w:t>
      </w:r>
      <w:r>
        <w:br w:type="page"/>
      </w:r>
    </w:p>
    <w:p>
      <w:pPr>
        <w:pStyle w:val="TextBody"/>
        <w:bidi w:val="0"/>
        <w:spacing w:before="0" w:after="200"/>
        <w:ind w:left="0" w:right="0" w:hanging="0"/>
        <w:jc w:val="right"/>
        <w:rPr>
          <w:rFonts w:ascii="Times New Roman;Times;serif" w:hAnsi="Times New Roman;Times;serif"/>
          <w:b/>
          <w:sz w:val="20"/>
        </w:rPr>
      </w:pPr>
      <w:r>
        <w:rPr>
          <w:rFonts w:ascii="Times New Roman;Times;serif" w:hAnsi="Times New Roman;Times;serif"/>
          <w:b/>
          <w:sz w:val="20"/>
        </w:rPr>
        <w:t>Exhibit 4.51</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LOAN AGREEMENT</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This Loan Agreement (“</w:t>
      </w:r>
      <w:r>
        <w:rPr>
          <w:rFonts w:ascii="Times New Roman;Times;serif" w:hAnsi="Times New Roman;Times;serif"/>
          <w:b/>
          <w:sz w:val="20"/>
        </w:rPr>
        <w:t>this Agreement</w:t>
      </w:r>
      <w:r>
        <w:rPr>
          <w:rFonts w:ascii="Times New Roman;Times;serif" w:hAnsi="Times New Roman;Times;serif"/>
          <w:sz w:val="20"/>
        </w:rPr>
        <w:t>”) is entered into by and among the following parties on November 2, 2023:</w:t>
      </w:r>
    </w:p>
    <w:tbl>
      <w:tblPr>
        <w:tblW w:w="10205" w:type="dxa"/>
        <w:jc w:val="left"/>
        <w:tblInd w:w="0" w:type="dxa"/>
        <w:tblLayout w:type="fixed"/>
        <w:tblCellMar>
          <w:top w:w="0" w:type="dxa"/>
          <w:left w:w="0" w:type="dxa"/>
          <w:bottom w:w="0" w:type="dxa"/>
          <w:right w:w="0" w:type="dxa"/>
        </w:tblCellMar>
      </w:tblPr>
      <w:tblGrid>
        <w:gridCol w:w="23"/>
        <w:gridCol w:w="205"/>
        <w:gridCol w:w="9977"/>
      </w:tblGrid>
      <w:tr>
        <w:trPr/>
        <w:tc>
          <w:tcPr>
            <w:tcW w:w="2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w:t>
            </w:r>
          </w:p>
        </w:tc>
        <w:tc>
          <w:tcPr>
            <w:tcW w:w="997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Hangzhou NetEase Cloud Music Technology Co., Ltd. (“</w:t>
            </w:r>
            <w:r>
              <w:rPr>
                <w:rFonts w:ascii="Times New Roman;Times;serif" w:hAnsi="Times New Roman;Times;serif"/>
                <w:b/>
                <w:sz w:val="20"/>
              </w:rPr>
              <w:t>Lender</w:t>
            </w:r>
            <w:r>
              <w:rPr>
                <w:rFonts w:ascii="Times New Roman;Times;serif" w:hAnsi="Times New Roman;Times;serif"/>
                <w:sz w:val="20"/>
              </w:rPr>
              <w:t>”), a wholly foreign owned enterprise registered in Hangzhou, People’s Republic of China (“</w:t>
            </w:r>
            <w:r>
              <w:rPr>
                <w:rFonts w:ascii="Times New Roman;Times;serif" w:hAnsi="Times New Roman;Times;serif"/>
                <w:b/>
                <w:sz w:val="20"/>
              </w:rPr>
              <w:t>PRC</w:t>
            </w:r>
            <w:r>
              <w:rPr>
                <w:rFonts w:ascii="Times New Roman;Times;serif" w:hAnsi="Times New Roman;Times;serif"/>
                <w:sz w:val="20"/>
              </w:rPr>
              <w:t>”) with its address at Room 1201, Block A, Hangzhou International Expo Center, No. 353 Benjing Avenue, Qianjiang Century City, Xiaoshan District, Hangzhou, Zhejiang;; and</w:t>
            </w:r>
          </w:p>
        </w:tc>
      </w:tr>
    </w:tbl>
    <w:p>
      <w:pPr>
        <w:pStyle w:val="TextBody"/>
        <w:pBdr/>
        <w:bidi w:val="0"/>
        <w:spacing w:before="0" w:after="200"/>
        <w:ind w:left="720" w:right="0" w:hanging="0"/>
        <w:jc w:val="both"/>
        <w:rPr/>
      </w:pPr>
      <w:r>
        <w:rPr>
          <w:rFonts w:ascii="Times New Roman;Times;serif" w:hAnsi="Times New Roman;Times;serif"/>
          <w:b w:val="false"/>
          <w:i w:val="false"/>
          <w:caps w:val="false"/>
          <w:smallCaps w:val="false"/>
          <w:sz w:val="20"/>
        </w:rPr>
        <w:t>(2)</w:t>
      </w:r>
      <w:r>
        <w:rPr>
          <w:rFonts w:ascii="Times New Roman;Times;serif" w:hAnsi="Times New Roman;Times;serif"/>
          <w:sz w:val="20"/>
        </w:rPr>
        <w:t xml:space="preserve">Wei Li, a PRC citizen, whose ID number is </w:t>
      </w:r>
      <w:r>
        <w:rPr>
          <w:rFonts w:ascii="Times New Roman;Times;serif" w:hAnsi="Times New Roman;Times;serif"/>
          <w:sz w:val="20"/>
          <w:u w:val="single"/>
        </w:rPr>
        <w:t>​ ​​ ​​ ​</w:t>
      </w:r>
      <w:r>
        <w:rPr>
          <w:rFonts w:eastAsia="Times New Roman;Times;serif"/>
          <w:sz w:val="20"/>
        </w:rPr>
        <w:t>（</w:t>
      </w:r>
      <w:r>
        <w:rPr>
          <w:rFonts w:ascii="Times New Roman;Times;serif" w:hAnsi="Times New Roman;Times;serif"/>
          <w:sz w:val="20"/>
        </w:rPr>
        <w:t>the “</w:t>
      </w:r>
      <w:r>
        <w:rPr>
          <w:rFonts w:ascii="Times New Roman;Times;serif" w:hAnsi="Times New Roman;Times;serif"/>
          <w:b/>
          <w:sz w:val="20"/>
        </w:rPr>
        <w:t>Borrower</w:t>
      </w:r>
      <w:r>
        <w:rPr>
          <w:rFonts w:ascii="Times New Roman;Times;serif" w:hAnsi="Times New Roman;Times;serif"/>
          <w:sz w:val="20"/>
        </w:rPr>
        <w:t>”</w:t>
      </w:r>
      <w:r>
        <w:rPr>
          <w:rFonts w:eastAsia="Times New Roman;Times;serif"/>
          <w:sz w:val="20"/>
        </w:rPr>
        <w:t>）</w:t>
      </w:r>
      <w:r>
        <w:rPr>
          <w:rFonts w:ascii="Times New Roman;Times;serif" w:hAnsi="Times New Roman;Times;serif"/>
          <w:sz w:val="20"/>
        </w:rPr>
        <w:t>.</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Lender and Borrower are hereinafter jointly referred to as the “</w:t>
      </w:r>
      <w:r>
        <w:rPr>
          <w:rFonts w:ascii="Times New Roman;Times;serif" w:hAnsi="Times New Roman;Times;serif"/>
          <w:b/>
          <w:sz w:val="20"/>
        </w:rPr>
        <w:t>Parties</w:t>
      </w:r>
      <w:r>
        <w:rPr>
          <w:rFonts w:ascii="Times New Roman;Times;serif" w:hAnsi="Times New Roman;Times;serif"/>
          <w:sz w:val="20"/>
        </w:rPr>
        <w:t>” and individually, as a “</w:t>
      </w:r>
      <w:r>
        <w:rPr>
          <w:rFonts w:ascii="Times New Roman;Times;serif" w:hAnsi="Times New Roman;Times;serif"/>
          <w:b/>
          <w:sz w:val="20"/>
        </w:rPr>
        <w:t>Party</w:t>
      </w:r>
      <w:r>
        <w:rPr>
          <w:rFonts w:ascii="Times New Roman;Times;serif" w:hAnsi="Times New Roman;Times;serif"/>
          <w:sz w:val="20"/>
        </w:rPr>
        <w:t>”.</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w:t>
      </w:r>
    </w:p>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w:t>
            </w:r>
          </w:p>
        </w:tc>
        <w:tc>
          <w:tcPr>
            <w:tcW w:w="998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Borrower intends to make an investment of RMB 100,000 (the “</w:t>
            </w:r>
            <w:r>
              <w:rPr>
                <w:rFonts w:ascii="Times New Roman;Times;serif" w:hAnsi="Times New Roman;Times;serif"/>
                <w:b/>
                <w:sz w:val="20"/>
              </w:rPr>
              <w:t>Capital Contribution Amount”</w:t>
            </w:r>
            <w:r>
              <w:rPr>
                <w:rFonts w:ascii="Times New Roman;Times;serif" w:hAnsi="Times New Roman;Times;serif"/>
                <w:sz w:val="20"/>
              </w:rPr>
              <w:t>) in the registered capital of Hangzhou Yuedu Technology Co., Ltd., a limited liability company registered in Hangzhou, PRC with its address at Room 1202, Block A, Hangzhou International Expo Center, No. 353 Benjing Avenue, Qianjiang Century City, Ningwei Street, Xiaoshan District, Hangzhou, Zhejiang (the “</w:t>
            </w:r>
            <w:r>
              <w:rPr>
                <w:rFonts w:ascii="Times New Roman;Times;serif" w:hAnsi="Times New Roman;Times;serif"/>
                <w:b/>
                <w:sz w:val="20"/>
              </w:rPr>
              <w:t>Domestic Company</w:t>
            </w:r>
            <w:r>
              <w:rPr>
                <w:rFonts w:ascii="Times New Roman;Times;serif" w:hAnsi="Times New Roman;Times;serif"/>
                <w:sz w:val="20"/>
              </w:rPr>
              <w:t>”), in return for which the Borrower has acquired 1% (the “</w:t>
            </w:r>
            <w:r>
              <w:rPr>
                <w:rFonts w:ascii="Times New Roman;Times;serif" w:hAnsi="Times New Roman;Times;serif"/>
                <w:b/>
                <w:sz w:val="20"/>
              </w:rPr>
              <w:t>Target Equity</w:t>
            </w:r>
            <w:r>
              <w:rPr>
                <w:rFonts w:ascii="Times New Roman;Times;serif" w:hAnsi="Times New Roman;Times;serif"/>
                <w:sz w:val="20"/>
              </w:rPr>
              <w:t>”) of the equity interest in the Domestic Company.</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B.</w:t>
            </w:r>
          </w:p>
        </w:tc>
        <w:tc>
          <w:tcPr>
            <w:tcW w:w="998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Lender agrees to provide to the Borrower a loan in an amount equal to the Capital Contribution Amount in accordance with this Agreement, in order for Borrower to have sufficient funds to make such capital contribution in return for the Target Equity. Lender may in its absolute discretion provide to Borrower additional loans from time to time in accordance with this Agreement, in amounts as agreed to by Lender and Borrower.</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C.</w:t>
            </w:r>
          </w:p>
        </w:tc>
        <w:tc>
          <w:tcPr>
            <w:tcW w:w="998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Parties hereto desire to enter into this Agreement to clarify and confirm the rights and obligations of Lender and Borrower.</w:t>
            </w:r>
          </w:p>
        </w:tc>
      </w:tr>
    </w:tbl>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b/>
          <w:sz w:val="20"/>
        </w:rPr>
        <w:t>Therefore</w:t>
      </w:r>
      <w:r>
        <w:rPr>
          <w:rFonts w:ascii="Times New Roman;Times;serif" w:hAnsi="Times New Roman;Times;serif"/>
          <w:sz w:val="20"/>
        </w:rPr>
        <w:t>, the Parties enter into this Agreement as follows upon friendly negotiation:</w:t>
      </w:r>
    </w:p>
    <w:tbl>
      <w:tblPr>
        <w:tblW w:w="610" w:type="dxa"/>
        <w:jc w:val="left"/>
        <w:tblInd w:w="0" w:type="dxa"/>
        <w:tblLayout w:type="fixed"/>
        <w:tblCellMar>
          <w:top w:w="0" w:type="dxa"/>
          <w:left w:w="0" w:type="dxa"/>
          <w:bottom w:w="0" w:type="dxa"/>
          <w:right w:w="0" w:type="dxa"/>
        </w:tblCellMar>
      </w:tblPr>
      <w:tblGrid>
        <w:gridCol w:w="170"/>
        <w:gridCol w:w="440"/>
      </w:tblGrid>
      <w:tr>
        <w:trPr/>
        <w:tc>
          <w:tcPr>
            <w:tcW w:w="170"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1.</w:t>
            </w:r>
          </w:p>
        </w:tc>
        <w:tc>
          <w:tcPr>
            <w:tcW w:w="440" w:type="dxa"/>
            <w:tcBorders/>
            <w:vAlign w:val="center"/>
          </w:tcPr>
          <w:p>
            <w:pPr>
              <w:pStyle w:val="TableContents"/>
              <w:bidi w:val="0"/>
              <w:spacing w:before="0" w:after="200"/>
              <w:jc w:val="both"/>
              <w:rPr>
                <w:rFonts w:ascii="Times New Roman;Times;serif" w:hAnsi="Times New Roman;Times;serif"/>
                <w:sz w:val="20"/>
                <w:u w:val="single"/>
              </w:rPr>
            </w:pPr>
            <w:r>
              <w:rPr>
                <w:rFonts w:ascii="Times New Roman;Times;serif" w:hAnsi="Times New Roman;Times;serif"/>
                <w:sz w:val="20"/>
                <w:u w:val="single"/>
              </w:rPr>
              <w:t>Loan</w:t>
            </w:r>
          </w:p>
        </w:tc>
      </w:tr>
    </w:tbl>
    <w:tbl>
      <w:tblPr>
        <w:tblW w:w="10205" w:type="dxa"/>
        <w:jc w:val="left"/>
        <w:tblInd w:w="0" w:type="dxa"/>
        <w:tblLayout w:type="fixed"/>
        <w:tblCellMar>
          <w:top w:w="0" w:type="dxa"/>
          <w:left w:w="0" w:type="dxa"/>
          <w:bottom w:w="0" w:type="dxa"/>
          <w:right w:w="0" w:type="dxa"/>
        </w:tblCellMar>
      </w:tblPr>
      <w:tblGrid>
        <w:gridCol w:w="23"/>
        <w:gridCol w:w="282"/>
        <w:gridCol w:w="9900"/>
      </w:tblGrid>
      <w:tr>
        <w:trPr/>
        <w:tc>
          <w:tcPr>
            <w:tcW w:w="2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1.1.</w:t>
            </w:r>
          </w:p>
        </w:tc>
        <w:tc>
          <w:tcPr>
            <w:tcW w:w="990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On and subject to the terms and conditions hereof, Lender provides Borrower with a loan in an aggregate amount of RMB100,000Yuan on the date hereof (the “</w:t>
            </w:r>
            <w:r>
              <w:rPr>
                <w:rFonts w:ascii="Times New Roman;Times;serif" w:hAnsi="Times New Roman;Times;serif"/>
                <w:b/>
                <w:sz w:val="20"/>
              </w:rPr>
              <w:t>Loan</w:t>
            </w:r>
            <w:r>
              <w:rPr>
                <w:rFonts w:ascii="Times New Roman;Times;serif" w:hAnsi="Times New Roman;Times;serif"/>
                <w:sz w:val="20"/>
              </w:rPr>
              <w:t>”, which term shall be deemed to include Additional Loans (as defined in the following sentence), if any). Lender and Borrower further agree that Lender may in its absolute discretion provide to Borrower one or more additional loans (“</w:t>
            </w:r>
            <w:r>
              <w:rPr>
                <w:rFonts w:ascii="Times New Roman;Times;serif" w:hAnsi="Times New Roman;Times;serif"/>
                <w:b/>
                <w:sz w:val="20"/>
              </w:rPr>
              <w:t>Additional Loan</w:t>
            </w:r>
            <w:r>
              <w:rPr>
                <w:rFonts w:ascii="Times New Roman;Times;serif" w:hAnsi="Times New Roman;Times;serif"/>
                <w:sz w:val="20"/>
              </w:rPr>
              <w:t>”) from time to time in such amounts as agreed to by Lender and Borrower, provided that, for each such Additional Loan, Lender and Borrower shall execute a Supplemental Agreement to this Agreement substantially in the</w:t>
            </w:r>
          </w:p>
        </w:tc>
      </w:tr>
    </w:tbl>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1440" w:right="0" w:hanging="0"/>
        <w:jc w:val="both"/>
        <w:rPr>
          <w:rFonts w:ascii="Times New Roman;Times;serif" w:hAnsi="Times New Roman;Times;serif"/>
          <w:sz w:val="20"/>
        </w:rPr>
      </w:pPr>
      <w:r>
        <w:rPr>
          <w:rFonts w:ascii="Times New Roman;Times;serif" w:hAnsi="Times New Roman;Times;serif"/>
          <w:sz w:val="20"/>
        </w:rPr>
        <w:t xml:space="preserve">form attached hereto as </w:t>
      </w:r>
      <w:r>
        <w:rPr>
          <w:rFonts w:ascii="Times New Roman;Times;serif" w:hAnsi="Times New Roman;Times;serif"/>
          <w:sz w:val="20"/>
          <w:u w:val="single"/>
        </w:rPr>
        <w:t>Exhibit A</w:t>
      </w:r>
      <w:r>
        <w:rPr>
          <w:rFonts w:ascii="Times New Roman;Times;serif" w:hAnsi="Times New Roman;Times;serif"/>
          <w:sz w:val="20"/>
        </w:rPr>
        <w:t>. Both Parties agree and confirm that the Loan shall be interest-free, except as provided in Article 1.5 below. The Borrower agrees to use the Loan to pay for the Capital Contribution Amount to acquire the Target Equity and, unless with the prior written consent of the Lender, will not use the Loan for any other purpose.</w:t>
      </w:r>
    </w:p>
    <w:tbl>
      <w:tblPr>
        <w:tblW w:w="10205" w:type="dxa"/>
        <w:jc w:val="left"/>
        <w:tblInd w:w="0" w:type="dxa"/>
        <w:tblLayout w:type="fixed"/>
        <w:tblCellMar>
          <w:top w:w="0" w:type="dxa"/>
          <w:left w:w="0" w:type="dxa"/>
          <w:bottom w:w="0" w:type="dxa"/>
          <w:right w:w="0" w:type="dxa"/>
        </w:tblCellMar>
      </w:tblPr>
      <w:tblGrid>
        <w:gridCol w:w="23"/>
        <w:gridCol w:w="285"/>
        <w:gridCol w:w="9897"/>
      </w:tblGrid>
      <w:tr>
        <w:trPr/>
        <w:tc>
          <w:tcPr>
            <w:tcW w:w="2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1.2.</w:t>
            </w:r>
          </w:p>
        </w:tc>
        <w:tc>
          <w:tcPr>
            <w:tcW w:w="989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term of this Agreement (“</w:t>
            </w:r>
            <w:r>
              <w:rPr>
                <w:rFonts w:ascii="Times New Roman;Times;serif" w:hAnsi="Times New Roman;Times;serif"/>
                <w:b/>
                <w:sz w:val="20"/>
              </w:rPr>
              <w:t>Term</w:t>
            </w:r>
            <w:r>
              <w:rPr>
                <w:rFonts w:ascii="Times New Roman;Times;serif" w:hAnsi="Times New Roman;Times;serif"/>
                <w:sz w:val="20"/>
              </w:rPr>
              <w:t>”) shall be ten (10) years from the date of this Agreement. Unless otherwise indicated by the Lender at any time prior to its expiration, the Term will be automatically extended for another ten (10) years, and so forth thereafter. Subject to Article 1.3, Borrower shall repay all amounts outstanding in respect of the Loan (including any penalty or interest thereon) according to Article 1.4 at the expiry or termination of the Term.</w:t>
            </w:r>
          </w:p>
        </w:tc>
      </w:tr>
    </w:tbl>
    <w:tbl>
      <w:tblPr>
        <w:tblW w:w="10205" w:type="dxa"/>
        <w:jc w:val="left"/>
        <w:tblInd w:w="0" w:type="dxa"/>
        <w:tblLayout w:type="fixed"/>
        <w:tblCellMar>
          <w:top w:w="0" w:type="dxa"/>
          <w:left w:w="0" w:type="dxa"/>
          <w:bottom w:w="0" w:type="dxa"/>
          <w:right w:w="0" w:type="dxa"/>
        </w:tblCellMar>
      </w:tblPr>
      <w:tblGrid>
        <w:gridCol w:w="23"/>
        <w:gridCol w:w="285"/>
        <w:gridCol w:w="9897"/>
      </w:tblGrid>
      <w:tr>
        <w:trPr/>
        <w:tc>
          <w:tcPr>
            <w:tcW w:w="2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1.3.</w:t>
            </w:r>
          </w:p>
        </w:tc>
        <w:tc>
          <w:tcPr>
            <w:tcW w:w="989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Borrower shall not, without Lender’s prior written consent, which may be granted at Lender’s sole and absolute discretion on a case by case basis, make any prepayment of the Loan prior to the expiration of the Term, except that in the event that any one or more of the following circumstances occur, the entire amount of the Loan shall become immediately due and payable at the Lender’s option, without requiring any notice period on the part of the Lender, in accordance with Article 1.4:</w:t>
            </w:r>
          </w:p>
        </w:tc>
      </w:tr>
    </w:tbl>
    <w:tbl>
      <w:tblPr>
        <w:tblW w:w="10205" w:type="dxa"/>
        <w:jc w:val="left"/>
        <w:tblInd w:w="0" w:type="dxa"/>
        <w:tblLayout w:type="fixed"/>
        <w:tblCellMar>
          <w:top w:w="0" w:type="dxa"/>
          <w:left w:w="0" w:type="dxa"/>
          <w:bottom w:w="0" w:type="dxa"/>
          <w:right w:w="0" w:type="dxa"/>
        </w:tblCellMar>
      </w:tblPr>
      <w:tblGrid>
        <w:gridCol w:w="23"/>
        <w:gridCol w:w="229"/>
        <w:gridCol w:w="9953"/>
      </w:tblGrid>
      <w:tr>
        <w:trPr/>
        <w:tc>
          <w:tcPr>
            <w:tcW w:w="2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w:t>
            </w:r>
          </w:p>
        </w:tc>
        <w:tc>
          <w:tcPr>
            <w:tcW w:w="9953"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Borrower becomes deceased, bankrupt, mentally incapacitated or is otherwise lacking in or has limitations in civil capacity;</w:t>
            </w:r>
          </w:p>
        </w:tc>
      </w:tr>
    </w:tbl>
    <w:tbl>
      <w:tblPr>
        <w:tblW w:w="10205" w:type="dxa"/>
        <w:jc w:val="left"/>
        <w:tblInd w:w="0" w:type="dxa"/>
        <w:tblLayout w:type="fixed"/>
        <w:tblCellMar>
          <w:top w:w="0" w:type="dxa"/>
          <w:left w:w="0" w:type="dxa"/>
          <w:bottom w:w="0" w:type="dxa"/>
          <w:right w:w="0" w:type="dxa"/>
        </w:tblCellMar>
      </w:tblPr>
      <w:tblGrid>
        <w:gridCol w:w="23"/>
        <w:gridCol w:w="211"/>
        <w:gridCol w:w="9971"/>
      </w:tblGrid>
      <w:tr>
        <w:trPr/>
        <w:tc>
          <w:tcPr>
            <w:tcW w:w="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(b)</w:t>
            </w:r>
          </w:p>
        </w:tc>
        <w:tc>
          <w:tcPr>
            <w:tcW w:w="9971"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Borrower, for any reason, ceases to be the holder of equity interests in the Domestic Company or reduces his proportion of equity interests in the Domestic Company except for transfers of equity interests in the Domestic Company to which Lender has consented;</w:t>
            </w:r>
          </w:p>
        </w:tc>
      </w:tr>
    </w:tbl>
    <w:tbl>
      <w:tblPr>
        <w:tblW w:w="10205" w:type="dxa"/>
        <w:jc w:val="left"/>
        <w:tblInd w:w="0" w:type="dxa"/>
        <w:tblLayout w:type="fixed"/>
        <w:tblCellMar>
          <w:top w:w="0" w:type="dxa"/>
          <w:left w:w="0" w:type="dxa"/>
          <w:bottom w:w="0" w:type="dxa"/>
          <w:right w:w="0" w:type="dxa"/>
        </w:tblCellMar>
      </w:tblPr>
      <w:tblGrid>
        <w:gridCol w:w="23"/>
        <w:gridCol w:w="178"/>
        <w:gridCol w:w="10004"/>
      </w:tblGrid>
      <w:tr>
        <w:trPr/>
        <w:tc>
          <w:tcPr>
            <w:tcW w:w="2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(c)</w:t>
            </w:r>
          </w:p>
        </w:tc>
        <w:tc>
          <w:tcPr>
            <w:tcW w:w="10004"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Borrower (i) ceases to be employed by or to provide service to Lender or any affiliate of Lender for any reason, (ii) breaches his obligations set forth in the Equity Pledge Agreement, the Shareholder Voting Right Trust Agreement, the Exclusive Purchase Option Agreement or the Operating Agreement (collectively, the “</w:t>
            </w:r>
            <w:r>
              <w:rPr>
                <w:rFonts w:ascii="Times New Roman;Times;serif" w:hAnsi="Times New Roman;Times;serif"/>
                <w:b/>
                <w:sz w:val="20"/>
              </w:rPr>
              <w:t>Transaction Documents</w:t>
            </w:r>
            <w:r>
              <w:rPr>
                <w:rFonts w:ascii="Times New Roman;Times;serif" w:hAnsi="Times New Roman;Times;serif"/>
                <w:sz w:val="20"/>
              </w:rPr>
              <w:t>”) or breaches his obligations set forth in this Agreement, or (iii) engages in any criminal act or is involved in any criminal activities; provided, that upon the occurrence of any of (i), (ii) or (iii) above, Borrower shall transfer his rights and obligation under this Agreement, together with his rights and obligations under the Transaction Documents, to a person designated by Lender and shall complete such transfer within 10 days after the occurrence of circumstance under this Article 1.3(c);</w:t>
            </w:r>
          </w:p>
        </w:tc>
      </w:tr>
    </w:tbl>
    <w:tbl>
      <w:tblPr>
        <w:tblW w:w="10205" w:type="dxa"/>
        <w:jc w:val="left"/>
        <w:tblInd w:w="0" w:type="dxa"/>
        <w:tblLayout w:type="fixed"/>
        <w:tblCellMar>
          <w:top w:w="0" w:type="dxa"/>
          <w:left w:w="0" w:type="dxa"/>
          <w:bottom w:w="0" w:type="dxa"/>
          <w:right w:w="0" w:type="dxa"/>
        </w:tblCellMar>
      </w:tblPr>
      <w:tblGrid>
        <w:gridCol w:w="23"/>
        <w:gridCol w:w="228"/>
        <w:gridCol w:w="9954"/>
      </w:tblGrid>
      <w:tr>
        <w:trPr/>
        <w:tc>
          <w:tcPr>
            <w:tcW w:w="2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(d)</w:t>
            </w:r>
          </w:p>
        </w:tc>
        <w:tc>
          <w:tcPr>
            <w:tcW w:w="9954"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Lender is permitted to acquire a direct equity interest in Domestic Company due to a change in PRC laws or regulations or the application or interpretation thereof; or</w:t>
            </w:r>
          </w:p>
        </w:tc>
      </w:tr>
    </w:tbl>
    <w:p>
      <w:pPr>
        <w:pStyle w:val="TextBody"/>
        <w:pBdr/>
        <w:bidi w:val="0"/>
        <w:spacing w:before="0" w:after="200"/>
        <w:ind w:left="1440" w:right="0" w:hanging="720"/>
        <w:jc w:val="both"/>
        <w:rPr/>
      </w:pPr>
      <w:r>
        <w:rPr/>
        <w:t>​</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12"/>
        <w:gridCol w:w="9970"/>
      </w:tblGrid>
      <w:tr>
        <w:trPr/>
        <w:tc>
          <w:tcPr>
            <w:tcW w:w="2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(e)</w:t>
            </w:r>
          </w:p>
        </w:tc>
        <w:tc>
          <w:tcPr>
            <w:tcW w:w="997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 court or other government authority deems this Agreement or any of the Transaction Documents or a substantial portion thereof to be invalid, illegal or unenforceable.</w:t>
            </w:r>
          </w:p>
        </w:tc>
      </w:tr>
    </w:tbl>
    <w:p>
      <w:pPr>
        <w:pStyle w:val="TextBody"/>
        <w:bidi w:val="0"/>
        <w:spacing w:before="0" w:after="200"/>
        <w:ind w:left="1440" w:right="0" w:hanging="0"/>
        <w:jc w:val="both"/>
        <w:rPr>
          <w:rFonts w:ascii="Times New Roman;Times;serif" w:hAnsi="Times New Roman;Times;serif"/>
          <w:sz w:val="20"/>
        </w:rPr>
      </w:pPr>
      <w:r>
        <w:rPr>
          <w:rFonts w:ascii="Times New Roman;Times;serif" w:hAnsi="Times New Roman;Times;serif"/>
          <w:sz w:val="20"/>
        </w:rPr>
        <w:t>Notwithstanding the foregoing, Lender may at any time, in its sole and absolute discretion, issue a written repayment notice to Borrower requiring the repayment of the Loan, upon the occurrence of which the entire amount of the Loan shall become due and payable upon the expiry of thirty (30) days from the date of Lender’s written notice to Borrower.</w:t>
      </w:r>
    </w:p>
    <w:tbl>
      <w:tblPr>
        <w:tblW w:w="10205" w:type="dxa"/>
        <w:jc w:val="left"/>
        <w:tblInd w:w="0" w:type="dxa"/>
        <w:tblLayout w:type="fixed"/>
        <w:tblCellMar>
          <w:top w:w="0" w:type="dxa"/>
          <w:left w:w="0" w:type="dxa"/>
          <w:bottom w:w="0" w:type="dxa"/>
          <w:right w:w="0" w:type="dxa"/>
        </w:tblCellMar>
      </w:tblPr>
      <w:tblGrid>
        <w:gridCol w:w="23"/>
        <w:gridCol w:w="289"/>
        <w:gridCol w:w="9893"/>
      </w:tblGrid>
      <w:tr>
        <w:trPr/>
        <w:tc>
          <w:tcPr>
            <w:tcW w:w="23"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1.4.</w:t>
            </w:r>
          </w:p>
        </w:tc>
        <w:tc>
          <w:tcPr>
            <w:tcW w:w="9893"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Both Parties hereby agree and confirm that Borrower may repay the Loan only in one of the following repayment methods as determined by Lender in its sole discretion, and Borrower agrees to take all actions (including executing and delivering documents or calling shareholders' meetings) necessary or advisable to implement either of these methods:</w:t>
            </w:r>
          </w:p>
        </w:tc>
      </w:tr>
    </w:tbl>
    <w:tbl>
      <w:tblPr>
        <w:tblW w:w="10205" w:type="dxa"/>
        <w:jc w:val="left"/>
        <w:tblInd w:w="0" w:type="dxa"/>
        <w:tblLayout w:type="fixed"/>
        <w:tblCellMar>
          <w:top w:w="0" w:type="dxa"/>
          <w:left w:w="0" w:type="dxa"/>
          <w:bottom w:w="0" w:type="dxa"/>
          <w:right w:w="0" w:type="dxa"/>
        </w:tblCellMar>
      </w:tblPr>
      <w:tblGrid>
        <w:gridCol w:w="23"/>
        <w:gridCol w:w="205"/>
        <w:gridCol w:w="9977"/>
      </w:tblGrid>
      <w:tr>
        <w:trPr/>
        <w:tc>
          <w:tcPr>
            <w:tcW w:w="2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w:t>
            </w:r>
          </w:p>
        </w:tc>
        <w:tc>
          <w:tcPr>
            <w:tcW w:w="997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Equity Option. If selected by Lender, Borrower shall repay the Loan by transferring his equity interests in the Domestic Company (“</w:t>
            </w:r>
            <w:r>
              <w:rPr>
                <w:rFonts w:ascii="Times New Roman;Times;serif" w:hAnsi="Times New Roman;Times;serif"/>
                <w:b/>
                <w:sz w:val="20"/>
              </w:rPr>
              <w:t>Borrower’s Equity</w:t>
            </w:r>
            <w:r>
              <w:rPr>
                <w:rFonts w:ascii="Times New Roman;Times;serif" w:hAnsi="Times New Roman;Times;serif"/>
                <w:sz w:val="20"/>
              </w:rPr>
              <w:t>”) to Lender or Lender’s designated persons; or</w:t>
            </w:r>
          </w:p>
        </w:tc>
      </w:tr>
    </w:tbl>
    <w:tbl>
      <w:tblPr>
        <w:tblW w:w="10205" w:type="dxa"/>
        <w:jc w:val="left"/>
        <w:tblInd w:w="0" w:type="dxa"/>
        <w:tblLayout w:type="fixed"/>
        <w:tblCellMar>
          <w:top w:w="0" w:type="dxa"/>
          <w:left w:w="0" w:type="dxa"/>
          <w:bottom w:w="0" w:type="dxa"/>
          <w:right w:w="0" w:type="dxa"/>
        </w:tblCellMar>
      </w:tblPr>
      <w:tblGrid>
        <w:gridCol w:w="23"/>
        <w:gridCol w:w="199"/>
        <w:gridCol w:w="9983"/>
      </w:tblGrid>
      <w:tr>
        <w:trPr/>
        <w:tc>
          <w:tcPr>
            <w:tcW w:w="2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(b)</w:t>
            </w:r>
          </w:p>
        </w:tc>
        <w:tc>
          <w:tcPr>
            <w:tcW w:w="9983"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Alternative Repayment. As an alternative to the repayment method specified in Article 1.4(a) above, Lender may in its sole discretion determine that the Loan shall be repaid by another method upon delivering a written notice of such decision to Borrower. In such case, Borrower shall pay to Lender the outstanding amount of the Loan (including any interest) in cash or other property, as determined by Lender, following any conditions or procedures specified by Lender.</w:t>
            </w:r>
          </w:p>
        </w:tc>
      </w:tr>
    </w:tbl>
    <w:tbl>
      <w:tblPr>
        <w:tblW w:w="10205" w:type="dxa"/>
        <w:jc w:val="left"/>
        <w:tblInd w:w="0" w:type="dxa"/>
        <w:tblLayout w:type="fixed"/>
        <w:tblCellMar>
          <w:top w:w="0" w:type="dxa"/>
          <w:left w:w="0" w:type="dxa"/>
          <w:bottom w:w="0" w:type="dxa"/>
          <w:right w:w="0" w:type="dxa"/>
        </w:tblCellMar>
      </w:tblPr>
      <w:tblGrid>
        <w:gridCol w:w="23"/>
        <w:gridCol w:w="284"/>
        <w:gridCol w:w="9898"/>
      </w:tblGrid>
      <w:tr>
        <w:trPr/>
        <w:tc>
          <w:tcPr>
            <w:tcW w:w="2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1.5.</w:t>
            </w:r>
          </w:p>
        </w:tc>
        <w:tc>
          <w:tcPr>
            <w:tcW w:w="9898"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If the transfer price for Borrower’s Equity pursuant to Article 1.4(a) or the other consideration provided by Borrower pursuant to Article 1.4(b) exceeds the outstanding principal of the Loan hereunder, then such excess shall be deemed the aggregate interest upon the loan (calculated by the highest permitted by the PRC laws) and financing cost. Borrower shall repay all interest on the Loan, together with principal and financing cost, at the expiry or termination of the Term or when otherwise required hereunder.</w:t>
            </w:r>
          </w:p>
        </w:tc>
      </w:tr>
    </w:tbl>
    <w:tbl>
      <w:tblPr>
        <w:tblW w:w="10205" w:type="dxa"/>
        <w:jc w:val="left"/>
        <w:tblInd w:w="0" w:type="dxa"/>
        <w:tblLayout w:type="fixed"/>
        <w:tblCellMar>
          <w:top w:w="0" w:type="dxa"/>
          <w:left w:w="0" w:type="dxa"/>
          <w:bottom w:w="0" w:type="dxa"/>
          <w:right w:w="0" w:type="dxa"/>
        </w:tblCellMar>
      </w:tblPr>
      <w:tblGrid>
        <w:gridCol w:w="23"/>
        <w:gridCol w:w="287"/>
        <w:gridCol w:w="9895"/>
      </w:tblGrid>
      <w:tr>
        <w:trPr/>
        <w:tc>
          <w:tcPr>
            <w:tcW w:w="2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1.6.</w:t>
            </w:r>
          </w:p>
        </w:tc>
        <w:tc>
          <w:tcPr>
            <w:tcW w:w="989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Provided Borrower repays the Loan by transferring all of Borrower’s Equity to Lender or Lender’s designated persons pursuant to Article 1.4(a) or provides the other required consideration pursuant to Article 1.4(b), and subject to Borrower’s indemnification obligations set forth in Article 4.2 herein, Borrower shall have no further obligation to Lender for any principal, interest or penalty (if any) under the Loan.</w:t>
            </w:r>
          </w:p>
        </w:tc>
      </w:tr>
    </w:tbl>
    <w:tbl>
      <w:tblPr>
        <w:tblW w:w="10205" w:type="dxa"/>
        <w:jc w:val="left"/>
        <w:tblInd w:w="0" w:type="dxa"/>
        <w:tblLayout w:type="fixed"/>
        <w:tblCellMar>
          <w:top w:w="0" w:type="dxa"/>
          <w:left w:w="0" w:type="dxa"/>
          <w:bottom w:w="0" w:type="dxa"/>
          <w:right w:w="0" w:type="dxa"/>
        </w:tblCellMar>
      </w:tblPr>
      <w:tblGrid>
        <w:gridCol w:w="23"/>
        <w:gridCol w:w="319"/>
        <w:gridCol w:w="9863"/>
      </w:tblGrid>
      <w:tr>
        <w:trPr/>
        <w:tc>
          <w:tcPr>
            <w:tcW w:w="2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1.7.</w:t>
            </w:r>
          </w:p>
        </w:tc>
        <w:tc>
          <w:tcPr>
            <w:tcW w:w="9863"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Any part or whole of the Loan repaid by Borrower may not be re-borrowed under this Agreement without Lender’s consent.</w:t>
            </w:r>
          </w:p>
        </w:tc>
      </w:tr>
    </w:tbl>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2920" w:type="dxa"/>
        <w:jc w:val="left"/>
        <w:tblInd w:w="0" w:type="dxa"/>
        <w:tblLayout w:type="fixed"/>
        <w:tblCellMar>
          <w:top w:w="0" w:type="dxa"/>
          <w:left w:w="0" w:type="dxa"/>
          <w:bottom w:w="0" w:type="dxa"/>
          <w:right w:w="0" w:type="dxa"/>
        </w:tblCellMar>
      </w:tblPr>
      <w:tblGrid>
        <w:gridCol w:w="170"/>
        <w:gridCol w:w="2750"/>
      </w:tblGrid>
      <w:tr>
        <w:trPr/>
        <w:tc>
          <w:tcPr>
            <w:tcW w:w="170"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2.</w:t>
            </w:r>
          </w:p>
        </w:tc>
        <w:tc>
          <w:tcPr>
            <w:tcW w:w="2750"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Representations and Warranties</w:t>
            </w:r>
          </w:p>
        </w:tc>
      </w:tr>
    </w:tbl>
    <w:tbl>
      <w:tblPr>
        <w:tblW w:w="10205" w:type="dxa"/>
        <w:jc w:val="left"/>
        <w:tblInd w:w="0" w:type="dxa"/>
        <w:tblLayout w:type="fixed"/>
        <w:tblCellMar>
          <w:top w:w="0" w:type="dxa"/>
          <w:left w:w="0" w:type="dxa"/>
          <w:bottom w:w="0" w:type="dxa"/>
          <w:right w:w="0" w:type="dxa"/>
        </w:tblCellMar>
      </w:tblPr>
      <w:tblGrid>
        <w:gridCol w:w="23"/>
        <w:gridCol w:w="305"/>
        <w:gridCol w:w="9877"/>
      </w:tblGrid>
      <w:tr>
        <w:trPr/>
        <w:tc>
          <w:tcPr>
            <w:tcW w:w="2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2.1.</w:t>
            </w:r>
          </w:p>
        </w:tc>
        <w:tc>
          <w:tcPr>
            <w:tcW w:w="987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As of the date of this Agreement and during the Term through the date of termination or expiration of this Agreement, Lender represents and warrants to Borrower as follows:</w:t>
            </w:r>
          </w:p>
        </w:tc>
      </w:tr>
    </w:tbl>
    <w:tbl>
      <w:tblPr>
        <w:tblW w:w="7443" w:type="dxa"/>
        <w:jc w:val="left"/>
        <w:tblInd w:w="0" w:type="dxa"/>
        <w:tblLayout w:type="fixed"/>
        <w:tblCellMar>
          <w:top w:w="0" w:type="dxa"/>
          <w:left w:w="0" w:type="dxa"/>
          <w:bottom w:w="0" w:type="dxa"/>
          <w:right w:w="0" w:type="dxa"/>
        </w:tblCellMar>
      </w:tblPr>
      <w:tblGrid>
        <w:gridCol w:w="23"/>
        <w:gridCol w:w="230"/>
        <w:gridCol w:w="719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w:t>
            </w:r>
          </w:p>
        </w:tc>
        <w:tc>
          <w:tcPr>
            <w:tcW w:w="719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Lender is a wholly foreign owned enterprise duly registered and existing under PRC law.</w:t>
            </w:r>
          </w:p>
        </w:tc>
      </w:tr>
    </w:tbl>
    <w:tbl>
      <w:tblPr>
        <w:tblW w:w="10205" w:type="dxa"/>
        <w:jc w:val="left"/>
        <w:tblInd w:w="0" w:type="dxa"/>
        <w:tblLayout w:type="fixed"/>
        <w:tblCellMar>
          <w:top w:w="0" w:type="dxa"/>
          <w:left w:w="0" w:type="dxa"/>
          <w:bottom w:w="0" w:type="dxa"/>
          <w:right w:w="0" w:type="dxa"/>
        </w:tblCellMar>
      </w:tblPr>
      <w:tblGrid>
        <w:gridCol w:w="23"/>
        <w:gridCol w:w="202"/>
        <w:gridCol w:w="9980"/>
      </w:tblGrid>
      <w:tr>
        <w:trPr/>
        <w:tc>
          <w:tcPr>
            <w:tcW w:w="2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(b)</w:t>
            </w:r>
          </w:p>
        </w:tc>
        <w:tc>
          <w:tcPr>
            <w:tcW w:w="998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Lender has the power to execute and perform its obligations under this Agreement. The execution and performance of this Agreement by Lender are in compliance with the articles of association or other organizational documents of Lender, and Lender has obtained all necessary and appropriate approvals and authorizations for the execution and performance of this Agreement.</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(c)</w:t>
            </w:r>
          </w:p>
        </w:tc>
        <w:tc>
          <w:tcPr>
            <w:tcW w:w="9993"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execution and performance of this Agreement by Lender do not violate any laws and regulations or government approvals, authorizations, notices or other governmental documents having binding effect on or affecting Lender, nor do they violate any agreements between Lender and any third party or any covenants made to any third party.</w:t>
            </w:r>
          </w:p>
        </w:tc>
      </w:tr>
    </w:tbl>
    <w:tbl>
      <w:tblPr>
        <w:tblW w:w="8433" w:type="dxa"/>
        <w:jc w:val="left"/>
        <w:tblInd w:w="0" w:type="dxa"/>
        <w:tblLayout w:type="fixed"/>
        <w:tblCellMar>
          <w:top w:w="0" w:type="dxa"/>
          <w:left w:w="0" w:type="dxa"/>
          <w:bottom w:w="0" w:type="dxa"/>
          <w:right w:w="0" w:type="dxa"/>
        </w:tblCellMar>
      </w:tblPr>
      <w:tblGrid>
        <w:gridCol w:w="23"/>
        <w:gridCol w:w="245"/>
        <w:gridCol w:w="816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(d)</w:t>
            </w:r>
          </w:p>
        </w:tc>
        <w:tc>
          <w:tcPr>
            <w:tcW w:w="816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This Agreement shall constitute lawful, valid and enforceable obligations of Lender upon execution.</w:t>
            </w:r>
          </w:p>
        </w:tc>
      </w:tr>
    </w:tbl>
    <w:tbl>
      <w:tblPr>
        <w:tblW w:w="10205" w:type="dxa"/>
        <w:jc w:val="left"/>
        <w:tblInd w:w="0" w:type="dxa"/>
        <w:tblLayout w:type="fixed"/>
        <w:tblCellMar>
          <w:top w:w="0" w:type="dxa"/>
          <w:left w:w="0" w:type="dxa"/>
          <w:bottom w:w="0" w:type="dxa"/>
          <w:right w:w="0" w:type="dxa"/>
        </w:tblCellMar>
      </w:tblPr>
      <w:tblGrid>
        <w:gridCol w:w="23"/>
        <w:gridCol w:w="305"/>
        <w:gridCol w:w="9877"/>
      </w:tblGrid>
      <w:tr>
        <w:trPr/>
        <w:tc>
          <w:tcPr>
            <w:tcW w:w="2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2.2.</w:t>
            </w:r>
          </w:p>
        </w:tc>
        <w:tc>
          <w:tcPr>
            <w:tcW w:w="987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As of the date of this Agreement and during the Term through the date of termination or expiration of this Agreement, Borrower represents and warrants to Lender as follows:</w:t>
            </w:r>
          </w:p>
        </w:tc>
      </w:tr>
    </w:tbl>
    <w:tbl>
      <w:tblPr>
        <w:tblW w:w="10205" w:type="dxa"/>
        <w:jc w:val="left"/>
        <w:tblInd w:w="0" w:type="dxa"/>
        <w:tblLayout w:type="fixed"/>
        <w:tblCellMar>
          <w:top w:w="0" w:type="dxa"/>
          <w:left w:w="0" w:type="dxa"/>
          <w:bottom w:w="0" w:type="dxa"/>
          <w:right w:w="0" w:type="dxa"/>
        </w:tblCellMar>
      </w:tblPr>
      <w:tblGrid>
        <w:gridCol w:w="23"/>
        <w:gridCol w:w="213"/>
        <w:gridCol w:w="9969"/>
      </w:tblGrid>
      <w:tr>
        <w:trPr/>
        <w:tc>
          <w:tcPr>
            <w:tcW w:w="2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w:t>
            </w:r>
          </w:p>
        </w:tc>
        <w:tc>
          <w:tcPr>
            <w:tcW w:w="9969"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Domestic Company is a limited liability company duly registered and existing under PRC law and Borrower is or will be the lawful holder of Borrower’s Equity.</w:t>
            </w:r>
          </w:p>
        </w:tc>
      </w:tr>
    </w:tbl>
    <w:tbl>
      <w:tblPr>
        <w:tblW w:w="8268" w:type="dxa"/>
        <w:jc w:val="left"/>
        <w:tblInd w:w="0" w:type="dxa"/>
        <w:tblLayout w:type="fixed"/>
        <w:tblCellMar>
          <w:top w:w="0" w:type="dxa"/>
          <w:left w:w="0" w:type="dxa"/>
          <w:bottom w:w="0" w:type="dxa"/>
          <w:right w:w="0" w:type="dxa"/>
        </w:tblCellMar>
      </w:tblPr>
      <w:tblGrid>
        <w:gridCol w:w="23"/>
        <w:gridCol w:w="245"/>
        <w:gridCol w:w="800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(b)</w:t>
            </w:r>
          </w:p>
        </w:tc>
        <w:tc>
          <w:tcPr>
            <w:tcW w:w="800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Borrower has the power and capacity to execute and perform his obligations under this Agreement.</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(c)</w:t>
            </w:r>
          </w:p>
        </w:tc>
        <w:tc>
          <w:tcPr>
            <w:tcW w:w="9993"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execution and performance of this Agreement by Borrower do not violate any laws and regulations or government approvals, authorizations, notices or other governmental documents having binding effect on or affecting Borrower, nor do they violate any agreements between Borrower and any third party or any covenants made to any third party.</w:t>
            </w:r>
          </w:p>
        </w:tc>
      </w:tr>
    </w:tbl>
    <w:tbl>
      <w:tblPr>
        <w:tblW w:w="8658" w:type="dxa"/>
        <w:jc w:val="left"/>
        <w:tblInd w:w="0" w:type="dxa"/>
        <w:tblLayout w:type="fixed"/>
        <w:tblCellMar>
          <w:top w:w="0" w:type="dxa"/>
          <w:left w:w="0" w:type="dxa"/>
          <w:bottom w:w="0" w:type="dxa"/>
          <w:right w:w="0" w:type="dxa"/>
        </w:tblCellMar>
      </w:tblPr>
      <w:tblGrid>
        <w:gridCol w:w="23"/>
        <w:gridCol w:w="245"/>
        <w:gridCol w:w="839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(d)</w:t>
            </w:r>
          </w:p>
        </w:tc>
        <w:tc>
          <w:tcPr>
            <w:tcW w:w="839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This Agreement shall constitute lawful, valid and enforceable obligations on Borrower upon execution.</w:t>
            </w:r>
          </w:p>
        </w:tc>
      </w:tr>
    </w:tbl>
    <w:tbl>
      <w:tblPr>
        <w:tblW w:w="10205" w:type="dxa"/>
        <w:jc w:val="left"/>
        <w:tblInd w:w="0" w:type="dxa"/>
        <w:tblLayout w:type="fixed"/>
        <w:tblCellMar>
          <w:top w:w="0" w:type="dxa"/>
          <w:left w:w="0" w:type="dxa"/>
          <w:bottom w:w="0" w:type="dxa"/>
          <w:right w:w="0" w:type="dxa"/>
        </w:tblCellMar>
      </w:tblPr>
      <w:tblGrid>
        <w:gridCol w:w="23"/>
        <w:gridCol w:w="203"/>
        <w:gridCol w:w="9979"/>
      </w:tblGrid>
      <w:tr>
        <w:trPr/>
        <w:tc>
          <w:tcPr>
            <w:tcW w:w="2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(e)</w:t>
            </w:r>
          </w:p>
        </w:tc>
        <w:tc>
          <w:tcPr>
            <w:tcW w:w="9979"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Except in accordance with the provisions of the Equity Pledge Agreement or otherwise agreed by relevant parties, Borrower has not (i) created any mortgage, pledge or other security interests on any whole or part of</w:t>
            </w:r>
          </w:p>
        </w:tc>
      </w:tr>
    </w:tbl>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2160" w:right="0" w:hanging="0"/>
        <w:jc w:val="both"/>
        <w:rPr>
          <w:rFonts w:ascii="Times New Roman;Times;serif" w:hAnsi="Times New Roman;Times;serif"/>
          <w:sz w:val="20"/>
        </w:rPr>
      </w:pPr>
      <w:r>
        <w:rPr>
          <w:rFonts w:ascii="Times New Roman;Times;serif" w:hAnsi="Times New Roman;Times;serif"/>
          <w:sz w:val="20"/>
        </w:rPr>
        <w:t>Borrower’s Equity, (ii) made any offer to any third party or accepted any offer made by any third party for the transfer of any whole or part of Borrower’s Equity, or (iii) entered into any agreement with any third party for the transfer of any whole or part of Borrower’s Equity unless consented by Lender. To the extent applicable, the spouse of Borrower shall not have any right to or interest in Borrower’s Equity, and Borrower’s Equity is Borrower’s individual property instead of marital property.</w:t>
      </w:r>
    </w:p>
    <w:tbl>
      <w:tblPr>
        <w:tblW w:w="10205" w:type="dxa"/>
        <w:jc w:val="left"/>
        <w:tblInd w:w="0" w:type="dxa"/>
        <w:tblLayout w:type="fixed"/>
        <w:tblCellMar>
          <w:top w:w="0" w:type="dxa"/>
          <w:left w:w="0" w:type="dxa"/>
          <w:bottom w:w="0" w:type="dxa"/>
          <w:right w:w="0" w:type="dxa"/>
        </w:tblCellMar>
      </w:tblPr>
      <w:tblGrid>
        <w:gridCol w:w="23"/>
        <w:gridCol w:w="158"/>
        <w:gridCol w:w="10024"/>
      </w:tblGrid>
      <w:tr>
        <w:trPr/>
        <w:tc>
          <w:tcPr>
            <w:tcW w:w="2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(f)</w:t>
            </w:r>
          </w:p>
        </w:tc>
        <w:tc>
          <w:tcPr>
            <w:tcW w:w="10024"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There are no pending disputes, litigations, arbitrations, administrative proceedings or any other legal proceedings relating to or involving Borrower and/or any of Borrower’s Equity, nor are there any potential disputes, litigations, arbitrations, administrative proceedings or any other legal proceedings relating to or involving Borrower and/or any of Borrower’s Equity.</w:t>
            </w:r>
          </w:p>
        </w:tc>
      </w:tr>
    </w:tbl>
    <w:tbl>
      <w:tblPr>
        <w:tblW w:w="2350" w:type="dxa"/>
        <w:jc w:val="left"/>
        <w:tblInd w:w="0" w:type="dxa"/>
        <w:tblLayout w:type="fixed"/>
        <w:tblCellMar>
          <w:top w:w="0" w:type="dxa"/>
          <w:left w:w="0" w:type="dxa"/>
          <w:bottom w:w="0" w:type="dxa"/>
          <w:right w:w="0" w:type="dxa"/>
        </w:tblCellMar>
      </w:tblPr>
      <w:tblGrid>
        <w:gridCol w:w="170"/>
        <w:gridCol w:w="2180"/>
      </w:tblGrid>
      <w:tr>
        <w:trPr/>
        <w:tc>
          <w:tcPr>
            <w:tcW w:w="170"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3.</w:t>
            </w:r>
          </w:p>
        </w:tc>
        <w:tc>
          <w:tcPr>
            <w:tcW w:w="2180"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Borrower’s Undertakings</w:t>
            </w:r>
          </w:p>
        </w:tc>
      </w:tr>
    </w:tbl>
    <w:tbl>
      <w:tblPr>
        <w:tblW w:w="10205" w:type="dxa"/>
        <w:jc w:val="left"/>
        <w:tblInd w:w="0" w:type="dxa"/>
        <w:tblLayout w:type="fixed"/>
        <w:tblCellMar>
          <w:top w:w="0" w:type="dxa"/>
          <w:left w:w="0" w:type="dxa"/>
          <w:bottom w:w="0" w:type="dxa"/>
          <w:right w:w="0" w:type="dxa"/>
        </w:tblCellMar>
      </w:tblPr>
      <w:tblGrid>
        <w:gridCol w:w="23"/>
        <w:gridCol w:w="298"/>
        <w:gridCol w:w="9884"/>
      </w:tblGrid>
      <w:tr>
        <w:trPr/>
        <w:tc>
          <w:tcPr>
            <w:tcW w:w="2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3.1.</w:t>
            </w:r>
          </w:p>
        </w:tc>
        <w:tc>
          <w:tcPr>
            <w:tcW w:w="9884"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Borrower undertakes in his capacity as a shareholder of the Domestic Company that Borrower will, and together with the other shareholder(s) of the Domestic Company will cause the Domestic Company to (as applicable):</w:t>
            </w:r>
          </w:p>
        </w:tc>
      </w:tr>
    </w:tbl>
    <w:tbl>
      <w:tblPr>
        <w:tblW w:w="3363" w:type="dxa"/>
        <w:jc w:val="left"/>
        <w:tblInd w:w="0" w:type="dxa"/>
        <w:tblLayout w:type="fixed"/>
        <w:tblCellMar>
          <w:top w:w="0" w:type="dxa"/>
          <w:left w:w="0" w:type="dxa"/>
          <w:bottom w:w="0" w:type="dxa"/>
          <w:right w:w="0" w:type="dxa"/>
        </w:tblCellMar>
      </w:tblPr>
      <w:tblGrid>
        <w:gridCol w:w="23"/>
        <w:gridCol w:w="230"/>
        <w:gridCol w:w="311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w:t>
            </w:r>
          </w:p>
        </w:tc>
        <w:tc>
          <w:tcPr>
            <w:tcW w:w="311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enter into the Transaction Documents.</w:t>
            </w:r>
          </w:p>
        </w:tc>
      </w:tr>
    </w:tbl>
    <w:tbl>
      <w:tblPr>
        <w:tblW w:w="10205" w:type="dxa"/>
        <w:jc w:val="left"/>
        <w:tblInd w:w="0" w:type="dxa"/>
        <w:tblLayout w:type="fixed"/>
        <w:tblCellMar>
          <w:top w:w="0" w:type="dxa"/>
          <w:left w:w="0" w:type="dxa"/>
          <w:bottom w:w="0" w:type="dxa"/>
          <w:right w:w="0" w:type="dxa"/>
        </w:tblCellMar>
      </w:tblPr>
      <w:tblGrid>
        <w:gridCol w:w="23"/>
        <w:gridCol w:w="207"/>
        <w:gridCol w:w="9975"/>
      </w:tblGrid>
      <w:tr>
        <w:trPr/>
        <w:tc>
          <w:tcPr>
            <w:tcW w:w="2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(b)</w:t>
            </w:r>
          </w:p>
        </w:tc>
        <w:tc>
          <w:tcPr>
            <w:tcW w:w="997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not without the prior written consent of Lender, supplement, amend or modify the business scope or organizational documents (including the articles of association) of the Domestic Company, or increase or reduce or in any form change the structure of the registered capital of the Domestic Company.</w:t>
            </w:r>
          </w:p>
        </w:tc>
      </w:tr>
    </w:tbl>
    <w:tbl>
      <w:tblPr>
        <w:tblW w:w="10205" w:type="dxa"/>
        <w:jc w:val="left"/>
        <w:tblInd w:w="0" w:type="dxa"/>
        <w:tblLayout w:type="fixed"/>
        <w:tblCellMar>
          <w:top w:w="0" w:type="dxa"/>
          <w:left w:w="0" w:type="dxa"/>
          <w:bottom w:w="0" w:type="dxa"/>
          <w:right w:w="0" w:type="dxa"/>
        </w:tblCellMar>
      </w:tblPr>
      <w:tblGrid>
        <w:gridCol w:w="23"/>
        <w:gridCol w:w="194"/>
        <w:gridCol w:w="9988"/>
      </w:tblGrid>
      <w:tr>
        <w:trPr/>
        <w:tc>
          <w:tcPr>
            <w:tcW w:w="2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(c)</w:t>
            </w:r>
          </w:p>
        </w:tc>
        <w:tc>
          <w:tcPr>
            <w:tcW w:w="9988"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not without the prior written consent of Lender, sell, transfer, mortgage or otherwise dispose of any legal or beneficial rights and interests in the Domestic Company or any of its assets, businesses or revenues, or permit or create any encumbrance or other third party right thereon;</w:t>
            </w:r>
          </w:p>
        </w:tc>
      </w:tr>
    </w:tbl>
    <w:tbl>
      <w:tblPr>
        <w:tblW w:w="10205" w:type="dxa"/>
        <w:jc w:val="left"/>
        <w:tblInd w:w="0" w:type="dxa"/>
        <w:tblLayout w:type="fixed"/>
        <w:tblCellMar>
          <w:top w:w="0" w:type="dxa"/>
          <w:left w:w="0" w:type="dxa"/>
          <w:bottom w:w="0" w:type="dxa"/>
          <w:right w:w="0" w:type="dxa"/>
        </w:tblCellMar>
      </w:tblPr>
      <w:tblGrid>
        <w:gridCol w:w="23"/>
        <w:gridCol w:w="209"/>
        <w:gridCol w:w="9973"/>
      </w:tblGrid>
      <w:tr>
        <w:trPr/>
        <w:tc>
          <w:tcPr>
            <w:tcW w:w="2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(d)</w:t>
            </w:r>
          </w:p>
        </w:tc>
        <w:tc>
          <w:tcPr>
            <w:tcW w:w="9973"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not without the prior written consent of Lender, incur, succeed to, guarantee or permit the existence of any debts except (i) debts incurred in the ordinary course of business and (ii) debts which have been disclosed to Lender and for which prior written consent has been obtained from Lender;</w:t>
            </w:r>
          </w:p>
        </w:tc>
      </w:tr>
    </w:tbl>
    <w:tbl>
      <w:tblPr>
        <w:tblW w:w="7248" w:type="dxa"/>
        <w:jc w:val="left"/>
        <w:tblInd w:w="0" w:type="dxa"/>
        <w:tblLayout w:type="fixed"/>
        <w:tblCellMar>
          <w:top w:w="0" w:type="dxa"/>
          <w:left w:w="0" w:type="dxa"/>
          <w:bottom w:w="0" w:type="dxa"/>
          <w:right w:w="0" w:type="dxa"/>
        </w:tblCellMar>
      </w:tblPr>
      <w:tblGrid>
        <w:gridCol w:w="23"/>
        <w:gridCol w:w="230"/>
        <w:gridCol w:w="699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(e)</w:t>
            </w:r>
          </w:p>
        </w:tc>
        <w:tc>
          <w:tcPr>
            <w:tcW w:w="699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not without the prior written consent of Lender, grant any loan or credit to any person;</w:t>
            </w:r>
          </w:p>
        </w:tc>
      </w:tr>
    </w:tbl>
    <w:tbl>
      <w:tblPr>
        <w:tblW w:w="10205" w:type="dxa"/>
        <w:jc w:val="left"/>
        <w:tblInd w:w="0" w:type="dxa"/>
        <w:tblLayout w:type="fixed"/>
        <w:tblCellMar>
          <w:top w:w="0" w:type="dxa"/>
          <w:left w:w="0" w:type="dxa"/>
          <w:bottom w:w="0" w:type="dxa"/>
          <w:right w:w="0" w:type="dxa"/>
        </w:tblCellMar>
      </w:tblPr>
      <w:tblGrid>
        <w:gridCol w:w="23"/>
        <w:gridCol w:w="192"/>
        <w:gridCol w:w="9990"/>
      </w:tblGrid>
      <w:tr>
        <w:trPr/>
        <w:tc>
          <w:tcPr>
            <w:tcW w:w="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(f)</w:t>
            </w:r>
          </w:p>
        </w:tc>
        <w:tc>
          <w:tcPr>
            <w:tcW w:w="999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upon Lender’s request, provide to Lender all the information with respect to the operations and financial status of the Domestic Company;</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(g)</w:t>
            </w:r>
          </w:p>
        </w:tc>
        <w:tc>
          <w:tcPr>
            <w:tcW w:w="9948"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not without the prior written consent of Lender, merge or amalgamate with or form any alliance with any person, or acquire or invest in any person;</w:t>
            </w:r>
          </w:p>
        </w:tc>
      </w:tr>
    </w:tbl>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25"/>
        <w:gridCol w:w="9957"/>
      </w:tblGrid>
      <w:tr>
        <w:trPr/>
        <w:tc>
          <w:tcPr>
            <w:tcW w:w="2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(h)</w:t>
            </w:r>
          </w:p>
        </w:tc>
        <w:tc>
          <w:tcPr>
            <w:tcW w:w="995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immediately notify Lender of the occurrence or threat of any litigation, arbitration or administrative proceedings in relation to or involving its assets, businesses and revenues;</w:t>
            </w:r>
          </w:p>
        </w:tc>
      </w:tr>
    </w:tbl>
    <w:tbl>
      <w:tblPr>
        <w:tblW w:w="10205" w:type="dxa"/>
        <w:jc w:val="left"/>
        <w:tblInd w:w="0" w:type="dxa"/>
        <w:tblLayout w:type="fixed"/>
        <w:tblCellMar>
          <w:top w:w="0" w:type="dxa"/>
          <w:left w:w="0" w:type="dxa"/>
          <w:bottom w:w="0" w:type="dxa"/>
          <w:right w:w="0" w:type="dxa"/>
        </w:tblCellMar>
      </w:tblPr>
      <w:tblGrid>
        <w:gridCol w:w="23"/>
        <w:gridCol w:w="166"/>
        <w:gridCol w:w="10016"/>
      </w:tblGrid>
      <w:tr>
        <w:trPr/>
        <w:tc>
          <w:tcPr>
            <w:tcW w:w="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(i)</w:t>
            </w:r>
          </w:p>
        </w:tc>
        <w:tc>
          <w:tcPr>
            <w:tcW w:w="10016"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to the extent necessary to maintain its ownership of all its assets, execute all necessary or appropriate documents, take all necessary or appropriate actions and file all necessary or appropriate complaints or raise necessary and appropriate defenses against all claims;</w:t>
            </w:r>
          </w:p>
        </w:tc>
      </w:tr>
    </w:tbl>
    <w:tbl>
      <w:tblPr>
        <w:tblW w:w="10205" w:type="dxa"/>
        <w:jc w:val="left"/>
        <w:tblInd w:w="0" w:type="dxa"/>
        <w:tblLayout w:type="fixed"/>
        <w:tblCellMar>
          <w:top w:w="0" w:type="dxa"/>
          <w:left w:w="0" w:type="dxa"/>
          <w:bottom w:w="0" w:type="dxa"/>
          <w:right w:w="0" w:type="dxa"/>
        </w:tblCellMar>
      </w:tblPr>
      <w:tblGrid>
        <w:gridCol w:w="23"/>
        <w:gridCol w:w="168"/>
        <w:gridCol w:w="10014"/>
      </w:tblGrid>
      <w:tr>
        <w:trPr/>
        <w:tc>
          <w:tcPr>
            <w:tcW w:w="2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(j)</w:t>
            </w:r>
          </w:p>
        </w:tc>
        <w:tc>
          <w:tcPr>
            <w:tcW w:w="10014"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not without the prior written consent of Lender, declare or distribute any profit or dividend to shareholders in any form, but upon request of Lender, to immediately declare and distribute all the distributable profits to its respective shareholders;</w:t>
            </w:r>
          </w:p>
        </w:tc>
      </w:tr>
    </w:tbl>
    <w:tbl>
      <w:tblPr>
        <w:tblW w:w="10205" w:type="dxa"/>
        <w:jc w:val="left"/>
        <w:tblInd w:w="0" w:type="dxa"/>
        <w:tblLayout w:type="fixed"/>
        <w:tblCellMar>
          <w:top w:w="0" w:type="dxa"/>
          <w:left w:w="0" w:type="dxa"/>
          <w:bottom w:w="0" w:type="dxa"/>
          <w:right w:w="0" w:type="dxa"/>
        </w:tblCellMar>
      </w:tblPr>
      <w:tblGrid>
        <w:gridCol w:w="23"/>
        <w:gridCol w:w="241"/>
        <w:gridCol w:w="9941"/>
      </w:tblGrid>
      <w:tr>
        <w:trPr/>
        <w:tc>
          <w:tcPr>
            <w:tcW w:w="2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(k)</w:t>
            </w:r>
          </w:p>
        </w:tc>
        <w:tc>
          <w:tcPr>
            <w:tcW w:w="9941"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at the request of Lender, appoint the persons designated by Lender as directors and senior officers of the Domestic Company; and</w:t>
            </w:r>
          </w:p>
        </w:tc>
      </w:tr>
    </w:tbl>
    <w:tbl>
      <w:tblPr>
        <w:tblW w:w="10205" w:type="dxa"/>
        <w:jc w:val="left"/>
        <w:tblInd w:w="0" w:type="dxa"/>
        <w:tblLayout w:type="fixed"/>
        <w:tblCellMar>
          <w:top w:w="0" w:type="dxa"/>
          <w:left w:w="0" w:type="dxa"/>
          <w:bottom w:w="0" w:type="dxa"/>
          <w:right w:w="0" w:type="dxa"/>
        </w:tblCellMar>
      </w:tblPr>
      <w:tblGrid>
        <w:gridCol w:w="23"/>
        <w:gridCol w:w="169"/>
        <w:gridCol w:w="10013"/>
      </w:tblGrid>
      <w:tr>
        <w:trPr/>
        <w:tc>
          <w:tcPr>
            <w:tcW w:w="2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(l)</w:t>
            </w:r>
          </w:p>
        </w:tc>
        <w:tc>
          <w:tcPr>
            <w:tcW w:w="10013"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strictly comply with the provisions under any agreements to which Borrower and Lender are parties and not take any actions or omit to take any actions that may adversely affect the effectiveness and enforceability of such agreements.</w:t>
            </w:r>
          </w:p>
        </w:tc>
      </w:tr>
    </w:tbl>
    <w:tbl>
      <w:tblPr>
        <w:tblW w:w="4533" w:type="dxa"/>
        <w:jc w:val="left"/>
        <w:tblInd w:w="0" w:type="dxa"/>
        <w:tblLayout w:type="fixed"/>
        <w:tblCellMar>
          <w:top w:w="0" w:type="dxa"/>
          <w:left w:w="0" w:type="dxa"/>
          <w:bottom w:w="0" w:type="dxa"/>
          <w:right w:w="0" w:type="dxa"/>
        </w:tblCellMar>
      </w:tblPr>
      <w:tblGrid>
        <w:gridCol w:w="23"/>
        <w:gridCol w:w="320"/>
        <w:gridCol w:w="419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3.2.</w:t>
            </w:r>
          </w:p>
        </w:tc>
        <w:tc>
          <w:tcPr>
            <w:tcW w:w="419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Borrower undertakes that during the Term, he shall:</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except in accordance with the Equity Pledge Agreement, not sell, transfer, mortgage or otherwise dispose of the legal or beneficial rights and interests on Borrower’s Equity or permit or create any other security interest thereon without the prior written consent of Lender;</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cause the shareholders’ meeting of the Domestic Company not to approve the sale, transfer, mortgage or disposal in any other way of the legal or beneficial rights and interests in Borrower’s Equity or permit the creation of any other security interest thereon without the prior written consent of Lender except in favor of Lender or Lender’s designated person;</w:t>
            </w:r>
          </w:p>
        </w:tc>
      </w:tr>
    </w:tbl>
    <w:tbl>
      <w:tblPr>
        <w:tblW w:w="10205" w:type="dxa"/>
        <w:jc w:val="left"/>
        <w:tblInd w:w="0" w:type="dxa"/>
        <w:tblLayout w:type="fixed"/>
        <w:tblCellMar>
          <w:top w:w="0" w:type="dxa"/>
          <w:left w:w="0" w:type="dxa"/>
          <w:bottom w:w="0" w:type="dxa"/>
          <w:right w:w="0" w:type="dxa"/>
        </w:tblCellMar>
      </w:tblPr>
      <w:tblGrid>
        <w:gridCol w:w="23"/>
        <w:gridCol w:w="205"/>
        <w:gridCol w:w="9977"/>
      </w:tblGrid>
      <w:tr>
        <w:trPr/>
        <w:tc>
          <w:tcPr>
            <w:tcW w:w="2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(c)</w:t>
            </w:r>
          </w:p>
        </w:tc>
        <w:tc>
          <w:tcPr>
            <w:tcW w:w="997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cause the shareholders’ meeting of the Domestic Company not to approve the merger or alliance with any person or acquisition or investment in any person without the prior written consent of Lender;</w:t>
            </w:r>
          </w:p>
        </w:tc>
      </w:tr>
    </w:tbl>
    <w:tbl>
      <w:tblPr>
        <w:tblW w:w="10205" w:type="dxa"/>
        <w:jc w:val="left"/>
        <w:tblInd w:w="0" w:type="dxa"/>
        <w:tblLayout w:type="fixed"/>
        <w:tblCellMar>
          <w:top w:w="0" w:type="dxa"/>
          <w:left w:w="0" w:type="dxa"/>
          <w:bottom w:w="0" w:type="dxa"/>
          <w:right w:w="0" w:type="dxa"/>
        </w:tblCellMar>
      </w:tblPr>
      <w:tblGrid>
        <w:gridCol w:w="23"/>
        <w:gridCol w:w="229"/>
        <w:gridCol w:w="9953"/>
      </w:tblGrid>
      <w:tr>
        <w:trPr/>
        <w:tc>
          <w:tcPr>
            <w:tcW w:w="2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(d)</w:t>
            </w:r>
          </w:p>
        </w:tc>
        <w:tc>
          <w:tcPr>
            <w:tcW w:w="9953"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immediately notify Lender of the occurrence or threat of any litigation, arbitration or administrative proceedings in relation to or involving Borrower’s Equity;</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(e)</w:t>
            </w:r>
          </w:p>
        </w:tc>
        <w:tc>
          <w:tcPr>
            <w:tcW w:w="998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to the extent necessary to maintain his ownership of Borrower’s Equity, execute all necessary or appropriate documents, take all necessary or appropriate actions and file all necessary or appropriate complaints or raise all necessary and appropriate defenses against all claims;</w:t>
            </w:r>
          </w:p>
        </w:tc>
      </w:tr>
    </w:tbl>
    <w:p>
      <w:pPr>
        <w:pStyle w:val="TextBody"/>
        <w:pBdr/>
        <w:bidi w:val="0"/>
        <w:spacing w:before="0" w:after="200"/>
        <w:ind w:left="1440" w:right="0" w:hanging="720"/>
        <w:jc w:val="both"/>
        <w:rPr/>
      </w:pPr>
      <w:r>
        <w:rPr/>
        <w:t>​</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4"/>
        <w:gridCol w:w="9988"/>
      </w:tblGrid>
      <w:tr>
        <w:trPr/>
        <w:tc>
          <w:tcPr>
            <w:tcW w:w="2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(f)</w:t>
            </w:r>
          </w:p>
        </w:tc>
        <w:tc>
          <w:tcPr>
            <w:tcW w:w="9988"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refrain from taking any action that may have a material adverse impact on the assets, business and liabilities of the Domestic Company;</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(g)</w:t>
            </w:r>
          </w:p>
        </w:tc>
        <w:tc>
          <w:tcPr>
            <w:tcW w:w="9948"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at the request of Lender, appoint the persons designated by Lender as directors of the Domestic Company (unless otherwise agreed by the Parties);</w:t>
            </w:r>
          </w:p>
        </w:tc>
      </w:tr>
    </w:tbl>
    <w:tbl>
      <w:tblPr>
        <w:tblW w:w="10205" w:type="dxa"/>
        <w:jc w:val="left"/>
        <w:tblInd w:w="0" w:type="dxa"/>
        <w:tblLayout w:type="fixed"/>
        <w:tblCellMar>
          <w:top w:w="0" w:type="dxa"/>
          <w:left w:w="0" w:type="dxa"/>
          <w:bottom w:w="0" w:type="dxa"/>
          <w:right w:w="0" w:type="dxa"/>
        </w:tblCellMar>
      </w:tblPr>
      <w:tblGrid>
        <w:gridCol w:w="23"/>
        <w:gridCol w:w="219"/>
        <w:gridCol w:w="9963"/>
      </w:tblGrid>
      <w:tr>
        <w:trPr/>
        <w:tc>
          <w:tcPr>
            <w:tcW w:w="2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(h)</w:t>
            </w:r>
          </w:p>
        </w:tc>
        <w:tc>
          <w:tcPr>
            <w:tcW w:w="9963"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to the extent permitted by PRC laws, at the request of Lender at any time, promptly and unconditionally transfer all or part of Borrower’s Equity to Lender or Lender’s designated person(s) at any time;</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(i)</w:t>
            </w:r>
          </w:p>
        </w:tc>
        <w:tc>
          <w:tcPr>
            <w:tcW w:w="1002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strictly abide by the provisions of this Agreement, the Transaction Documents and any other agreement to which Borrower and Lender are parties, perform his obligations under this Agreement, the Transaction Documents and any such other agreement, and refrain from taking any action or omit to take any action that may affect the effectiveness and enforceability of this Agreement, the Transaction Documents and any such other agreement; and</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(j)</w:t>
            </w:r>
          </w:p>
        </w:tc>
        <w:tc>
          <w:tcPr>
            <w:tcW w:w="998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 xml:space="preserve">deliver to Lender the Spousal Consent Letter executed by Borrower’s spouse, substantially in the form attached hereto as </w:t>
            </w:r>
            <w:r>
              <w:rPr>
                <w:rFonts w:ascii="Times New Roman;Times;serif" w:hAnsi="Times New Roman;Times;serif"/>
                <w:sz w:val="20"/>
                <w:u w:val="single"/>
              </w:rPr>
              <w:t>Exhibit B</w:t>
            </w:r>
            <w:r>
              <w:rPr>
                <w:rFonts w:ascii="Times New Roman;Times;serif" w:hAnsi="Times New Roman;Times;serif"/>
                <w:sz w:val="20"/>
              </w:rPr>
              <w:t>.</w:t>
            </w:r>
          </w:p>
        </w:tc>
      </w:tr>
    </w:tbl>
    <w:tbl>
      <w:tblPr>
        <w:tblW w:w="1900" w:type="dxa"/>
        <w:jc w:val="left"/>
        <w:tblInd w:w="0" w:type="dxa"/>
        <w:tblLayout w:type="fixed"/>
        <w:tblCellMar>
          <w:top w:w="0" w:type="dxa"/>
          <w:left w:w="0" w:type="dxa"/>
          <w:bottom w:w="0" w:type="dxa"/>
          <w:right w:w="0" w:type="dxa"/>
        </w:tblCellMar>
      </w:tblPr>
      <w:tblGrid>
        <w:gridCol w:w="170"/>
        <w:gridCol w:w="1730"/>
      </w:tblGrid>
      <w:tr>
        <w:trPr/>
        <w:tc>
          <w:tcPr>
            <w:tcW w:w="170"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4.</w:t>
            </w:r>
          </w:p>
        </w:tc>
        <w:tc>
          <w:tcPr>
            <w:tcW w:w="1730"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Liability for Default</w:t>
            </w:r>
          </w:p>
        </w:tc>
      </w:tr>
    </w:tbl>
    <w:tbl>
      <w:tblPr>
        <w:tblW w:w="10205" w:type="dxa"/>
        <w:jc w:val="left"/>
        <w:tblInd w:w="0" w:type="dxa"/>
        <w:tblLayout w:type="fixed"/>
        <w:tblCellMar>
          <w:top w:w="0" w:type="dxa"/>
          <w:left w:w="0" w:type="dxa"/>
          <w:bottom w:w="0" w:type="dxa"/>
          <w:right w:w="0" w:type="dxa"/>
        </w:tblCellMar>
      </w:tblPr>
      <w:tblGrid>
        <w:gridCol w:w="23"/>
        <w:gridCol w:w="289"/>
        <w:gridCol w:w="9893"/>
      </w:tblGrid>
      <w:tr>
        <w:trPr/>
        <w:tc>
          <w:tcPr>
            <w:tcW w:w="23"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4.1.</w:t>
            </w:r>
          </w:p>
        </w:tc>
        <w:tc>
          <w:tcPr>
            <w:tcW w:w="9893"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In the event that Borrower fails to repay the outstanding amount of the Loan when due and payable, Borrower shall be liable to pay default interest of 0.01% per day on the outstanding payment, until the date on which Borrower repays the outstanding amount of the Loan in full, together with interest thereon and any other amounts due and payable.</w:t>
            </w:r>
          </w:p>
        </w:tc>
      </w:tr>
    </w:tbl>
    <w:tbl>
      <w:tblPr>
        <w:tblW w:w="10205" w:type="dxa"/>
        <w:jc w:val="left"/>
        <w:tblInd w:w="0" w:type="dxa"/>
        <w:tblLayout w:type="fixed"/>
        <w:tblCellMar>
          <w:top w:w="0" w:type="dxa"/>
          <w:left w:w="0" w:type="dxa"/>
          <w:bottom w:w="0" w:type="dxa"/>
          <w:right w:w="0" w:type="dxa"/>
        </w:tblCellMar>
      </w:tblPr>
      <w:tblGrid>
        <w:gridCol w:w="23"/>
        <w:gridCol w:w="295"/>
        <w:gridCol w:w="9887"/>
      </w:tblGrid>
      <w:tr>
        <w:trPr/>
        <w:tc>
          <w:tcPr>
            <w:tcW w:w="2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4.2.</w:t>
            </w:r>
          </w:p>
        </w:tc>
        <w:tc>
          <w:tcPr>
            <w:tcW w:w="988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Borrower hereby covenants that he will indemnify and hold harmless Lender against any action, charge, claim, cost, harm, demand, fee, liability, loss and procedure incurred by Lender arising out of Borrower’s breach of any of his obligations hereunder.</w:t>
            </w:r>
          </w:p>
        </w:tc>
      </w:tr>
    </w:tbl>
    <w:tbl>
      <w:tblPr>
        <w:tblW w:w="805" w:type="dxa"/>
        <w:jc w:val="left"/>
        <w:tblInd w:w="0" w:type="dxa"/>
        <w:tblLayout w:type="fixed"/>
        <w:tblCellMar>
          <w:top w:w="0" w:type="dxa"/>
          <w:left w:w="0" w:type="dxa"/>
          <w:bottom w:w="0" w:type="dxa"/>
          <w:right w:w="0" w:type="dxa"/>
        </w:tblCellMar>
      </w:tblPr>
      <w:tblGrid>
        <w:gridCol w:w="170"/>
        <w:gridCol w:w="635"/>
      </w:tblGrid>
      <w:tr>
        <w:trPr/>
        <w:tc>
          <w:tcPr>
            <w:tcW w:w="170"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5.</w:t>
            </w:r>
          </w:p>
        </w:tc>
        <w:tc>
          <w:tcPr>
            <w:tcW w:w="635"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Notices</w:t>
            </w:r>
          </w:p>
        </w:tc>
      </w:tr>
    </w:tbl>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All notices, claims, certificates, requests, demands and other communications under this Agreement shall be made in writing and shall be delivered to either Party hereto by hand, by postage prepaid, or by reputable overnight courier services at the following addresses (or at such other address for such Party as shall be specified by like notice), and shall be deemed given when so delivered by hand, or if sent by postage prepaid or overnight courier, five (5) days after delivery to or pickup by postage prepaid or by the overnight courier service:</w:t>
      </w:r>
    </w:p>
    <w:p>
      <w:pPr>
        <w:pStyle w:val="TextBody"/>
        <w:bidi w:val="0"/>
        <w:spacing w:before="0" w:after="200"/>
        <w:ind w:left="720" w:right="0" w:hanging="0"/>
        <w:jc w:val="both"/>
        <w:rPr>
          <w:rFonts w:ascii="Times New Roman;Times;serif" w:hAnsi="Times New Roman;Times;serif"/>
          <w:b/>
          <w:sz w:val="20"/>
        </w:rPr>
      </w:pPr>
      <w:r>
        <w:rPr>
          <w:rFonts w:ascii="Times New Roman;Times;serif" w:hAnsi="Times New Roman;Times;serif"/>
          <w:b/>
          <w:sz w:val="20"/>
        </w:rPr>
        <w:t>If to Lender:</w:t>
      </w:r>
    </w:p>
    <w:p>
      <w:pPr>
        <w:pStyle w:val="TextBody"/>
        <w:bidi w:val="0"/>
        <w:spacing w:before="0" w:after="0"/>
        <w:ind w:left="2160" w:right="0" w:hanging="0"/>
        <w:jc w:val="both"/>
        <w:rPr>
          <w:rFonts w:ascii="Times New Roman;Times;serif" w:hAnsi="Times New Roman;Times;serif"/>
          <w:sz w:val="20"/>
        </w:rPr>
      </w:pPr>
      <w:r>
        <w:rPr>
          <w:rFonts w:ascii="Times New Roman;Times;serif" w:hAnsi="Times New Roman;Times;serif"/>
          <w:sz w:val="20"/>
        </w:rPr>
        <w:t>Hangzhou NetEase Cloud Music Technology Co., Ltd.</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810"/>
        <w:gridCol w:w="9395"/>
      </w:tblGrid>
      <w:tr>
        <w:trPr/>
        <w:tc>
          <w:tcPr>
            <w:tcW w:w="810" w:type="dxa"/>
            <w:tcBorders/>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Address:</w:t>
            </w:r>
          </w:p>
        </w:tc>
        <w:tc>
          <w:tcPr>
            <w:tcW w:w="939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Room 1201, Block A, Hangzhou International Expo Center, No. 353 Benjing Avenue, Qianjiang Century City, Xiaoshan District, Hangzhou, Zhejiang</w:t>
            </w:r>
          </w:p>
        </w:tc>
      </w:tr>
    </w:tbl>
    <w:p>
      <w:pPr>
        <w:pStyle w:val="TextBody"/>
        <w:bidi w:val="0"/>
        <w:spacing w:before="0" w:after="0"/>
        <w:ind w:left="0" w:right="0" w:hanging="0"/>
        <w:jc w:val="left"/>
        <w:rPr/>
      </w:pPr>
      <w:r>
        <w:rPr/>
        <w:t>​</w:t>
      </w:r>
    </w:p>
    <w:p>
      <w:pPr>
        <w:pStyle w:val="TextBody"/>
        <w:bidi w:val="0"/>
        <w:spacing w:before="0" w:after="200"/>
        <w:ind w:left="720" w:right="0" w:hanging="0"/>
        <w:jc w:val="both"/>
        <w:rPr>
          <w:rFonts w:ascii="Times New Roman;Times;serif" w:hAnsi="Times New Roman;Times;serif"/>
          <w:b/>
          <w:sz w:val="20"/>
        </w:rPr>
      </w:pPr>
      <w:r>
        <w:rPr>
          <w:rFonts w:ascii="Times New Roman;Times;serif" w:hAnsi="Times New Roman;Times;serif"/>
          <w:b/>
          <w:sz w:val="20"/>
        </w:rPr>
        <w:t>If to Borrower:</w:t>
      </w:r>
    </w:p>
    <w:p>
      <w:pPr>
        <w:pStyle w:val="TextBody"/>
        <w:bidi w:val="0"/>
        <w:spacing w:before="0" w:after="0"/>
        <w:ind w:left="2160" w:right="0" w:hanging="0"/>
        <w:jc w:val="both"/>
        <w:rPr>
          <w:rFonts w:ascii="Times New Roman;Times;serif" w:hAnsi="Times New Roman;Times;serif"/>
          <w:sz w:val="20"/>
        </w:rPr>
      </w:pPr>
      <w:r>
        <w:rPr>
          <w:rFonts w:ascii="Times New Roman;Times;serif" w:hAnsi="Times New Roman;Times;serif"/>
          <w:sz w:val="20"/>
        </w:rPr>
        <w:t>Wei Li</w:t>
      </w:r>
    </w:p>
    <w:p>
      <w:pPr>
        <w:pStyle w:val="TextBody"/>
        <w:bidi w:val="0"/>
        <w:spacing w:before="0" w:after="0"/>
        <w:ind w:left="0" w:right="0" w:hanging="0"/>
        <w:jc w:val="left"/>
        <w:rPr/>
      </w:pPr>
      <w:r>
        <w:rPr/>
        <w:t>​</w:t>
      </w:r>
    </w:p>
    <w:tbl>
      <w:tblPr>
        <w:tblW w:w="6827" w:type="dxa"/>
        <w:jc w:val="left"/>
        <w:tblInd w:w="0" w:type="dxa"/>
        <w:tblLayout w:type="fixed"/>
        <w:tblCellMar>
          <w:top w:w="0" w:type="dxa"/>
          <w:left w:w="0" w:type="dxa"/>
          <w:bottom w:w="0" w:type="dxa"/>
          <w:right w:w="0" w:type="dxa"/>
        </w:tblCellMar>
      </w:tblPr>
      <w:tblGrid>
        <w:gridCol w:w="826"/>
        <w:gridCol w:w="6001"/>
      </w:tblGrid>
      <w:tr>
        <w:trPr/>
        <w:tc>
          <w:tcPr>
            <w:tcW w:w="826" w:type="dxa"/>
            <w:tcBorders/>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Address:</w:t>
            </w:r>
          </w:p>
        </w:tc>
        <w:tc>
          <w:tcPr>
            <w:tcW w:w="6001" w:type="dxa"/>
            <w:tcBorders/>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No. 399 Wangshang Road, Changhe Street, Binjiang District, Hangzhou</w:t>
            </w:r>
          </w:p>
        </w:tc>
      </w:tr>
    </w:tbl>
    <w:p>
      <w:pPr>
        <w:pStyle w:val="TextBody"/>
        <w:bidi w:val="0"/>
        <w:spacing w:before="0" w:after="0"/>
        <w:ind w:left="0" w:right="0" w:hanging="0"/>
        <w:jc w:val="left"/>
        <w:rPr/>
      </w:pPr>
      <w:r>
        <w:rPr/>
        <w:t>​</w:t>
      </w:r>
    </w:p>
    <w:tbl>
      <w:tblPr>
        <w:tblW w:w="1465" w:type="dxa"/>
        <w:jc w:val="left"/>
        <w:tblInd w:w="0" w:type="dxa"/>
        <w:tblLayout w:type="fixed"/>
        <w:tblCellMar>
          <w:top w:w="0" w:type="dxa"/>
          <w:left w:w="0" w:type="dxa"/>
          <w:bottom w:w="0" w:type="dxa"/>
          <w:right w:w="0" w:type="dxa"/>
        </w:tblCellMar>
      </w:tblPr>
      <w:tblGrid>
        <w:gridCol w:w="170"/>
        <w:gridCol w:w="1295"/>
      </w:tblGrid>
      <w:tr>
        <w:trPr/>
        <w:tc>
          <w:tcPr>
            <w:tcW w:w="170"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6.</w:t>
            </w:r>
          </w:p>
        </w:tc>
        <w:tc>
          <w:tcPr>
            <w:tcW w:w="1295"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Confidentiality</w:t>
            </w:r>
          </w:p>
        </w:tc>
      </w:tr>
    </w:tbl>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The Parties acknowledge and confirm that any oral or written information exchanged among them with respect to this Agreement constitutes confidential information. The Parties shall maintain the confidentiality of all such information. Without the prior written consent of the Party who had provided such information, none of the Parties shall disclose any confidential information to any third party, except in the following circumstances: (a) such information is or comes into the public domain (through no fault or disclosure by the receiving party); (b) information disclosed as required by applicable laws or rules or regulations of any stock exchange; or (c) information required to be disclosed by any Party to its legal or financial advisors regarding the transactions contemplated hereunder, and such legal or financial advisors are also bound by duties of confidentiality similar to the duties set forth in this Article. Disclosure of any confidential information by the staff or employee of any Party shall be deemed as disclosure of such confidential information by such Party, for which the Party shall be held liable for breach of this Agreement. This Article shall survive the termination of this Agreement for any reason.</w:t>
      </w:r>
    </w:p>
    <w:tbl>
      <w:tblPr>
        <w:tblW w:w="3505" w:type="dxa"/>
        <w:jc w:val="left"/>
        <w:tblInd w:w="0" w:type="dxa"/>
        <w:tblLayout w:type="fixed"/>
        <w:tblCellMar>
          <w:top w:w="0" w:type="dxa"/>
          <w:left w:w="0" w:type="dxa"/>
          <w:bottom w:w="0" w:type="dxa"/>
          <w:right w:w="0" w:type="dxa"/>
        </w:tblCellMar>
      </w:tblPr>
      <w:tblGrid>
        <w:gridCol w:w="170"/>
        <w:gridCol w:w="3335"/>
      </w:tblGrid>
      <w:tr>
        <w:trPr/>
        <w:tc>
          <w:tcPr>
            <w:tcW w:w="170"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7.</w:t>
            </w:r>
          </w:p>
        </w:tc>
        <w:tc>
          <w:tcPr>
            <w:tcW w:w="3335"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Applicable Law and Dispute Resolution</w:t>
            </w:r>
          </w:p>
        </w:tc>
      </w:tr>
    </w:tbl>
    <w:tbl>
      <w:tblPr>
        <w:tblW w:w="10205" w:type="dxa"/>
        <w:jc w:val="left"/>
        <w:tblInd w:w="0" w:type="dxa"/>
        <w:tblLayout w:type="fixed"/>
        <w:tblCellMar>
          <w:top w:w="0" w:type="dxa"/>
          <w:left w:w="0" w:type="dxa"/>
          <w:bottom w:w="0" w:type="dxa"/>
          <w:right w:w="0" w:type="dxa"/>
        </w:tblCellMar>
      </w:tblPr>
      <w:tblGrid>
        <w:gridCol w:w="23"/>
        <w:gridCol w:w="311"/>
        <w:gridCol w:w="9871"/>
      </w:tblGrid>
      <w:tr>
        <w:trPr/>
        <w:tc>
          <w:tcPr>
            <w:tcW w:w="2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7.1.</w:t>
            </w:r>
          </w:p>
        </w:tc>
        <w:tc>
          <w:tcPr>
            <w:tcW w:w="9871"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formation, effect, interpretation, performance, amendment, termination and dispute resolution of this Agreement shall be governed by PRC law.</w:t>
            </w:r>
          </w:p>
        </w:tc>
      </w:tr>
    </w:tbl>
    <w:tbl>
      <w:tblPr>
        <w:tblW w:w="10205" w:type="dxa"/>
        <w:jc w:val="left"/>
        <w:tblInd w:w="0" w:type="dxa"/>
        <w:tblLayout w:type="fixed"/>
        <w:tblCellMar>
          <w:top w:w="0" w:type="dxa"/>
          <w:left w:w="0" w:type="dxa"/>
          <w:bottom w:w="0" w:type="dxa"/>
          <w:right w:w="0" w:type="dxa"/>
        </w:tblCellMar>
      </w:tblPr>
      <w:tblGrid>
        <w:gridCol w:w="23"/>
        <w:gridCol w:w="279"/>
        <w:gridCol w:w="9903"/>
      </w:tblGrid>
      <w:tr>
        <w:trPr/>
        <w:tc>
          <w:tcPr>
            <w:tcW w:w="2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7.2.</w:t>
            </w:r>
          </w:p>
        </w:tc>
        <w:tc>
          <w:tcPr>
            <w:tcW w:w="9903"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Any dispute arising under or in connection with this Agreement shall be settled by the parties through negotiation. If the parties fail to reach an agreement within 30 days after the dispute arises, the dispute shall be submitted to China International Economic and Trade Arbitration Commission for arbitration in Beijing by three arbitrators in accordance with its arbitration rules in force at that time. The party initiating the arbitration and the respondent shall each appoint one arbitrator, and the third arbitrator shall be appointed by China International Economic and Trade Arbitration Commission. If there are more than two persons (natural person or legal person) of the party initiating arbitration or the respondent, one arbitrator shall be appointed by the two persons through written consensus. The arbitration award is final and binding on all parties to the dispute. During the dispute settlement period, except for the matters in dispute, the Parties to this Agreement shall continue to exercise their respective rights and perform their respective obligations under this Agreement.</w:t>
            </w:r>
          </w:p>
        </w:tc>
      </w:tr>
    </w:tbl>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82"/>
        <w:gridCol w:w="9900"/>
      </w:tblGrid>
      <w:tr>
        <w:trPr/>
        <w:tc>
          <w:tcPr>
            <w:tcW w:w="2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7.3.</w:t>
            </w:r>
          </w:p>
        </w:tc>
        <w:tc>
          <w:tcPr>
            <w:tcW w:w="990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Parties hereby specifically acknowledge and undertake that, subject to the provisions of the PRC law, the arbitrators have the right to make appropriate awards according to the actual situation, so as to give Lender appropriate legal remedies, including but not limited to restricting the Domestic Company's business operation, restricting and / or disposing Domestic Company's equities or assets (including land assets) (including but not limited to taking them as compensation), or forbidding transfer or dispose, or taking other relevant remedies, or ordering the winding up of the Domestic Company. The Parties shall perform such awards.</w:t>
            </w:r>
          </w:p>
        </w:tc>
      </w:tr>
    </w:tbl>
    <w:tbl>
      <w:tblPr>
        <w:tblW w:w="10205" w:type="dxa"/>
        <w:jc w:val="left"/>
        <w:tblInd w:w="0" w:type="dxa"/>
        <w:tblLayout w:type="fixed"/>
        <w:tblCellMar>
          <w:top w:w="0" w:type="dxa"/>
          <w:left w:w="0" w:type="dxa"/>
          <w:bottom w:w="0" w:type="dxa"/>
          <w:right w:w="0" w:type="dxa"/>
        </w:tblCellMar>
      </w:tblPr>
      <w:tblGrid>
        <w:gridCol w:w="23"/>
        <w:gridCol w:w="282"/>
        <w:gridCol w:w="9900"/>
      </w:tblGrid>
      <w:tr>
        <w:trPr/>
        <w:tc>
          <w:tcPr>
            <w:tcW w:w="2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7.4.</w:t>
            </w:r>
          </w:p>
        </w:tc>
        <w:tc>
          <w:tcPr>
            <w:tcW w:w="990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Subject to the provisions of the PRC law, as property preservation or enforcement measures, at the request of one party to the dispute, the court with jurisdiction has the right to make an award or judgment before the formation of the arbitration tribunal or under other appropriate circumstances permitted by law, and to grant interim remedies to the party to the dispute, such as an award or judgment on detaining or freezing the properties or equities of the defaulting party. Such rights of one party to the dispute and the award or judgment made by the court in this regard shall not affect the validity of the above arbitration clause agreed by all parties.</w:t>
            </w:r>
          </w:p>
        </w:tc>
      </w:tr>
    </w:tbl>
    <w:tbl>
      <w:tblPr>
        <w:tblW w:w="10205" w:type="dxa"/>
        <w:jc w:val="left"/>
        <w:tblInd w:w="0" w:type="dxa"/>
        <w:tblLayout w:type="fixed"/>
        <w:tblCellMar>
          <w:top w:w="0" w:type="dxa"/>
          <w:left w:w="0" w:type="dxa"/>
          <w:bottom w:w="0" w:type="dxa"/>
          <w:right w:w="0" w:type="dxa"/>
        </w:tblCellMar>
      </w:tblPr>
      <w:tblGrid>
        <w:gridCol w:w="23"/>
        <w:gridCol w:w="311"/>
        <w:gridCol w:w="9871"/>
      </w:tblGrid>
      <w:tr>
        <w:trPr/>
        <w:tc>
          <w:tcPr>
            <w:tcW w:w="2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7.5.</w:t>
            </w:r>
          </w:p>
        </w:tc>
        <w:tc>
          <w:tcPr>
            <w:tcW w:w="9871"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After the arbitration award comes into effect, either Party has the right to apply to the court with jurisdiction for enforcement of the arbitration award.</w:t>
            </w:r>
          </w:p>
        </w:tc>
      </w:tr>
    </w:tbl>
    <w:tbl>
      <w:tblPr>
        <w:tblW w:w="10205" w:type="dxa"/>
        <w:jc w:val="left"/>
        <w:tblInd w:w="0" w:type="dxa"/>
        <w:tblLayout w:type="fixed"/>
        <w:tblCellMar>
          <w:top w:w="0" w:type="dxa"/>
          <w:left w:w="0" w:type="dxa"/>
          <w:bottom w:w="0" w:type="dxa"/>
          <w:right w:w="0" w:type="dxa"/>
        </w:tblCellMar>
      </w:tblPr>
      <w:tblGrid>
        <w:gridCol w:w="23"/>
        <w:gridCol w:w="289"/>
        <w:gridCol w:w="9893"/>
      </w:tblGrid>
      <w:tr>
        <w:trPr/>
        <w:tc>
          <w:tcPr>
            <w:tcW w:w="23"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7.6.</w:t>
            </w:r>
          </w:p>
        </w:tc>
        <w:tc>
          <w:tcPr>
            <w:tcW w:w="9893"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Parties agree that: the courts in (i) the Hong Kong Special Administrative Region; (ii) the registered place of Cloud Music Inc.; (iii) the registered place of the Domestic Company; and (iv) the place where main assets of Cloud Music Inc. or the Domestic Company are located shall be deemed to have jurisdiction for the purpose of this article.</w:t>
            </w:r>
          </w:p>
        </w:tc>
      </w:tr>
    </w:tbl>
    <w:tbl>
      <w:tblPr>
        <w:tblW w:w="1390" w:type="dxa"/>
        <w:jc w:val="left"/>
        <w:tblInd w:w="0" w:type="dxa"/>
        <w:tblLayout w:type="fixed"/>
        <w:tblCellMar>
          <w:top w:w="0" w:type="dxa"/>
          <w:left w:w="0" w:type="dxa"/>
          <w:bottom w:w="0" w:type="dxa"/>
          <w:right w:w="0" w:type="dxa"/>
        </w:tblCellMar>
      </w:tblPr>
      <w:tblGrid>
        <w:gridCol w:w="170"/>
        <w:gridCol w:w="1220"/>
      </w:tblGrid>
      <w:tr>
        <w:trPr/>
        <w:tc>
          <w:tcPr>
            <w:tcW w:w="170"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8.</w:t>
            </w:r>
          </w:p>
        </w:tc>
        <w:tc>
          <w:tcPr>
            <w:tcW w:w="1220"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Miscellaneous</w:t>
            </w:r>
          </w:p>
        </w:tc>
      </w:tr>
    </w:tbl>
    <w:tbl>
      <w:tblPr>
        <w:tblW w:w="10205" w:type="dxa"/>
        <w:jc w:val="left"/>
        <w:tblInd w:w="0" w:type="dxa"/>
        <w:tblLayout w:type="fixed"/>
        <w:tblCellMar>
          <w:top w:w="0" w:type="dxa"/>
          <w:left w:w="0" w:type="dxa"/>
          <w:bottom w:w="0" w:type="dxa"/>
          <w:right w:w="0" w:type="dxa"/>
        </w:tblCellMar>
      </w:tblPr>
      <w:tblGrid>
        <w:gridCol w:w="23"/>
        <w:gridCol w:w="305"/>
        <w:gridCol w:w="9877"/>
      </w:tblGrid>
      <w:tr>
        <w:trPr/>
        <w:tc>
          <w:tcPr>
            <w:tcW w:w="2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8.1.</w:t>
            </w:r>
          </w:p>
        </w:tc>
        <w:tc>
          <w:tcPr>
            <w:tcW w:w="987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This Agreement shall become effective on the date hereof, and shall expire upon the date of full performance by the Parties of their respective obligations under this Agreement.</w:t>
            </w:r>
          </w:p>
        </w:tc>
      </w:tr>
    </w:tbl>
    <w:tbl>
      <w:tblPr>
        <w:tblW w:w="10205" w:type="dxa"/>
        <w:jc w:val="left"/>
        <w:tblInd w:w="0" w:type="dxa"/>
        <w:tblLayout w:type="fixed"/>
        <w:tblCellMar>
          <w:top w:w="0" w:type="dxa"/>
          <w:left w:w="0" w:type="dxa"/>
          <w:bottom w:w="0" w:type="dxa"/>
          <w:right w:w="0" w:type="dxa"/>
        </w:tblCellMar>
      </w:tblPr>
      <w:tblGrid>
        <w:gridCol w:w="23"/>
        <w:gridCol w:w="317"/>
        <w:gridCol w:w="9865"/>
      </w:tblGrid>
      <w:tr>
        <w:trPr/>
        <w:tc>
          <w:tcPr>
            <w:tcW w:w="2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8.2.</w:t>
            </w:r>
          </w:p>
        </w:tc>
        <w:tc>
          <w:tcPr>
            <w:tcW w:w="986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This Agreement may not be amended or modified in any manner except by an instrument in writing signed by the Parties hereto.</w:t>
            </w:r>
          </w:p>
        </w:tc>
      </w:tr>
    </w:tbl>
    <w:tbl>
      <w:tblPr>
        <w:tblW w:w="10205" w:type="dxa"/>
        <w:jc w:val="left"/>
        <w:tblInd w:w="0" w:type="dxa"/>
        <w:tblLayout w:type="fixed"/>
        <w:tblCellMar>
          <w:top w:w="0" w:type="dxa"/>
          <w:left w:w="0" w:type="dxa"/>
          <w:bottom w:w="0" w:type="dxa"/>
          <w:right w:w="0" w:type="dxa"/>
        </w:tblCellMar>
      </w:tblPr>
      <w:tblGrid>
        <w:gridCol w:w="23"/>
        <w:gridCol w:w="284"/>
        <w:gridCol w:w="9898"/>
      </w:tblGrid>
      <w:tr>
        <w:trPr/>
        <w:tc>
          <w:tcPr>
            <w:tcW w:w="2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8.3.</w:t>
            </w:r>
          </w:p>
        </w:tc>
        <w:tc>
          <w:tcPr>
            <w:tcW w:w="9898"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No waiver of any provision of this Agreement shall be effective unless made in writing and signed by the Parties. The waiver by any Party of a breach of any provision of this Agreement shall not operate or be construed as a waiver of any preceding or succeeding breach and no failure by either Party to exercise any right or privilege hereunder shall be deemed a waiver of such Party’s rights or privileges hereunder or shall be deemed a waiver of such Party’s rights to exercise the same at any subsequent time or times hereunder.</w:t>
            </w:r>
          </w:p>
        </w:tc>
      </w:tr>
    </w:tbl>
    <w:tbl>
      <w:tblPr>
        <w:tblW w:w="10205" w:type="dxa"/>
        <w:jc w:val="left"/>
        <w:tblInd w:w="0" w:type="dxa"/>
        <w:tblLayout w:type="fixed"/>
        <w:tblCellMar>
          <w:top w:w="0" w:type="dxa"/>
          <w:left w:w="0" w:type="dxa"/>
          <w:bottom w:w="0" w:type="dxa"/>
          <w:right w:w="0" w:type="dxa"/>
        </w:tblCellMar>
      </w:tblPr>
      <w:tblGrid>
        <w:gridCol w:w="23"/>
        <w:gridCol w:w="296"/>
        <w:gridCol w:w="9886"/>
      </w:tblGrid>
      <w:tr>
        <w:trPr/>
        <w:tc>
          <w:tcPr>
            <w:tcW w:w="2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8.4.</w:t>
            </w:r>
          </w:p>
        </w:tc>
        <w:tc>
          <w:tcPr>
            <w:tcW w:w="9886"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If any provision of this Agreement is deemed or becomes invalid, illegal or unenforceable, such provision shall be construed or deemed amended to conform to applicable laws so as to be valid and enforceable; or, if it cannot be so construed</w:t>
            </w:r>
          </w:p>
        </w:tc>
      </w:tr>
    </w:tbl>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1440" w:right="0" w:hanging="0"/>
        <w:jc w:val="both"/>
        <w:rPr>
          <w:rFonts w:ascii="Times New Roman;Times;serif" w:hAnsi="Times New Roman;Times;serif"/>
          <w:sz w:val="20"/>
        </w:rPr>
      </w:pPr>
      <w:r>
        <w:rPr>
          <w:rFonts w:ascii="Times New Roman;Times;serif" w:hAnsi="Times New Roman;Times;serif"/>
          <w:sz w:val="20"/>
        </w:rPr>
        <w:t>or deemed amended without materially altering the intention of the Parties, it shall be stricken and the remainder of this Agreement shall remain in full force and effect.</w:t>
      </w:r>
    </w:p>
    <w:tbl>
      <w:tblPr>
        <w:tblW w:w="10205" w:type="dxa"/>
        <w:jc w:val="left"/>
        <w:tblInd w:w="0" w:type="dxa"/>
        <w:tblLayout w:type="fixed"/>
        <w:tblCellMar>
          <w:top w:w="0" w:type="dxa"/>
          <w:left w:w="0" w:type="dxa"/>
          <w:bottom w:w="0" w:type="dxa"/>
          <w:right w:w="0" w:type="dxa"/>
        </w:tblCellMar>
      </w:tblPr>
      <w:tblGrid>
        <w:gridCol w:w="23"/>
        <w:gridCol w:w="281"/>
        <w:gridCol w:w="9901"/>
      </w:tblGrid>
      <w:tr>
        <w:trPr/>
        <w:tc>
          <w:tcPr>
            <w:tcW w:w="2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8.5.</w:t>
            </w:r>
          </w:p>
        </w:tc>
        <w:tc>
          <w:tcPr>
            <w:tcW w:w="9901"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If required under any applicable law, regulations or listing rules or required or deemed desirable by any stock exchange, government or other regulatory authority having competent jurisdiction over the Parties and their affiliates (the “</w:t>
            </w:r>
            <w:r>
              <w:rPr>
                <w:rFonts w:ascii="Times New Roman;Times;serif" w:hAnsi="Times New Roman;Times;serif"/>
                <w:b/>
                <w:sz w:val="20"/>
              </w:rPr>
              <w:t>Applicable Requirements</w:t>
            </w:r>
            <w:r>
              <w:rPr>
                <w:rFonts w:ascii="Times New Roman;Times;serif" w:hAnsi="Times New Roman;Times;serif"/>
                <w:sz w:val="20"/>
              </w:rPr>
              <w:t>”), Borrower agrees and undertakes to (a) take all such actions (including the amendment of this Agreement and its appendices, any authorizations, documents and notices entered into or delivered in connection with this Agreement and the execution of additional documents) to comply with or, as applicable, meet the Applicable Requirements and (b) take all actions referred to in paragraph (a) above within 3 Business Days from demand by Lender.</w:t>
            </w:r>
          </w:p>
        </w:tc>
      </w:tr>
    </w:tbl>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[Signature page follows]</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sz w:val="20"/>
        </w:rPr>
        <w:t>IN WITNESS WHEREOF</w:t>
      </w:r>
      <w:r>
        <w:rPr>
          <w:rFonts w:ascii="Times New Roman;Times;serif" w:hAnsi="Times New Roman;Times;serif"/>
          <w:sz w:val="20"/>
        </w:rPr>
        <w:t>, this Agreement has been duly executed by the Parties as of the date first above written.</w:t>
      </w:r>
    </w:p>
    <w:p>
      <w:pPr>
        <w:pStyle w:val="TextBody"/>
        <w:bidi w:val="0"/>
        <w:spacing w:before="0" w:after="0"/>
        <w:ind w:left="0" w:right="0" w:hanging="0"/>
        <w:jc w:val="left"/>
        <w:rPr/>
      </w:pPr>
      <w:r>
        <w:rPr/>
        <w:t>​</w:t>
      </w:r>
    </w:p>
    <w:tbl>
      <w:tblPr>
        <w:tblW w:w="5585" w:type="dxa"/>
        <w:jc w:val="left"/>
        <w:tblInd w:w="0" w:type="dxa"/>
        <w:tblLayout w:type="fixed"/>
        <w:tblCellMar>
          <w:top w:w="0" w:type="dxa"/>
          <w:left w:w="0" w:type="dxa"/>
          <w:bottom w:w="0" w:type="dxa"/>
          <w:right w:w="0" w:type="dxa"/>
        </w:tblCellMar>
      </w:tblPr>
      <w:tblGrid>
        <w:gridCol w:w="124"/>
        <w:gridCol w:w="781"/>
        <w:gridCol w:w="820"/>
        <w:gridCol w:w="3860"/>
      </w:tblGrid>
      <w:tr>
        <w:trPr/>
        <w:tc>
          <w:tcPr>
            <w:tcW w:w="124"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Lender:</w:t>
            </w:r>
          </w:p>
        </w:tc>
        <w:tc>
          <w:tcPr>
            <w:tcW w:w="468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Hangzhou NetEase Cloud Music Technology Co., Ltd.</w:t>
            </w:r>
          </w:p>
        </w:tc>
      </w:tr>
      <w:tr>
        <w:trPr/>
        <w:tc>
          <w:tcPr>
            <w:tcW w:w="124" w:type="dxa"/>
            <w:tcBorders/>
            <w:vAlign w:val="center"/>
          </w:tcPr>
          <w:p>
            <w:pPr>
              <w:pStyle w:val="TableContents"/>
              <w:bidi w:val="0"/>
              <w:spacing w:before="0" w:after="0"/>
              <w:ind w:left="0" w:right="0" w:hanging="0"/>
              <w:jc w:val="left"/>
              <w:rPr/>
            </w:pPr>
            <w:r>
              <w:rPr/>
              <w:t>​</w:t>
            </w:r>
          </w:p>
        </w:tc>
        <w:tc>
          <w:tcPr>
            <w:tcW w:w="5461"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82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Seal:</w:t>
            </w:r>
          </w:p>
        </w:tc>
        <w:tc>
          <w:tcPr>
            <w:tcW w:w="386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 Company chop is affixed</w:t>
            </w:r>
          </w:p>
        </w:tc>
      </w:tr>
    </w:tbl>
    <w:p>
      <w:pPr>
        <w:pStyle w:val="TextBody"/>
        <w:pBdr/>
        <w:bidi w:val="0"/>
        <w:spacing w:before="0" w:after="0"/>
        <w:ind w:left="0" w:right="0" w:hanging="1800"/>
        <w:jc w:val="both"/>
        <w:rPr/>
      </w:pPr>
      <w:r>
        <w:rPr/>
        <w:t>​</w:t>
      </w:r>
    </w:p>
    <w:tbl>
      <w:tblPr>
        <w:tblW w:w="3097" w:type="dxa"/>
        <w:jc w:val="left"/>
        <w:tblInd w:w="0" w:type="dxa"/>
        <w:tblLayout w:type="fixed"/>
        <w:tblCellMar>
          <w:top w:w="0" w:type="dxa"/>
          <w:left w:w="0" w:type="dxa"/>
          <w:bottom w:w="0" w:type="dxa"/>
          <w:right w:w="0" w:type="dxa"/>
        </w:tblCellMar>
      </w:tblPr>
      <w:tblGrid>
        <w:gridCol w:w="124"/>
        <w:gridCol w:w="1006"/>
        <w:gridCol w:w="991"/>
        <w:gridCol w:w="976"/>
      </w:tblGrid>
      <w:tr>
        <w:trPr/>
        <w:tc>
          <w:tcPr>
            <w:tcW w:w="124"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Borrower:</w:t>
            </w:r>
          </w:p>
        </w:tc>
        <w:tc>
          <w:tcPr>
            <w:tcW w:w="196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Wei Li</w:t>
            </w:r>
          </w:p>
        </w:tc>
      </w:tr>
      <w:tr>
        <w:trPr/>
        <w:tc>
          <w:tcPr>
            <w:tcW w:w="124" w:type="dxa"/>
            <w:tcBorders/>
            <w:vAlign w:val="center"/>
          </w:tcPr>
          <w:p>
            <w:pPr>
              <w:pStyle w:val="TableContents"/>
              <w:bidi w:val="0"/>
              <w:spacing w:before="0" w:after="0"/>
              <w:ind w:left="0" w:right="0" w:hanging="0"/>
              <w:jc w:val="left"/>
              <w:rPr/>
            </w:pPr>
            <w:r>
              <w:rPr/>
              <w:t>​</w:t>
            </w:r>
          </w:p>
        </w:tc>
        <w:tc>
          <w:tcPr>
            <w:tcW w:w="2973"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Signature:</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 Wei Li</w:t>
            </w:r>
          </w:p>
        </w:tc>
      </w:tr>
    </w:tbl>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Exhibit A</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SUPPLEMENTAL AGREEMENT TO LOAN AGREEMENT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This </w:t>
      </w:r>
      <w:r>
        <w:rPr>
          <w:rFonts w:ascii="Times New Roman;Times;serif" w:hAnsi="Times New Roman;Times;serif"/>
          <w:b/>
          <w:sz w:val="20"/>
        </w:rPr>
        <w:t xml:space="preserve">SUPPLEMENTAL AGREEMENT </w:t>
      </w:r>
      <w:r>
        <w:rPr>
          <w:rFonts w:ascii="Times New Roman;Times;serif" w:hAnsi="Times New Roman;Times;serif"/>
          <w:sz w:val="20"/>
        </w:rPr>
        <w:t>(this “</w:t>
      </w:r>
      <w:r>
        <w:rPr>
          <w:rFonts w:ascii="Times New Roman;Times;serif" w:hAnsi="Times New Roman;Times;serif"/>
          <w:b/>
          <w:sz w:val="20"/>
        </w:rPr>
        <w:t>Supplemental Agreement</w:t>
      </w:r>
      <w:r>
        <w:rPr>
          <w:rFonts w:ascii="Times New Roman;Times;serif" w:hAnsi="Times New Roman;Times;serif"/>
          <w:sz w:val="20"/>
        </w:rPr>
        <w:t xml:space="preserve">”) to that certain Loan Agreement dated </w:t>
      </w:r>
      <w:r>
        <w:rPr>
          <w:rFonts w:ascii="Times New Roman;Times;serif" w:hAnsi="Times New Roman;Times;serif"/>
          <w:sz w:val="20"/>
          <w:u w:val="single"/>
        </w:rPr>
        <w:t>November 2, 2023</w:t>
      </w:r>
      <w:r>
        <w:rPr>
          <w:rFonts w:ascii="Times New Roman;Times;serif" w:hAnsi="Times New Roman;Times;serif"/>
          <w:sz w:val="20"/>
        </w:rPr>
        <w:t xml:space="preserve"> (as the same may be amended and supplemented from time to time, the “</w:t>
      </w:r>
      <w:r>
        <w:rPr>
          <w:rFonts w:ascii="Times New Roman;Times;serif" w:hAnsi="Times New Roman;Times;serif"/>
          <w:b/>
          <w:sz w:val="20"/>
        </w:rPr>
        <w:t>Agreement</w:t>
      </w:r>
      <w:r>
        <w:rPr>
          <w:rFonts w:ascii="Times New Roman;Times;serif" w:hAnsi="Times New Roman;Times;serif"/>
          <w:sz w:val="20"/>
        </w:rPr>
        <w:t>”) is entered into as of ___________________ by and between Hangzhou NetEase Cloud Music Technology Co., Ltd. (“</w:t>
      </w:r>
      <w:r>
        <w:rPr>
          <w:rFonts w:ascii="Times New Roman;Times;serif" w:hAnsi="Times New Roman;Times;serif"/>
          <w:b/>
          <w:sz w:val="20"/>
        </w:rPr>
        <w:t>Lender</w:t>
      </w:r>
      <w:r>
        <w:rPr>
          <w:rFonts w:ascii="Times New Roman;Times;serif" w:hAnsi="Times New Roman;Times;serif"/>
          <w:sz w:val="20"/>
        </w:rPr>
        <w:t>”), a wholly foreign-owned enterprise incorporated in the People’s Republic of China (the “</w:t>
      </w:r>
      <w:r>
        <w:rPr>
          <w:rFonts w:ascii="Times New Roman;Times;serif" w:hAnsi="Times New Roman;Times;serif"/>
          <w:b/>
          <w:sz w:val="20"/>
        </w:rPr>
        <w:t>PRC</w:t>
      </w:r>
      <w:r>
        <w:rPr>
          <w:rFonts w:ascii="Times New Roman;Times;serif" w:hAnsi="Times New Roman;Times;serif"/>
          <w:sz w:val="20"/>
        </w:rPr>
        <w:t>”), and Wei Li (“</w:t>
      </w:r>
      <w:r>
        <w:rPr>
          <w:rFonts w:ascii="Times New Roman;Times;serif" w:hAnsi="Times New Roman;Times;serif"/>
          <w:b/>
          <w:sz w:val="20"/>
        </w:rPr>
        <w:t>Borrower</w:t>
      </w:r>
      <w:r>
        <w:rPr>
          <w:rFonts w:ascii="Times New Roman;Times;serif" w:hAnsi="Times New Roman;Times;serif"/>
          <w:sz w:val="20"/>
        </w:rPr>
        <w:t>”), a citizen of the PRC and owner of 1% of the equity interests of Hangzhou Yuedu Technology Co., Ltd. (the “</w:t>
      </w:r>
      <w:r>
        <w:rPr>
          <w:rFonts w:ascii="Times New Roman;Times;serif" w:hAnsi="Times New Roman;Times;serif"/>
          <w:b/>
          <w:sz w:val="20"/>
        </w:rPr>
        <w:t>Domestic Company</w:t>
      </w:r>
      <w:r>
        <w:rPr>
          <w:rFonts w:ascii="Times New Roman;Times;serif" w:hAnsi="Times New Roman;Times;serif"/>
          <w:sz w:val="20"/>
        </w:rPr>
        <w:t>”). Lender and Borrower are hereinafter collectively referred to as the “</w:t>
      </w:r>
      <w:r>
        <w:rPr>
          <w:rFonts w:ascii="Times New Roman;Times;serif" w:hAnsi="Times New Roman;Times;serif"/>
          <w:b/>
          <w:sz w:val="20"/>
        </w:rPr>
        <w:t>Parties</w:t>
      </w:r>
      <w:r>
        <w:rPr>
          <w:rFonts w:ascii="Times New Roman;Times;serif" w:hAnsi="Times New Roman;Times;serif"/>
          <w:sz w:val="20"/>
        </w:rPr>
        <w:t>” and each individually as a “</w:t>
      </w:r>
      <w:r>
        <w:rPr>
          <w:rFonts w:ascii="Times New Roman;Times;serif" w:hAnsi="Times New Roman;Times;serif"/>
          <w:b/>
          <w:sz w:val="20"/>
        </w:rPr>
        <w:t>Party</w:t>
      </w:r>
      <w:r>
        <w:rPr>
          <w:rFonts w:ascii="Times New Roman;Times;serif" w:hAnsi="Times New Roman;Times;serif"/>
          <w:sz w:val="20"/>
        </w:rPr>
        <w:t>.” Capitalized terms used herein and not otherwise defined shall have the respective meanings assigned to them in the Agreement.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the Parties desire to supplement the Agreement in connection with the extension of a new loan from Lender to Borrower in connection with [an increase in the Company’s registered capital], as herein provided.</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sz w:val="20"/>
        </w:rPr>
        <w:t>NOW THEREFORE</w:t>
      </w:r>
      <w:r>
        <w:rPr>
          <w:rFonts w:ascii="Times New Roman;Times;serif" w:hAnsi="Times New Roman;Times;serif"/>
          <w:sz w:val="20"/>
        </w:rPr>
        <w:t>, in consideration of the mutual agreements contained herein and subject to the terms and conditions herein set forth, the Parties agree that the Agreement is hereby amended and supplemented as follows:</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w:t>
            </w:r>
          </w:p>
        </w:tc>
        <w:tc>
          <w:tcPr>
            <w:tcW w:w="10046"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Lender agrees to provide an additional loan to Borrower with an aggregate principal amount of RMB ___________________ (the “</w:t>
            </w:r>
            <w:r>
              <w:rPr>
                <w:rFonts w:ascii="Times New Roman;Times;serif" w:hAnsi="Times New Roman;Times;serif"/>
                <w:b/>
                <w:sz w:val="20"/>
              </w:rPr>
              <w:t>Additional Loan</w:t>
            </w:r>
            <w:r>
              <w:rPr>
                <w:rFonts w:ascii="Times New Roman;Times;serif" w:hAnsi="Times New Roman;Times;serif"/>
                <w:sz w:val="20"/>
              </w:rPr>
              <w:t>”</w:t>
            </w:r>
            <w:r>
              <w:rPr>
                <w:rFonts w:ascii="Times New Roman;Times;serif" w:hAnsi="Times New Roman;Times;serif"/>
                <w:i/>
                <w:sz w:val="20"/>
              </w:rPr>
              <w:t>)</w:t>
            </w: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2.</w:t>
            </w:r>
          </w:p>
        </w:tc>
        <w:tc>
          <w:tcPr>
            <w:tcW w:w="10048"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Borrower confirms that he has received the total amount of the Additional Loan and [has invested it into the Domestic Company as an additional capital contribution].</w:t>
            </w:r>
          </w:p>
        </w:tc>
      </w:tr>
    </w:tbl>
    <w:tbl>
      <w:tblPr>
        <w:tblW w:w="10205" w:type="dxa"/>
        <w:jc w:val="left"/>
        <w:tblInd w:w="0" w:type="dxa"/>
        <w:tblLayout w:type="fixed"/>
        <w:tblCellMar>
          <w:top w:w="0" w:type="dxa"/>
          <w:left w:w="0" w:type="dxa"/>
          <w:bottom w:w="0" w:type="dxa"/>
          <w:right w:w="0" w:type="dxa"/>
        </w:tblCellMar>
      </w:tblPr>
      <w:tblGrid>
        <w:gridCol w:w="139"/>
        <w:gridCol w:w="10066"/>
      </w:tblGrid>
      <w:tr>
        <w:trPr/>
        <w:tc>
          <w:tcPr>
            <w:tcW w:w="139"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3.</w:t>
            </w:r>
          </w:p>
        </w:tc>
        <w:tc>
          <w:tcPr>
            <w:tcW w:w="10066"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definition of, and any reference to, “Loan” in the Agreement shall be deemed to include the Additional Loan, and the Additional Loan shall be subject to the same terms and conditions of the Loan as provided in the Agreement. For the avoidance of doubt, the term of the Additional Loan shall be the same as the term of the Loan as specified in the Agreement.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4.</w:t>
            </w:r>
          </w:p>
        </w:tc>
        <w:tc>
          <w:tcPr>
            <w:tcW w:w="10061"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Each Party hereto represents and warrants to the other Party hereto that this Supplemental Agreement has been duly authorized, executed and delivered by it/he and constitutes a valid and legally binding agreement with respect to the subject matter contained herein.</w:t>
            </w:r>
          </w:p>
        </w:tc>
      </w:tr>
    </w:tbl>
    <w:tbl>
      <w:tblPr>
        <w:tblW w:w="9310" w:type="dxa"/>
        <w:jc w:val="left"/>
        <w:tblInd w:w="0" w:type="dxa"/>
        <w:tblLayout w:type="fixed"/>
        <w:tblCellMar>
          <w:top w:w="0" w:type="dxa"/>
          <w:left w:w="0" w:type="dxa"/>
          <w:bottom w:w="0" w:type="dxa"/>
          <w:right w:w="0" w:type="dxa"/>
        </w:tblCellMar>
      </w:tblPr>
      <w:tblGrid>
        <w:gridCol w:w="170"/>
        <w:gridCol w:w="9140"/>
      </w:tblGrid>
      <w:tr>
        <w:trPr/>
        <w:tc>
          <w:tcPr>
            <w:tcW w:w="17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5.</w:t>
            </w:r>
          </w:p>
        </w:tc>
        <w:tc>
          <w:tcPr>
            <w:tcW w:w="914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Articles 6, 7 and 8 of the Agreement are hereby incorporated into this Supplemental Agreement by this reference.</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6.</w:t>
            </w:r>
          </w:p>
        </w:tc>
        <w:tc>
          <w:tcPr>
            <w:tcW w:w="10061"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This Supplemental Agreement contains the entire agreement between the Parties with respect to the subject matter of this Supplemental Agreement and supersedes and extinguishes all prior agreement and understandings, oral or written, with respect to such matter.</w:t>
            </w:r>
          </w:p>
        </w:tc>
      </w:tr>
    </w:tbl>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7.</w:t>
            </w:r>
          </w:p>
        </w:tc>
        <w:tc>
          <w:tcPr>
            <w:tcW w:w="10043"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As amended and supplemented hereby, the terms and conditions and all the provisions of the Agreement are and will remain in full force and effect.</w:t>
            </w:r>
          </w:p>
        </w:tc>
      </w:tr>
    </w:tbl>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8.</w:t>
            </w:r>
          </w:p>
        </w:tc>
        <w:tc>
          <w:tcPr>
            <w:tcW w:w="10059"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This Supplemental Agreement may be executed in one or more counterparts, each of which shall be deemed to be an original instrument by the Parties executing such counterpart, but all of which shall be considered one and the same instrument.</w:t>
            </w:r>
          </w:p>
        </w:tc>
      </w:tr>
    </w:tbl>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[Signature page follows]</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IN WITNESS WHEREOF</w:t>
      </w:r>
      <w:r>
        <w:rPr>
          <w:rFonts w:ascii="Times New Roman;Times;serif" w:hAnsi="Times New Roman;Times;serif"/>
          <w:sz w:val="20"/>
        </w:rPr>
        <w:t>, this Supplemental Agreement has been signed by the Parties hereto as of the date first written above.</w:t>
      </w:r>
    </w:p>
    <w:p>
      <w:pPr>
        <w:pStyle w:val="TextBody"/>
        <w:bidi w:val="0"/>
        <w:spacing w:before="0" w:after="0"/>
        <w:ind w:left="0" w:right="0" w:hanging="0"/>
        <w:jc w:val="left"/>
        <w:rPr/>
      </w:pPr>
      <w:r>
        <w:rPr/>
        <w:t>​</w:t>
      </w:r>
    </w:p>
    <w:tbl>
      <w:tblPr>
        <w:tblW w:w="5810" w:type="dxa"/>
        <w:jc w:val="center"/>
        <w:tblInd w:w="0" w:type="dxa"/>
        <w:tblLayout w:type="fixed"/>
        <w:tblCellMar>
          <w:top w:w="0" w:type="dxa"/>
          <w:left w:w="0" w:type="dxa"/>
          <w:bottom w:w="0" w:type="dxa"/>
          <w:right w:w="0" w:type="dxa"/>
        </w:tblCellMar>
      </w:tblPr>
      <w:tblGrid>
        <w:gridCol w:w="124"/>
        <w:gridCol w:w="1006"/>
        <w:gridCol w:w="4012"/>
        <w:gridCol w:w="668"/>
      </w:tblGrid>
      <w:tr>
        <w:trPr/>
        <w:tc>
          <w:tcPr>
            <w:tcW w:w="124"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Lender:</w:t>
            </w:r>
          </w:p>
        </w:tc>
        <w:tc>
          <w:tcPr>
            <w:tcW w:w="468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Hangzhou NetEase Cloud Music Technology Co., Ltd.</w:t>
            </w:r>
          </w:p>
        </w:tc>
      </w:tr>
      <w:tr>
        <w:trPr/>
        <w:tc>
          <w:tcPr>
            <w:tcW w:w="124"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468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401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Seal:</w:t>
            </w:r>
          </w:p>
        </w:tc>
        <w:tc>
          <w:tcPr>
            <w:tcW w:w="66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4012" w:type="dxa"/>
            <w:tcBorders/>
            <w:vAlign w:val="center"/>
          </w:tcPr>
          <w:p>
            <w:pPr>
              <w:pStyle w:val="TableContents"/>
              <w:bidi w:val="0"/>
              <w:spacing w:before="0" w:after="0"/>
              <w:ind w:left="0" w:right="0" w:hanging="0"/>
              <w:jc w:val="left"/>
              <w:rPr/>
            </w:pPr>
            <w:r>
              <w:rPr/>
              <w:t>​</w:t>
            </w:r>
          </w:p>
        </w:tc>
        <w:tc>
          <w:tcPr>
            <w:tcW w:w="668"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468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Borrower:</w:t>
            </w:r>
          </w:p>
        </w:tc>
        <w:tc>
          <w:tcPr>
            <w:tcW w:w="468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Wei Li</w:t>
            </w:r>
          </w:p>
        </w:tc>
      </w:tr>
      <w:tr>
        <w:trPr/>
        <w:tc>
          <w:tcPr>
            <w:tcW w:w="124"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468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401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Signature:</w:t>
            </w:r>
          </w:p>
        </w:tc>
        <w:tc>
          <w:tcPr>
            <w:tcW w:w="66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Exhibit B                 SPOUSAL CONSENT LETTER</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I, </w:t>
      </w:r>
      <w:r>
        <w:rPr>
          <w:rFonts w:ascii="Times New Roman;Times;serif" w:hAnsi="Times New Roman;Times;serif"/>
          <w:sz w:val="20"/>
          <w:u w:val="single"/>
        </w:rPr>
        <w:t>          </w:t>
      </w:r>
      <w:r>
        <w:rPr>
          <w:rFonts w:ascii="Times New Roman;Times;serif" w:hAnsi="Times New Roman;Times;serif"/>
          <w:sz w:val="20"/>
        </w:rPr>
        <w:t xml:space="preserve"> (ID Card No.:                      ), am the lawful spouse of Wei Li (ID Card No.:  </w:t>
      </w:r>
      <w:r>
        <w:rPr>
          <w:rFonts w:ascii="Times New Roman;Times;serif" w:hAnsi="Times New Roman;Times;serif"/>
          <w:sz w:val="20"/>
          <w:u w:val="single"/>
        </w:rPr>
        <w:t>         </w:t>
      </w:r>
      <w:r>
        <w:rPr>
          <w:rFonts w:ascii="Times New Roman;Times;serif" w:hAnsi="Times New Roman;Times;serif"/>
          <w:sz w:val="20"/>
        </w:rPr>
        <w:t xml:space="preserve">).  I hereby unconditionally consent and agree that the disposition of the equity interest in </w:t>
      </w:r>
      <w:r>
        <w:rPr>
          <w:rFonts w:ascii="Times New Roman;Times;serif" w:hAnsi="Times New Roman;Times;serif"/>
          <w:sz w:val="20"/>
          <w:u w:val="single"/>
        </w:rPr>
        <w:t>Hangzhou Yuedu Technology Co., Ltd.</w:t>
      </w:r>
      <w:r>
        <w:rPr>
          <w:rFonts w:ascii="Times New Roman;Times;serif" w:hAnsi="Times New Roman;Times;serif"/>
          <w:sz w:val="20"/>
        </w:rPr>
        <w:t xml:space="preserve"> which is held by and registered under the name of my spouse will be made pursuant to the arrangements under the Loan Agreement dated _________________, the Equity Pledge Agreement dated ______________________, the Exclusive Purchase Option Agreement dated _________________, the Shareholder Voting Right Trust Agreement dated _________________, the Operating Agreement dated _________________, all of which were executed by my spouse as a party, and any other supplemental or related agreement(s) or amendments thereof that may be entered into by my spouse from time to time.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 further undertake not to take any action with the intent to interfere with the above mentioned arrangements, including making any claim that such equity interest constitutes the property or community property between my spouse and me.  I hereby waive unconditionally and irrevocably any and all rights or entitlements whatsoever to such equity interest that may be granted to me according to any applicable laws.  I further acknowledge that I have had the opportunity to receive independent legal advice with respect to the matters set forth in this spousal consent letter and the legal consequences thereof and that I am signing this spousal consent letter of my own free will.</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 understand and agree that this spousal consent letter shall be governed by, and construed and enforced in accordance with, the laws of the People’s Republic of China.  I agree to execute and deliver such other documents as may be necessary to carry out the intent of this spousal consent letter.</w:t>
      </w:r>
    </w:p>
    <w:tbl>
      <w:tblPr>
        <w:tblW w:w="3965" w:type="dxa"/>
        <w:jc w:val="left"/>
        <w:tblInd w:w="0" w:type="dxa"/>
        <w:tblLayout w:type="fixed"/>
        <w:tblCellMar>
          <w:top w:w="0" w:type="dxa"/>
          <w:left w:w="0" w:type="dxa"/>
          <w:bottom w:w="0" w:type="dxa"/>
          <w:right w:w="0" w:type="dxa"/>
        </w:tblCellMar>
      </w:tblPr>
      <w:tblGrid>
        <w:gridCol w:w="3811"/>
        <w:gridCol w:w="154"/>
      </w:tblGrid>
      <w:tr>
        <w:trPr/>
        <w:tc>
          <w:tcPr>
            <w:tcW w:w="3811" w:type="dxa"/>
            <w:tcBorders/>
            <w:vAlign w:val="center"/>
          </w:tcPr>
          <w:p>
            <w:pPr>
              <w:pStyle w:val="TableContents"/>
              <w:bidi w:val="0"/>
              <w:spacing w:before="0" w:after="0"/>
              <w:ind w:left="0" w:right="0" w:hanging="0"/>
              <w:jc w:val="left"/>
              <w:rPr/>
            </w:pPr>
            <w:r>
              <w:rPr>
                <w:rFonts w:ascii="Times New Roman;Times;serif" w:hAnsi="Times New Roman;Times;serif"/>
                <w:sz w:val="20"/>
              </w:rPr>
              <w:t>________________________</w:t>
            </w:r>
            <w:r>
              <w:rPr>
                <w:rFonts w:eastAsia="Times New Roman;Times;serif"/>
                <w:sz w:val="20"/>
              </w:rPr>
              <w:t>（</w:t>
            </w:r>
            <w:r>
              <w:rPr>
                <w:rFonts w:ascii="Times New Roman;Times;serif" w:hAnsi="Times New Roman;Times;serif"/>
                <w:sz w:val="20"/>
              </w:rPr>
              <w:t>Signature</w:t>
            </w:r>
            <w:r>
              <w:rPr>
                <w:rFonts w:eastAsia="Times New Roman;Times;serif"/>
                <w:sz w:val="20"/>
              </w:rPr>
              <w:t>）</w:t>
            </w:r>
          </w:p>
        </w:tc>
        <w:tc>
          <w:tcPr>
            <w:tcW w:w="154" w:type="dxa"/>
            <w:tcBorders/>
            <w:vAlign w:val="center"/>
          </w:tcPr>
          <w:p>
            <w:pPr>
              <w:pStyle w:val="TableContents"/>
              <w:bidi w:val="0"/>
              <w:spacing w:before="0" w:after="0"/>
              <w:ind w:left="0" w:right="0" w:hanging="0"/>
              <w:jc w:val="left"/>
              <w:rPr/>
            </w:pPr>
            <w:r>
              <w:rPr/>
              <w:t>​</w:t>
            </w:r>
          </w:p>
        </w:tc>
      </w:tr>
      <w:tr>
        <w:trPr/>
        <w:tc>
          <w:tcPr>
            <w:tcW w:w="381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- 15-</w:t>
      </w:r>
    </w:p>
    <w:p>
      <w:pPr>
        <w:pStyle w:val="HorizontalLine"/>
        <w:pBdr>
          <w:bottom w:val="double" w:sz="2" w:space="0" w:color="808080"/>
        </w:pBdr>
        <w:bidi w:val="0"/>
        <w:spacing w:before="0" w:after="283"/>
        <w:jc w:val="left"/>
        <w:rPr/>
      </w:pPr>
      <w:r>
        <w:rPr/>
      </w:r>
    </w:p>
    <w:p>
      <w:pPr>
        <w:pStyle w:val="TextBody"/>
        <w:pBdr/>
        <w:bidi w:val="0"/>
        <w:spacing w:before="0" w:after="240"/>
        <w:ind w:left="720" w:right="0" w:hanging="720"/>
        <w:jc w:val="right"/>
        <w:rPr>
          <w:rFonts w:ascii="Times New Roman;Times;serif" w:hAnsi="Times New Roman;Times;serif"/>
          <w:b/>
          <w:sz w:val="20"/>
        </w:rPr>
      </w:pPr>
      <w:bookmarkStart w:id="2161" w:name="ntes-20231231xex4d52.htm"/>
      <w:bookmarkStart w:id="2162" w:name="ksntes20231231xex4d52"/>
      <w:bookmarkEnd w:id="2161"/>
      <w:bookmarkEnd w:id="2162"/>
      <w:r>
        <w:rPr>
          <w:rFonts w:ascii="Times New Roman;Times;serif" w:hAnsi="Times New Roman;Times;serif"/>
          <w:b/>
          <w:sz w:val="20"/>
        </w:rPr>
        <w:t>Exhibit 4.52</w:t>
      </w:r>
      <w:r>
        <w:br w:type="page"/>
      </w:r>
    </w:p>
    <w:p>
      <w:pPr>
        <w:pStyle w:val="TextBody"/>
        <w:pBdr/>
        <w:bidi w:val="0"/>
        <w:spacing w:before="0" w:after="240"/>
        <w:ind w:left="720" w:right="0" w:hanging="720"/>
        <w:jc w:val="center"/>
        <w:rPr>
          <w:rFonts w:ascii="Times New Roman;Times;serif" w:hAnsi="Times New Roman;Times;serif"/>
          <w:b/>
          <w:sz w:val="20"/>
        </w:rPr>
      </w:pPr>
      <w:r>
        <w:rPr>
          <w:rFonts w:ascii="Times New Roman;Times;serif" w:hAnsi="Times New Roman;Times;serif"/>
          <w:b/>
          <w:sz w:val="20"/>
        </w:rPr>
        <w:t>EQUITY PLEDGE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Equity Pledge Agreement (this “</w:t>
      </w:r>
      <w:r>
        <w:rPr>
          <w:rFonts w:ascii="Times New Roman;Times;serif" w:hAnsi="Times New Roman;Times;serif"/>
          <w:b/>
          <w:sz w:val="20"/>
        </w:rPr>
        <w:t>Agreement</w:t>
      </w:r>
      <w:r>
        <w:rPr>
          <w:rFonts w:ascii="Times New Roman;Times;serif" w:hAnsi="Times New Roman;Times;serif"/>
          <w:sz w:val="20"/>
        </w:rPr>
        <w:t>”) is entered into by and among the following parties on November 2, 2023:</w:t>
      </w:r>
    </w:p>
    <w:tbl>
      <w:tblPr>
        <w:tblW w:w="10205" w:type="dxa"/>
        <w:jc w:val="left"/>
        <w:tblInd w:w="0" w:type="dxa"/>
        <w:tblLayout w:type="fixed"/>
        <w:tblCellMar>
          <w:top w:w="0" w:type="dxa"/>
          <w:left w:w="0" w:type="dxa"/>
          <w:bottom w:w="0" w:type="dxa"/>
          <w:right w:w="0" w:type="dxa"/>
        </w:tblCellMar>
      </w:tblPr>
      <w:tblGrid>
        <w:gridCol w:w="23"/>
        <w:gridCol w:w="205"/>
        <w:gridCol w:w="9977"/>
      </w:tblGrid>
      <w:tr>
        <w:trPr/>
        <w:tc>
          <w:tcPr>
            <w:tcW w:w="2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997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Hangzhou NetEase Cloud Music Technology Co., Ltd. (the “</w:t>
            </w:r>
            <w:r>
              <w:rPr>
                <w:rFonts w:ascii="Times New Roman;Times;serif" w:hAnsi="Times New Roman;Times;serif"/>
                <w:b/>
                <w:sz w:val="20"/>
              </w:rPr>
              <w:t>Pledgee</w:t>
            </w:r>
            <w:r>
              <w:rPr>
                <w:rFonts w:ascii="Times New Roman;Times;serif" w:hAnsi="Times New Roman;Times;serif"/>
                <w:sz w:val="20"/>
              </w:rPr>
              <w:t>”), a wholly foreign owned enterprise registered in Hangzhou, People’s Republic of China (“</w:t>
            </w:r>
            <w:r>
              <w:rPr>
                <w:rFonts w:ascii="Times New Roman;Times;serif" w:hAnsi="Times New Roman;Times;serif"/>
                <w:b/>
                <w:sz w:val="20"/>
              </w:rPr>
              <w:t>PRC</w:t>
            </w:r>
            <w:r>
              <w:rPr>
                <w:rFonts w:ascii="Times New Roman;Times;serif" w:hAnsi="Times New Roman;Times;serif"/>
                <w:sz w:val="20"/>
              </w:rPr>
              <w:t>”) with its address at Room 1201, Block A, Hangzhou International Expo Center, No. 353 Benjing Avenue, Qianjiang Century City, Xiaoshan District, Hangzhou, Zhejiang; and</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Wei Li (the “</w:t>
      </w:r>
      <w:r>
        <w:rPr>
          <w:rFonts w:ascii="Times New Roman;Times;serif" w:hAnsi="Times New Roman;Times;serif"/>
          <w:b/>
          <w:sz w:val="20"/>
        </w:rPr>
        <w:t>Pledgor</w:t>
      </w:r>
      <w:r>
        <w:rPr>
          <w:rFonts w:ascii="Times New Roman;Times;serif" w:hAnsi="Times New Roman;Times;serif"/>
          <w:sz w:val="20"/>
        </w:rPr>
        <w:t xml:space="preserve">”), a PRC citizen, whose ID number is </w:t>
      </w:r>
      <w:r>
        <w:rPr>
          <w:rFonts w:ascii="Times New Roman;Times;serif" w:hAnsi="Times New Roman;Times;serif"/>
          <w:sz w:val="20"/>
          <w:u w:val="single"/>
        </w:rPr>
        <w:t>          </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Pledgee and the Pledgor are hereinafter jointly referred to as the “</w:t>
      </w:r>
      <w:r>
        <w:rPr>
          <w:rFonts w:ascii="Times New Roman;Times;serif" w:hAnsi="Times New Roman;Times;serif"/>
          <w:b/>
          <w:sz w:val="20"/>
        </w:rPr>
        <w:t>Parties</w:t>
      </w:r>
      <w:r>
        <w:rPr>
          <w:rFonts w:ascii="Times New Roman;Times;serif" w:hAnsi="Times New Roman;Times;serif"/>
          <w:sz w:val="20"/>
        </w:rPr>
        <w:t>” and individually, as a “</w:t>
      </w:r>
      <w:r>
        <w:rPr>
          <w:rFonts w:ascii="Times New Roman;Times;serif" w:hAnsi="Times New Roman;Times;serif"/>
          <w:b/>
          <w:sz w:val="20"/>
        </w:rPr>
        <w:t>Party</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99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Pledgor is a registered shareholder of Hangzhou Yuedu Technology Co., Ltd., a limited liability company registered in Hangzhou, PRC with its address at Room 1202, Block A, Hangzhou International Expo Center, No. 353 Benjing Avenue, Qianjiang Century City, Ningwei Street, Xiaoshan District, Hangzhou, Zhejiang (the “</w:t>
            </w:r>
            <w:r>
              <w:rPr>
                <w:rFonts w:ascii="Times New Roman;Times;serif" w:hAnsi="Times New Roman;Times;serif"/>
                <w:b/>
                <w:sz w:val="20"/>
              </w:rPr>
              <w:t>Domestic Company</w:t>
            </w:r>
            <w:r>
              <w:rPr>
                <w:rFonts w:ascii="Times New Roman;Times;serif" w:hAnsi="Times New Roman;Times;serif"/>
                <w:sz w:val="20"/>
              </w:rPr>
              <w:t xml:space="preserve">”), and holds 1% of the equity interests in the Domestic Company. The equity structure of Domestic Company as of the date of execution of this Agreement is set forth in </w:t>
            </w:r>
            <w:r>
              <w:rPr>
                <w:rFonts w:ascii="Times New Roman;Times;serif" w:hAnsi="Times New Roman;Times;serif"/>
                <w:sz w:val="20"/>
                <w:u w:val="single"/>
              </w:rPr>
              <w:t>Appendix I</w:t>
            </w: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23"/>
        <w:gridCol w:w="237"/>
        <w:gridCol w:w="9945"/>
      </w:tblGrid>
      <w:tr>
        <w:trPr/>
        <w:tc>
          <w:tcPr>
            <w:tcW w:w="2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99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Pursuant to a Loan Agreement signed on the same date of this Agreement between the Pledgee and the Pledgor (as the same may be amended and supplemented from time to time, the “</w:t>
            </w:r>
            <w:r>
              <w:rPr>
                <w:rFonts w:ascii="Times New Roman;Times;serif" w:hAnsi="Times New Roman;Times;serif"/>
                <w:b/>
                <w:sz w:val="20"/>
              </w:rPr>
              <w:t>Loan Agreement</w:t>
            </w:r>
            <w:r>
              <w:rPr>
                <w:rFonts w:ascii="Times New Roman;Times;serif" w:hAnsi="Times New Roman;Times;serif"/>
                <w:sz w:val="20"/>
              </w:rPr>
              <w:t>”), the Pledgee has provided a loan to the Pledgor in the original principal amount of RMB100,000.</w:t>
            </w:r>
          </w:p>
        </w:tc>
      </w:tr>
    </w:tbl>
    <w:tbl>
      <w:tblPr>
        <w:tblW w:w="10205" w:type="dxa"/>
        <w:jc w:val="left"/>
        <w:tblInd w:w="0" w:type="dxa"/>
        <w:tblLayout w:type="fixed"/>
        <w:tblCellMar>
          <w:top w:w="0" w:type="dxa"/>
          <w:left w:w="0" w:type="dxa"/>
          <w:bottom w:w="0" w:type="dxa"/>
          <w:right w:w="0" w:type="dxa"/>
        </w:tblCellMar>
      </w:tblPr>
      <w:tblGrid>
        <w:gridCol w:w="23"/>
        <w:gridCol w:w="229"/>
        <w:gridCol w:w="9953"/>
      </w:tblGrid>
      <w:tr>
        <w:trPr/>
        <w:tc>
          <w:tcPr>
            <w:tcW w:w="2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995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Pursuant to a Shareholder Voting Right Trust Agreement signed on the same date of this Agreement among the Pledgee, the Pledgor, the Domestic Company and the other Parties thereto (as amended and supplemented from time to time, the “</w:t>
            </w:r>
            <w:r>
              <w:rPr>
                <w:rFonts w:ascii="Times New Roman;Times;serif" w:hAnsi="Times New Roman;Times;serif"/>
                <w:b/>
                <w:sz w:val="20"/>
              </w:rPr>
              <w:t>Voting Trust Agreement</w:t>
            </w:r>
            <w:r>
              <w:rPr>
                <w:rFonts w:ascii="Times New Roman;Times;serif" w:hAnsi="Times New Roman;Times;serif"/>
                <w:sz w:val="20"/>
              </w:rPr>
              <w:t>”), the Pledgor has irrevocably appointed the Pledgee as proxy and vested the Pledgee with full power to exercise on his behalf all of his shareholder’s voting rights in respect of the Domestic Company.</w:t>
            </w:r>
          </w:p>
        </w:tc>
      </w:tr>
    </w:tbl>
    <w:tbl>
      <w:tblPr>
        <w:tblW w:w="10205" w:type="dxa"/>
        <w:jc w:val="left"/>
        <w:tblInd w:w="0" w:type="dxa"/>
        <w:tblLayout w:type="fixed"/>
        <w:tblCellMar>
          <w:top w:w="0" w:type="dxa"/>
          <w:left w:w="0" w:type="dxa"/>
          <w:bottom w:w="0" w:type="dxa"/>
          <w:right w:w="0" w:type="dxa"/>
        </w:tblCellMar>
      </w:tblPr>
      <w:tblGrid>
        <w:gridCol w:w="23"/>
        <w:gridCol w:w="232"/>
        <w:gridCol w:w="9950"/>
      </w:tblGrid>
      <w:tr>
        <w:trPr/>
        <w:tc>
          <w:tcPr>
            <w:tcW w:w="2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995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Pursuant to an Exclusive Purchase Option Agreement signed on the same date of this Agreement among the Pledgee, the Pledgor and the Domestic Company (as amended and supplemented from time to time, the “</w:t>
            </w:r>
            <w:r>
              <w:rPr>
                <w:rFonts w:ascii="Times New Roman;Times;serif" w:hAnsi="Times New Roman;Times;serif"/>
                <w:b/>
                <w:sz w:val="20"/>
              </w:rPr>
              <w:t>Purchase Option Agreement</w:t>
            </w:r>
            <w:r>
              <w:rPr>
                <w:rFonts w:ascii="Times New Roman;Times;serif" w:hAnsi="Times New Roman;Times;serif"/>
                <w:sz w:val="20"/>
              </w:rPr>
              <w:t>”), the Pledgor has irrevocably granted to the Pledgee an option to purchase all or a portion of the Pledgor’s equity interests in the Domestic Company.</w:t>
            </w:r>
          </w:p>
        </w:tc>
      </w:tr>
    </w:tbl>
    <w:tbl>
      <w:tblPr>
        <w:tblW w:w="10205" w:type="dxa"/>
        <w:jc w:val="left"/>
        <w:tblInd w:w="0" w:type="dxa"/>
        <w:tblLayout w:type="fixed"/>
        <w:tblCellMar>
          <w:top w:w="0" w:type="dxa"/>
          <w:left w:w="0" w:type="dxa"/>
          <w:bottom w:w="0" w:type="dxa"/>
          <w:right w:w="0" w:type="dxa"/>
        </w:tblCellMar>
      </w:tblPr>
      <w:tblGrid>
        <w:gridCol w:w="23"/>
        <w:gridCol w:w="221"/>
        <w:gridCol w:w="9961"/>
      </w:tblGrid>
      <w:tr>
        <w:trPr/>
        <w:tc>
          <w:tcPr>
            <w:tcW w:w="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w:t>
            </w:r>
          </w:p>
        </w:tc>
        <w:tc>
          <w:tcPr>
            <w:tcW w:w="996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Pursuant to an Operating Agreement signed on the same date of this Agreement among the Pledgee, the Pledgor, the Domestic Company and the other Parties thereto (as amended and supplemented from time to time, the “</w:t>
            </w:r>
            <w:r>
              <w:rPr>
                <w:rFonts w:ascii="Times New Roman;Times;serif" w:hAnsi="Times New Roman;Times;serif"/>
                <w:b/>
                <w:sz w:val="20"/>
              </w:rPr>
              <w:t>Operating Agreement</w:t>
            </w:r>
            <w:r>
              <w:rPr>
                <w:rFonts w:ascii="Times New Roman;Times;serif" w:hAnsi="Times New Roman;Times;serif"/>
                <w:sz w:val="20"/>
              </w:rPr>
              <w:t>”), the Pledgor has agreed, among other things, not to engage in certain</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transactions relating to the Domestic Company without the Pledgee’s prior written consent.</w:t>
      </w:r>
    </w:p>
    <w:tbl>
      <w:tblPr>
        <w:tblW w:w="10205" w:type="dxa"/>
        <w:jc w:val="left"/>
        <w:tblInd w:w="0" w:type="dxa"/>
        <w:tblLayout w:type="fixed"/>
        <w:tblCellMar>
          <w:top w:w="0" w:type="dxa"/>
          <w:left w:w="0" w:type="dxa"/>
          <w:bottom w:w="0" w:type="dxa"/>
          <w:right w:w="0" w:type="dxa"/>
        </w:tblCellMar>
      </w:tblPr>
      <w:tblGrid>
        <w:gridCol w:w="23"/>
        <w:gridCol w:w="203"/>
        <w:gridCol w:w="9979"/>
      </w:tblGrid>
      <w:tr>
        <w:trPr/>
        <w:tc>
          <w:tcPr>
            <w:tcW w:w="2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(F)</w:t>
            </w:r>
          </w:p>
        </w:tc>
        <w:tc>
          <w:tcPr>
            <w:tcW w:w="997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As security for performance by the Pledgor of the Contract Obligations (as defined below) and discharge and satisfaction of the Secured Debts (as defined below), the Pledgor has agreed to pledge all of his equity interests in the Domestic Company to the Pledgee and grants the Pledgee the right to repayment in first priority on and subject to the terms of this Agreement.</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Therefore</w:t>
      </w:r>
      <w:r>
        <w:rPr>
          <w:rFonts w:ascii="Times New Roman;Times;serif" w:hAnsi="Times New Roman;Times;serif"/>
          <w:sz w:val="20"/>
        </w:rPr>
        <w:t>, the Parties enter into this Agreement as follows upon friendly negotiation:</w:t>
      </w:r>
    </w:p>
    <w:tbl>
      <w:tblPr>
        <w:tblW w:w="1105" w:type="dxa"/>
        <w:jc w:val="left"/>
        <w:tblInd w:w="0" w:type="dxa"/>
        <w:tblLayout w:type="fixed"/>
        <w:tblCellMar>
          <w:top w:w="0" w:type="dxa"/>
          <w:left w:w="0" w:type="dxa"/>
          <w:bottom w:w="0" w:type="dxa"/>
          <w:right w:w="0" w:type="dxa"/>
        </w:tblCellMar>
      </w:tblPr>
      <w:tblGrid>
        <w:gridCol w:w="170"/>
        <w:gridCol w:w="935"/>
      </w:tblGrid>
      <w:tr>
        <w:trPr/>
        <w:tc>
          <w:tcPr>
            <w:tcW w:w="17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w:t>
            </w:r>
          </w:p>
        </w:tc>
        <w:tc>
          <w:tcPr>
            <w:tcW w:w="93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Definitions</w:t>
            </w:r>
          </w:p>
        </w:tc>
      </w:tr>
    </w:tbl>
    <w:tbl>
      <w:tblPr>
        <w:tblW w:w="9378" w:type="dxa"/>
        <w:jc w:val="left"/>
        <w:tblInd w:w="0" w:type="dxa"/>
        <w:tblLayout w:type="fixed"/>
        <w:tblCellMar>
          <w:top w:w="0" w:type="dxa"/>
          <w:left w:w="0" w:type="dxa"/>
          <w:bottom w:w="0" w:type="dxa"/>
          <w:right w:w="0" w:type="dxa"/>
        </w:tblCellMar>
      </w:tblPr>
      <w:tblGrid>
        <w:gridCol w:w="23"/>
        <w:gridCol w:w="275"/>
        <w:gridCol w:w="908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1.1</w:t>
            </w:r>
          </w:p>
        </w:tc>
        <w:tc>
          <w:tcPr>
            <w:tcW w:w="908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Unless the context otherwise requires, the following terms in this Agreement shall have the following meanings:</w:t>
            </w:r>
          </w:p>
        </w:tc>
      </w:tr>
    </w:tbl>
    <w:p>
      <w:pPr>
        <w:pStyle w:val="TextBody"/>
        <w:bidi w:val="0"/>
        <w:spacing w:before="0" w:after="240"/>
        <w:ind w:left="1440" w:right="0" w:hanging="0"/>
        <w:jc w:val="both"/>
        <w:rPr/>
      </w:pPr>
      <w:r>
        <w:rPr/>
        <w:t>“</w:t>
      </w:r>
      <w:r>
        <w:rPr>
          <w:rFonts w:ascii="Times New Roman;Times;serif" w:hAnsi="Times New Roman;Times;serif"/>
          <w:b/>
          <w:sz w:val="20"/>
        </w:rPr>
        <w:t>Breaching Event”</w:t>
      </w:r>
      <w:r>
        <w:rPr>
          <w:rFonts w:ascii="Times New Roman;Times;serif" w:hAnsi="Times New Roman;Times;serif"/>
          <w:sz w:val="20"/>
        </w:rPr>
        <w:t xml:space="preserve"> shall mean any breach by the Pledgor of any of his Contract Obligations (as defined below).</w:t>
      </w:r>
    </w:p>
    <w:p>
      <w:pPr>
        <w:pStyle w:val="TextBody"/>
        <w:bidi w:val="0"/>
        <w:spacing w:before="0" w:after="240"/>
        <w:ind w:left="1440" w:right="0" w:hanging="0"/>
        <w:jc w:val="both"/>
        <w:rPr/>
      </w:pPr>
      <w:r>
        <w:rPr/>
        <w:t>“</w:t>
      </w:r>
      <w:r>
        <w:rPr>
          <w:rFonts w:ascii="Times New Roman;Times;serif" w:hAnsi="Times New Roman;Times;serif"/>
          <w:b/>
          <w:sz w:val="20"/>
        </w:rPr>
        <w:t>Contract Obligations”</w:t>
      </w:r>
      <w:r>
        <w:rPr>
          <w:rFonts w:ascii="Times New Roman;Times;serif" w:hAnsi="Times New Roman;Times;serif"/>
          <w:sz w:val="20"/>
        </w:rPr>
        <w:t xml:space="preserve"> shall mean the obligations of the Pledgor to repay the Loan (as defined in the Loan Agreement) under the Loan Agreement, all contractual obligations of the Pledgor under the Voting Trust Agreement, all contractual obligations of the Pledgor under the Purchase Option Agreement, all contractual obligations of the Pledgor under the Operating Agreement and all contractual obligations of the Pledgor under this Agreement.</w:t>
      </w:r>
    </w:p>
    <w:p>
      <w:pPr>
        <w:pStyle w:val="TextBody"/>
        <w:bidi w:val="0"/>
        <w:spacing w:before="0" w:after="240"/>
        <w:ind w:left="1440" w:right="0" w:hanging="0"/>
        <w:jc w:val="both"/>
        <w:rPr/>
      </w:pPr>
      <w:r>
        <w:rPr/>
        <w:t>“</w:t>
      </w:r>
      <w:r>
        <w:rPr>
          <w:rFonts w:ascii="Times New Roman;Times;serif" w:hAnsi="Times New Roman;Times;serif"/>
          <w:b/>
          <w:sz w:val="20"/>
        </w:rPr>
        <w:t>Pledged Equity”</w:t>
      </w:r>
      <w:r>
        <w:rPr>
          <w:rFonts w:ascii="Times New Roman;Times;serif" w:hAnsi="Times New Roman;Times;serif"/>
          <w:sz w:val="20"/>
        </w:rPr>
        <w:t xml:space="preserve"> shall mean all of the equity interests in the Domestic Company which are legally owned by the Pledgor during the term of this Agreement and are to be pledged to the Pledgee pursuant to the provisions hereof as the security for the performance by the Pledgor of the Contract Obligations.</w:t>
      </w:r>
    </w:p>
    <w:p>
      <w:pPr>
        <w:pStyle w:val="TextBody"/>
        <w:bidi w:val="0"/>
        <w:spacing w:before="0" w:after="240"/>
        <w:ind w:left="1440" w:right="0" w:hanging="0"/>
        <w:jc w:val="both"/>
        <w:rPr/>
      </w:pPr>
      <w:r>
        <w:rPr/>
        <w:t>“</w:t>
      </w:r>
      <w:r>
        <w:rPr>
          <w:rFonts w:ascii="Times New Roman;Times;serif" w:hAnsi="Times New Roman;Times;serif"/>
          <w:b/>
          <w:sz w:val="20"/>
        </w:rPr>
        <w:t>PRC Law”</w:t>
      </w:r>
      <w:r>
        <w:rPr>
          <w:rFonts w:ascii="Times New Roman;Times;serif" w:hAnsi="Times New Roman;Times;serif"/>
          <w:sz w:val="20"/>
        </w:rPr>
        <w:t xml:space="preserve"> shall mean the then valid laws, administrative regulations, administrative rules, local regulations, judicial interpretations and other binding regulatory documents of the PRC.</w:t>
      </w:r>
    </w:p>
    <w:p>
      <w:pPr>
        <w:pStyle w:val="TextBody"/>
        <w:bidi w:val="0"/>
        <w:spacing w:before="0" w:after="240"/>
        <w:ind w:left="1440" w:right="0" w:hanging="0"/>
        <w:jc w:val="both"/>
        <w:rPr/>
      </w:pPr>
      <w:r>
        <w:rPr/>
        <w:t>“</w:t>
      </w:r>
      <w:r>
        <w:rPr>
          <w:rFonts w:ascii="Times New Roman;Times;serif" w:hAnsi="Times New Roman;Times;serif"/>
          <w:b/>
          <w:sz w:val="20"/>
        </w:rPr>
        <w:t>Secured Debts”</w:t>
      </w:r>
      <w:r>
        <w:rPr>
          <w:rFonts w:ascii="Times New Roman;Times;serif" w:hAnsi="Times New Roman;Times;serif"/>
          <w:sz w:val="20"/>
        </w:rPr>
        <w:t xml:space="preserve"> shall mean all direct, indirect and consequential losses and losses of foreseeable profits suffered by the Pledgee due to any Breaching Event of any of the Pledgor, and all fees incurred by Pledgee for the enforcement of the Contract Obligations of the Pledgor.</w:t>
      </w:r>
    </w:p>
    <w:p>
      <w:pPr>
        <w:pStyle w:val="TextBody"/>
        <w:bidi w:val="0"/>
        <w:spacing w:before="0" w:after="240"/>
        <w:ind w:left="1440" w:right="0" w:hanging="0"/>
        <w:jc w:val="both"/>
        <w:rPr/>
      </w:pPr>
      <w:r>
        <w:rPr/>
        <w:t>“</w:t>
      </w:r>
      <w:r>
        <w:rPr>
          <w:rFonts w:ascii="Times New Roman;Times;serif" w:hAnsi="Times New Roman;Times;serif"/>
          <w:b/>
          <w:sz w:val="20"/>
        </w:rPr>
        <w:t>Transaction Agreements”</w:t>
      </w:r>
      <w:r>
        <w:rPr>
          <w:rFonts w:ascii="Times New Roman;Times;serif" w:hAnsi="Times New Roman;Times;serif"/>
          <w:sz w:val="20"/>
        </w:rPr>
        <w:t xml:space="preserve"> shall mean the Cooperation Agreement, the Loan Agreement, the Purchase Option Agreement, the Operating Agreement and the Voting Trust Agreement.</w:t>
      </w:r>
    </w:p>
    <w:tbl>
      <w:tblPr>
        <w:tblW w:w="4818" w:type="dxa"/>
        <w:jc w:val="left"/>
        <w:tblInd w:w="0" w:type="dxa"/>
        <w:tblLayout w:type="fixed"/>
        <w:tblCellMar>
          <w:top w:w="0" w:type="dxa"/>
          <w:left w:w="0" w:type="dxa"/>
          <w:bottom w:w="0" w:type="dxa"/>
          <w:right w:w="0" w:type="dxa"/>
        </w:tblCellMar>
      </w:tblPr>
      <w:tblGrid>
        <w:gridCol w:w="23"/>
        <w:gridCol w:w="275"/>
        <w:gridCol w:w="452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1.2</w:t>
            </w:r>
          </w:p>
        </w:tc>
        <w:tc>
          <w:tcPr>
            <w:tcW w:w="452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references to any PRC Law herein shall be deemed:</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240"/>
        <w:ind w:left="144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to include references to the amendments, changes, supplements and reenactments of such law, irrespective of whether they take effect before or after the formation of this Agreement; and</w:t>
      </w:r>
    </w:p>
    <w:p>
      <w:pPr>
        <w:pStyle w:val="TextBody"/>
        <w:bidi w:val="0"/>
        <w:spacing w:before="0" w:after="240"/>
        <w:ind w:left="144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to include references to other decisions, notices or regulations enacted in accordance therewith or effective as a result thereof.</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75"/>
        <w:gridCol w:w="9907"/>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1.3</w:t>
            </w:r>
          </w:p>
        </w:tc>
        <w:tc>
          <w:tcPr>
            <w:tcW w:w="990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Unless otherwise stated in the context herein, all references to an Article, clause, item or paragraph shall refer to the relevant article, clause, item or paragraph of this Agreement.</w:t>
            </w:r>
          </w:p>
        </w:tc>
      </w:tr>
    </w:tbl>
    <w:tbl>
      <w:tblPr>
        <w:tblW w:w="1345" w:type="dxa"/>
        <w:jc w:val="left"/>
        <w:tblInd w:w="0" w:type="dxa"/>
        <w:tblLayout w:type="fixed"/>
        <w:tblCellMar>
          <w:top w:w="0" w:type="dxa"/>
          <w:left w:w="0" w:type="dxa"/>
          <w:bottom w:w="0" w:type="dxa"/>
          <w:right w:w="0" w:type="dxa"/>
        </w:tblCellMar>
      </w:tblPr>
      <w:tblGrid>
        <w:gridCol w:w="170"/>
        <w:gridCol w:w="1175"/>
      </w:tblGrid>
      <w:tr>
        <w:trPr/>
        <w:tc>
          <w:tcPr>
            <w:tcW w:w="17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2.</w:t>
            </w:r>
          </w:p>
        </w:tc>
        <w:tc>
          <w:tcPr>
            <w:tcW w:w="1175" w:type="dxa"/>
            <w:tcBorders/>
            <w:vAlign w:val="center"/>
          </w:tcPr>
          <w:p>
            <w:pPr>
              <w:pStyle w:val="TableContents"/>
              <w:bidi w:val="0"/>
              <w:spacing w:before="0" w:after="240"/>
              <w:jc w:val="both"/>
              <w:rPr>
                <w:rFonts w:ascii="Times New Roman;Times;serif" w:hAnsi="Times New Roman;Times;serif"/>
                <w:sz w:val="20"/>
                <w:u w:val="single"/>
              </w:rPr>
            </w:pPr>
            <w:r>
              <w:rPr>
                <w:rFonts w:ascii="Times New Roman;Times;serif" w:hAnsi="Times New Roman;Times;serif"/>
                <w:sz w:val="20"/>
                <w:u w:val="single"/>
              </w:rPr>
              <w:t>Equity Pledge</w:t>
            </w:r>
          </w:p>
        </w:tc>
      </w:tr>
    </w:tbl>
    <w:tbl>
      <w:tblPr>
        <w:tblW w:w="10205" w:type="dxa"/>
        <w:jc w:val="left"/>
        <w:tblInd w:w="0" w:type="dxa"/>
        <w:tblLayout w:type="fixed"/>
        <w:tblCellMar>
          <w:top w:w="0" w:type="dxa"/>
          <w:left w:w="0" w:type="dxa"/>
          <w:bottom w:w="0" w:type="dxa"/>
          <w:right w:w="0" w:type="dxa"/>
        </w:tblCellMar>
      </w:tblPr>
      <w:tblGrid>
        <w:gridCol w:w="23"/>
        <w:gridCol w:w="275"/>
        <w:gridCol w:w="9907"/>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2.1</w:t>
            </w:r>
          </w:p>
        </w:tc>
        <w:tc>
          <w:tcPr>
            <w:tcW w:w="990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As collateral security for the timely and complete payment and performance of all Contract Obligations, the Pledgor hereby pledges to the Pledgee a first security interest in all of the Pledgor’s rights, title and interests, whether now owned or hereinafter acquired by the Pledgor, in the Pledged Equity (the “</w:t>
            </w:r>
            <w:r>
              <w:rPr>
                <w:rFonts w:ascii="Times New Roman;Times;serif" w:hAnsi="Times New Roman;Times;serif"/>
                <w:b/>
                <w:sz w:val="20"/>
              </w:rPr>
              <w:t>Equity Pledge</w:t>
            </w: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23"/>
        <w:gridCol w:w="275"/>
        <w:gridCol w:w="9907"/>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2.2</w:t>
            </w:r>
          </w:p>
        </w:tc>
        <w:tc>
          <w:tcPr>
            <w:tcW w:w="990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Pledgor shall have been or will be registered at the local branch of State Administration for Market Regulation (“</w:t>
            </w:r>
            <w:r>
              <w:rPr>
                <w:rFonts w:ascii="Times New Roman;Times;serif" w:hAnsi="Times New Roman;Times;serif"/>
                <w:b/>
                <w:sz w:val="20"/>
              </w:rPr>
              <w:t>SAMR</w:t>
            </w:r>
            <w:r>
              <w:rPr>
                <w:rFonts w:ascii="Times New Roman;Times;serif" w:hAnsi="Times New Roman;Times;serif"/>
                <w:sz w:val="20"/>
              </w:rPr>
              <w:t xml:space="preserve">”) as one of the shareholders of the Domestic Company holding his proportion of the equity interests in the Domestic Company as set forth in </w:t>
            </w:r>
            <w:r>
              <w:rPr>
                <w:rFonts w:ascii="Times New Roman;Times;serif" w:hAnsi="Times New Roman;Times;serif"/>
                <w:sz w:val="20"/>
                <w:u w:val="single"/>
              </w:rPr>
              <w:t>Appendix I</w:t>
            </w:r>
            <w:r>
              <w:rPr>
                <w:rFonts w:ascii="Times New Roman;Times;serif" w:hAnsi="Times New Roman;Times;serif"/>
                <w:sz w:val="20"/>
              </w:rPr>
              <w:t xml:space="preserve"> above and hold such equity interests free and clear of encumbrances except for the Equity Pledge as provided in this Agreement and/or as otherwise agreed by the Parties.</w:t>
            </w:r>
          </w:p>
        </w:tc>
      </w:tr>
    </w:tbl>
    <w:tbl>
      <w:tblPr>
        <w:tblW w:w="10205" w:type="dxa"/>
        <w:jc w:val="left"/>
        <w:tblInd w:w="0" w:type="dxa"/>
        <w:tblLayout w:type="fixed"/>
        <w:tblCellMar>
          <w:top w:w="0" w:type="dxa"/>
          <w:left w:w="0" w:type="dxa"/>
          <w:bottom w:w="0" w:type="dxa"/>
          <w:right w:w="0" w:type="dxa"/>
        </w:tblCellMar>
      </w:tblPr>
      <w:tblGrid>
        <w:gridCol w:w="23"/>
        <w:gridCol w:w="275"/>
        <w:gridCol w:w="9907"/>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2.3</w:t>
            </w:r>
          </w:p>
        </w:tc>
        <w:tc>
          <w:tcPr>
            <w:tcW w:w="990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Pledgor hereby undertakes that he will be responsible for recording the Equity Pledge on the register of equityholders of the Domestic Company on the date hereof or as soon as practicable from the date hereof, and will use his best endeavors to register the Equity Pledge with SAMR (the “</w:t>
            </w:r>
            <w:r>
              <w:rPr>
                <w:rFonts w:ascii="Times New Roman;Times;serif" w:hAnsi="Times New Roman;Times;serif"/>
                <w:b/>
                <w:sz w:val="20"/>
              </w:rPr>
              <w:t>Registration of Equity Pledge</w:t>
            </w:r>
            <w:r>
              <w:rPr>
                <w:rFonts w:ascii="Times New Roman;Times;serif" w:hAnsi="Times New Roman;Times;serif"/>
                <w:sz w:val="20"/>
              </w:rPr>
              <w:t>”). In the event the SAMR requires that the Registration of Equity Pledge be completed by using an equity pledge agreement between the Parties substantially in form stipulated by the SAMR, subject to Section 13.5, the Parties shall enter into an equity pledge agreement in such stipulated form (the “</w:t>
            </w:r>
            <w:r>
              <w:rPr>
                <w:rFonts w:ascii="Times New Roman;Times;serif" w:hAnsi="Times New Roman;Times;serif"/>
                <w:b/>
                <w:sz w:val="20"/>
              </w:rPr>
              <w:t>Registration Version</w:t>
            </w:r>
            <w:r>
              <w:rPr>
                <w:rFonts w:ascii="Times New Roman;Times;serif" w:hAnsi="Times New Roman;Times;serif"/>
                <w:sz w:val="20"/>
              </w:rPr>
              <w:t>”) and the Pledgor shall and hereby undertakes that he will use his best endeavors to register the Equity Pledge with SAMR by using the Registration Version.</w:t>
            </w:r>
          </w:p>
        </w:tc>
      </w:tr>
    </w:tbl>
    <w:tbl>
      <w:tblPr>
        <w:tblW w:w="10205" w:type="dxa"/>
        <w:jc w:val="left"/>
        <w:tblInd w:w="0" w:type="dxa"/>
        <w:tblLayout w:type="fixed"/>
        <w:tblCellMar>
          <w:top w:w="0" w:type="dxa"/>
          <w:left w:w="0" w:type="dxa"/>
          <w:bottom w:w="0" w:type="dxa"/>
          <w:right w:w="0" w:type="dxa"/>
        </w:tblCellMar>
      </w:tblPr>
      <w:tblGrid>
        <w:gridCol w:w="23"/>
        <w:gridCol w:w="275"/>
        <w:gridCol w:w="9907"/>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2.4</w:t>
            </w:r>
          </w:p>
        </w:tc>
        <w:tc>
          <w:tcPr>
            <w:tcW w:w="990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During the term of this Agreement, the Pledgee shall not be liable in any way for impairment in value of the Pledged Equity, nor shall the Pledgor have any right to make any claims against the Pledgee for such impairment in value.</w:t>
            </w:r>
          </w:p>
        </w:tc>
      </w:tr>
    </w:tbl>
    <w:tbl>
      <w:tblPr>
        <w:tblW w:w="10205" w:type="dxa"/>
        <w:jc w:val="left"/>
        <w:tblInd w:w="0" w:type="dxa"/>
        <w:tblLayout w:type="fixed"/>
        <w:tblCellMar>
          <w:top w:w="0" w:type="dxa"/>
          <w:left w:w="0" w:type="dxa"/>
          <w:bottom w:w="0" w:type="dxa"/>
          <w:right w:w="0" w:type="dxa"/>
        </w:tblCellMar>
      </w:tblPr>
      <w:tblGrid>
        <w:gridCol w:w="23"/>
        <w:gridCol w:w="275"/>
        <w:gridCol w:w="9907"/>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2.5</w:t>
            </w:r>
          </w:p>
        </w:tc>
        <w:tc>
          <w:tcPr>
            <w:tcW w:w="990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Upon the occurrence of any Breaching Event, the Pledgee shall have the right to dispose of the Pledged Equity in the manner set forth in Article 4 hereof.</w:t>
            </w:r>
          </w:p>
        </w:tc>
      </w:tr>
    </w:tbl>
    <w:tbl>
      <w:tblPr>
        <w:tblW w:w="10205" w:type="dxa"/>
        <w:jc w:val="left"/>
        <w:tblInd w:w="0" w:type="dxa"/>
        <w:tblLayout w:type="fixed"/>
        <w:tblCellMar>
          <w:top w:w="0" w:type="dxa"/>
          <w:left w:w="0" w:type="dxa"/>
          <w:bottom w:w="0" w:type="dxa"/>
          <w:right w:w="0" w:type="dxa"/>
        </w:tblCellMar>
      </w:tblPr>
      <w:tblGrid>
        <w:gridCol w:w="23"/>
        <w:gridCol w:w="275"/>
        <w:gridCol w:w="9907"/>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2.6</w:t>
            </w:r>
          </w:p>
        </w:tc>
        <w:tc>
          <w:tcPr>
            <w:tcW w:w="990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Without the prior written consent of the Pledgee, the Pledgor shall not increase the registered capital of the Domestic Company by contributing additional capital, or allowing any third party to contribute additional capital to the Domestic Company.</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275"/>
        <w:gridCol w:w="9907"/>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2.7</w:t>
            </w:r>
          </w:p>
        </w:tc>
        <w:tc>
          <w:tcPr>
            <w:tcW w:w="990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Without the prior written consent of the Pledgee, the Pledgor shall not consent to the adoption of any shareholders’ resolution or by any other means permit the Domestic Company to declare or distribute any dividends or profits.</w:t>
            </w:r>
          </w:p>
        </w:tc>
      </w:tr>
    </w:tbl>
    <w:tbl>
      <w:tblPr>
        <w:tblW w:w="10205" w:type="dxa"/>
        <w:jc w:val="left"/>
        <w:tblInd w:w="0" w:type="dxa"/>
        <w:tblLayout w:type="fixed"/>
        <w:tblCellMar>
          <w:top w:w="0" w:type="dxa"/>
          <w:left w:w="0" w:type="dxa"/>
          <w:bottom w:w="0" w:type="dxa"/>
          <w:right w:w="0" w:type="dxa"/>
        </w:tblCellMar>
      </w:tblPr>
      <w:tblGrid>
        <w:gridCol w:w="23"/>
        <w:gridCol w:w="275"/>
        <w:gridCol w:w="9907"/>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2.8</w:t>
            </w:r>
          </w:p>
        </w:tc>
        <w:tc>
          <w:tcPr>
            <w:tcW w:w="990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Without the prior written consent of the Pledgee, the Pledgor shall not enter into any transactions with the Domestic Company.</w:t>
            </w:r>
          </w:p>
        </w:tc>
      </w:tr>
    </w:tbl>
    <w:tbl>
      <w:tblPr>
        <w:tblW w:w="10205" w:type="dxa"/>
        <w:jc w:val="left"/>
        <w:tblInd w:w="0" w:type="dxa"/>
        <w:tblLayout w:type="fixed"/>
        <w:tblCellMar>
          <w:top w:w="0" w:type="dxa"/>
          <w:left w:w="0" w:type="dxa"/>
          <w:bottom w:w="0" w:type="dxa"/>
          <w:right w:w="0" w:type="dxa"/>
        </w:tblCellMar>
      </w:tblPr>
      <w:tblGrid>
        <w:gridCol w:w="23"/>
        <w:gridCol w:w="275"/>
        <w:gridCol w:w="9907"/>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2.9</w:t>
            </w:r>
          </w:p>
        </w:tc>
        <w:tc>
          <w:tcPr>
            <w:tcW w:w="990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During the term of the Equity Pledge, the Pledgor shall deliver to the Pledgee’s custody the original capital contribution certificate for the Pledged Equity and the original equityholders’ register containing the Equity Pledge within five business days from the execution of this Agreement or from the completion of any re-registration of shareholding if the percentage of equity interests changes (in such case, the Pledgor shall deliver to the Pledgee’s custody the updated original capital contribution certificates for the Pledged Equity and the updated original equityholders’ register containing the Equity Pledge). The Pledgee shall take custody of such original documents during the entire term of this Agreement.</w:t>
            </w:r>
          </w:p>
        </w:tc>
      </w:tr>
    </w:tbl>
    <w:tbl>
      <w:tblPr>
        <w:tblW w:w="10205" w:type="dxa"/>
        <w:jc w:val="left"/>
        <w:tblInd w:w="0" w:type="dxa"/>
        <w:tblLayout w:type="fixed"/>
        <w:tblCellMar>
          <w:top w:w="0" w:type="dxa"/>
          <w:left w:w="0" w:type="dxa"/>
          <w:bottom w:w="0" w:type="dxa"/>
          <w:right w:w="0" w:type="dxa"/>
        </w:tblCellMar>
      </w:tblPr>
      <w:tblGrid>
        <w:gridCol w:w="23"/>
        <w:gridCol w:w="380"/>
        <w:gridCol w:w="9802"/>
      </w:tblGrid>
      <w:tr>
        <w:trPr/>
        <w:tc>
          <w:tcPr>
            <w:tcW w:w="2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2.10</w:t>
            </w:r>
          </w:p>
        </w:tc>
        <w:tc>
          <w:tcPr>
            <w:tcW w:w="980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Pledgee shall have the right to collect dividends or any other distribution paid with respect to the Pledged Equity during the term of this Agreement.</w:t>
            </w:r>
          </w:p>
        </w:tc>
      </w:tr>
    </w:tbl>
    <w:tbl>
      <w:tblPr>
        <w:tblW w:w="1660" w:type="dxa"/>
        <w:jc w:val="left"/>
        <w:tblInd w:w="0" w:type="dxa"/>
        <w:tblLayout w:type="fixed"/>
        <w:tblCellMar>
          <w:top w:w="0" w:type="dxa"/>
          <w:left w:w="0" w:type="dxa"/>
          <w:bottom w:w="0" w:type="dxa"/>
          <w:right w:w="0" w:type="dxa"/>
        </w:tblCellMar>
      </w:tblPr>
      <w:tblGrid>
        <w:gridCol w:w="170"/>
        <w:gridCol w:w="1490"/>
      </w:tblGrid>
      <w:tr>
        <w:trPr/>
        <w:tc>
          <w:tcPr>
            <w:tcW w:w="17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3.</w:t>
            </w:r>
          </w:p>
        </w:tc>
        <w:tc>
          <w:tcPr>
            <w:tcW w:w="149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Release of Pledge</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Upon full and complete performance by the Pledgor of all of his Contract Obligations (including the full discharge and satisfaction of the Secured Debts), the Pledgee shall, at the request of the Pledgor, release the pledge, and shall cooperate with the Pledgor to go through the formalities to cancel the record of the Equity Pledge in the register of equityholders of the Domestic Company and the registration with SAMR, and all expenses reasonably incurred in connection with such release shall be borne by the Domestic Company. The Parties shall procure the Domestic Company to bear such expenses.</w:t>
      </w:r>
    </w:p>
    <w:tbl>
      <w:tblPr>
        <w:tblW w:w="2755" w:type="dxa"/>
        <w:jc w:val="left"/>
        <w:tblInd w:w="0" w:type="dxa"/>
        <w:tblLayout w:type="fixed"/>
        <w:tblCellMar>
          <w:top w:w="0" w:type="dxa"/>
          <w:left w:w="0" w:type="dxa"/>
          <w:bottom w:w="0" w:type="dxa"/>
          <w:right w:w="0" w:type="dxa"/>
        </w:tblCellMar>
      </w:tblPr>
      <w:tblGrid>
        <w:gridCol w:w="170"/>
        <w:gridCol w:w="2585"/>
      </w:tblGrid>
      <w:tr>
        <w:trPr/>
        <w:tc>
          <w:tcPr>
            <w:tcW w:w="17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4.</w:t>
            </w:r>
          </w:p>
        </w:tc>
        <w:tc>
          <w:tcPr>
            <w:tcW w:w="258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Disposal of the Pledged Equity</w:t>
            </w:r>
          </w:p>
        </w:tc>
      </w:tr>
    </w:tbl>
    <w:tbl>
      <w:tblPr>
        <w:tblW w:w="10205" w:type="dxa"/>
        <w:jc w:val="left"/>
        <w:tblInd w:w="0" w:type="dxa"/>
        <w:tblLayout w:type="fixed"/>
        <w:tblCellMar>
          <w:top w:w="0" w:type="dxa"/>
          <w:left w:w="0" w:type="dxa"/>
          <w:bottom w:w="0" w:type="dxa"/>
          <w:right w:w="0" w:type="dxa"/>
        </w:tblCellMar>
      </w:tblPr>
      <w:tblGrid>
        <w:gridCol w:w="23"/>
        <w:gridCol w:w="275"/>
        <w:gridCol w:w="9907"/>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4.1</w:t>
            </w:r>
          </w:p>
        </w:tc>
        <w:tc>
          <w:tcPr>
            <w:tcW w:w="990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Pledgor and the Pledgee hereby agree that, upon the occurrence of any Breaching Event, the Pledgee shall have the right to exercise, upon giving written notice to the Pledgor, all of the rights and powers enjoyed by him under PRC Law, the Transaction Agreements and the terms hereof, including but not limited to being repaid in priority with proceeds from the sale of the Pledged Equity. If the Pledgee disposes of the Pledged Equity in accordance with this Agreement, the Pledgor and the Domestic Company shall provide all necessary assistance to enable the Pledgee to enforce the Equity Pledge in accordance with this Agreement.</w:t>
            </w:r>
          </w:p>
        </w:tc>
      </w:tr>
    </w:tbl>
    <w:tbl>
      <w:tblPr>
        <w:tblW w:w="10205" w:type="dxa"/>
        <w:jc w:val="left"/>
        <w:tblInd w:w="0" w:type="dxa"/>
        <w:tblLayout w:type="fixed"/>
        <w:tblCellMar>
          <w:top w:w="0" w:type="dxa"/>
          <w:left w:w="0" w:type="dxa"/>
          <w:bottom w:w="0" w:type="dxa"/>
          <w:right w:w="0" w:type="dxa"/>
        </w:tblCellMar>
      </w:tblPr>
      <w:tblGrid>
        <w:gridCol w:w="23"/>
        <w:gridCol w:w="275"/>
        <w:gridCol w:w="9907"/>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4.2</w:t>
            </w:r>
          </w:p>
        </w:tc>
        <w:tc>
          <w:tcPr>
            <w:tcW w:w="990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Pledgee shall have the right to designate in writing its legal counsel or other agents to exercise on its behalf any and all rights and powers referred to above, and the Pledgor shall not raise any objection thereto.</w:t>
            </w:r>
          </w:p>
        </w:tc>
      </w:tr>
    </w:tbl>
    <w:tbl>
      <w:tblPr>
        <w:tblW w:w="10205" w:type="dxa"/>
        <w:jc w:val="left"/>
        <w:tblInd w:w="0" w:type="dxa"/>
        <w:tblLayout w:type="fixed"/>
        <w:tblCellMar>
          <w:top w:w="0" w:type="dxa"/>
          <w:left w:w="0" w:type="dxa"/>
          <w:bottom w:w="0" w:type="dxa"/>
          <w:right w:w="0" w:type="dxa"/>
        </w:tblCellMar>
      </w:tblPr>
      <w:tblGrid>
        <w:gridCol w:w="23"/>
        <w:gridCol w:w="275"/>
        <w:gridCol w:w="9907"/>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4.3</w:t>
            </w:r>
          </w:p>
        </w:tc>
        <w:tc>
          <w:tcPr>
            <w:tcW w:w="990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reasonable costs incurred by the Pledgee in connection with its exercise of any and all rights and powers set out above shall be borne by the Pledgor, and the</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Pledgee shall have the right to deduct the costs actually incurred from the proceeds that it acquires from the exercise of its rights and powers.</w:t>
      </w:r>
    </w:p>
    <w:tbl>
      <w:tblPr>
        <w:tblW w:w="10205" w:type="dxa"/>
        <w:jc w:val="left"/>
        <w:tblInd w:w="0" w:type="dxa"/>
        <w:tblLayout w:type="fixed"/>
        <w:tblCellMar>
          <w:top w:w="0" w:type="dxa"/>
          <w:left w:w="0" w:type="dxa"/>
          <w:bottom w:w="0" w:type="dxa"/>
          <w:right w:w="0" w:type="dxa"/>
        </w:tblCellMar>
      </w:tblPr>
      <w:tblGrid>
        <w:gridCol w:w="23"/>
        <w:gridCol w:w="275"/>
        <w:gridCol w:w="9907"/>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4.4</w:t>
            </w:r>
          </w:p>
        </w:tc>
        <w:tc>
          <w:tcPr>
            <w:tcW w:w="990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proceeds that the Pledgee acquires from the exercise of its rights and powers shall be applied in the following order of priority:</w:t>
            </w:r>
          </w:p>
        </w:tc>
      </w:tr>
    </w:tbl>
    <w:tbl>
      <w:tblPr>
        <w:tblW w:w="10205" w:type="dxa"/>
        <w:jc w:val="left"/>
        <w:tblInd w:w="0" w:type="dxa"/>
        <w:tblLayout w:type="fixed"/>
        <w:tblCellMar>
          <w:top w:w="0" w:type="dxa"/>
          <w:left w:w="0" w:type="dxa"/>
          <w:bottom w:w="0" w:type="dxa"/>
          <w:right w:w="0" w:type="dxa"/>
        </w:tblCellMar>
      </w:tblPr>
      <w:tblGrid>
        <w:gridCol w:w="23"/>
        <w:gridCol w:w="219"/>
        <w:gridCol w:w="9963"/>
      </w:tblGrid>
      <w:tr>
        <w:trPr/>
        <w:tc>
          <w:tcPr>
            <w:tcW w:w="2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996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first, to pay any cost incurred in connection with the disposal of the Pledged Equity and the exercise by the Pledgee of its rights and powers (including remuneration paid to its legal counsels and agents);</w:t>
            </w:r>
          </w:p>
        </w:tc>
      </w:tr>
    </w:tbl>
    <w:tbl>
      <w:tblPr>
        <w:tblW w:w="10205" w:type="dxa"/>
        <w:jc w:val="left"/>
        <w:tblInd w:w="0" w:type="dxa"/>
        <w:tblLayout w:type="fixed"/>
        <w:tblCellMar>
          <w:top w:w="0" w:type="dxa"/>
          <w:left w:w="0" w:type="dxa"/>
          <w:bottom w:w="0" w:type="dxa"/>
          <w:right w:w="0" w:type="dxa"/>
        </w:tblCellMar>
      </w:tblPr>
      <w:tblGrid>
        <w:gridCol w:w="23"/>
        <w:gridCol w:w="230"/>
        <w:gridCol w:w="9952"/>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995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second, to pay any taxes and levies payable for the disposal of the Pledged Equity (for the avoidance of doubt, such taxes do not include any income tax); and</w:t>
            </w:r>
          </w:p>
        </w:tc>
      </w:tr>
    </w:tbl>
    <w:tbl>
      <w:tblPr>
        <w:tblW w:w="4233" w:type="dxa"/>
        <w:jc w:val="left"/>
        <w:tblInd w:w="0" w:type="dxa"/>
        <w:tblLayout w:type="fixed"/>
        <w:tblCellMar>
          <w:top w:w="0" w:type="dxa"/>
          <w:left w:w="0" w:type="dxa"/>
          <w:bottom w:w="0" w:type="dxa"/>
          <w:right w:w="0" w:type="dxa"/>
        </w:tblCellMar>
      </w:tblPr>
      <w:tblGrid>
        <w:gridCol w:w="23"/>
        <w:gridCol w:w="245"/>
        <w:gridCol w:w="396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w:t>
            </w:r>
          </w:p>
        </w:tc>
        <w:tc>
          <w:tcPr>
            <w:tcW w:w="396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third, to repay the Pledgee for the Secured Debts.</w:t>
            </w:r>
          </w:p>
        </w:tc>
      </w:tr>
    </w:tbl>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Any proceeds remaining after payment of the above amounts shall be paid to the Pledgee or its designee. The Pledgee shall have no obligation to account to the Pledgor for proceeds of disposition of the Pledged Equity and the Pledgor hereby waives any rights that he may have to demand such amount from the Pledgee.</w:t>
      </w:r>
    </w:p>
    <w:tbl>
      <w:tblPr>
        <w:tblW w:w="2425" w:type="dxa"/>
        <w:jc w:val="left"/>
        <w:tblInd w:w="0" w:type="dxa"/>
        <w:tblLayout w:type="fixed"/>
        <w:tblCellMar>
          <w:top w:w="0" w:type="dxa"/>
          <w:left w:w="0" w:type="dxa"/>
          <w:bottom w:w="0" w:type="dxa"/>
          <w:right w:w="0" w:type="dxa"/>
        </w:tblCellMar>
      </w:tblPr>
      <w:tblGrid>
        <w:gridCol w:w="170"/>
        <w:gridCol w:w="2255"/>
      </w:tblGrid>
      <w:tr>
        <w:trPr/>
        <w:tc>
          <w:tcPr>
            <w:tcW w:w="17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5.</w:t>
            </w:r>
          </w:p>
        </w:tc>
        <w:tc>
          <w:tcPr>
            <w:tcW w:w="225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Continuity and No Waiver</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Equity Pledge hereunder is a continuous security, and will continue to be valid until the full performance of the Contract Obligations or the full discharge and satisfaction of the Secured Debts. Neither exemption or grace period granted by the Pledgee to the Pledgor in respect of any breach, nor delay by the Pledgee in exercising any of its rights under the Transaction Agreements and this Agreement, shall affect the rights of the Pledgee under this Agreement, relevant PRC Law and the Transaction Agreements, the rights of the Pledgee to demand at any time thereafter the strict performance of the Transaction Agreements and this Agreement by the Pledgor or the rights the Pledgee may be entitled to due to any subsequent breach by the Pledgor of his obligations under the Transaction Agreements and/or this Agreement.</w:t>
      </w:r>
    </w:p>
    <w:tbl>
      <w:tblPr>
        <w:tblW w:w="2920" w:type="dxa"/>
        <w:jc w:val="left"/>
        <w:tblInd w:w="0" w:type="dxa"/>
        <w:tblLayout w:type="fixed"/>
        <w:tblCellMar>
          <w:top w:w="0" w:type="dxa"/>
          <w:left w:w="0" w:type="dxa"/>
          <w:bottom w:w="0" w:type="dxa"/>
          <w:right w:w="0" w:type="dxa"/>
        </w:tblCellMar>
      </w:tblPr>
      <w:tblGrid>
        <w:gridCol w:w="170"/>
        <w:gridCol w:w="2750"/>
      </w:tblGrid>
      <w:tr>
        <w:trPr/>
        <w:tc>
          <w:tcPr>
            <w:tcW w:w="17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6.</w:t>
            </w:r>
          </w:p>
        </w:tc>
        <w:tc>
          <w:tcPr>
            <w:tcW w:w="275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Representations and Warranties</w:t>
            </w:r>
          </w:p>
        </w:tc>
      </w:tr>
    </w:tbl>
    <w:tbl>
      <w:tblPr>
        <w:tblW w:w="10205" w:type="dxa"/>
        <w:jc w:val="left"/>
        <w:tblInd w:w="0" w:type="dxa"/>
        <w:tblLayout w:type="fixed"/>
        <w:tblCellMar>
          <w:top w:w="0" w:type="dxa"/>
          <w:left w:w="0" w:type="dxa"/>
          <w:bottom w:w="0" w:type="dxa"/>
          <w:right w:w="0" w:type="dxa"/>
        </w:tblCellMar>
      </w:tblPr>
      <w:tblGrid>
        <w:gridCol w:w="23"/>
        <w:gridCol w:w="275"/>
        <w:gridCol w:w="9907"/>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6.1</w:t>
            </w:r>
          </w:p>
        </w:tc>
        <w:tc>
          <w:tcPr>
            <w:tcW w:w="990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As of the date of this Agreement and during the term of this Agreement through the date of termination or expiration of this Agreement, the Pledgor hereby represents and warrants as follows:</w:t>
            </w:r>
          </w:p>
        </w:tc>
      </w:tr>
    </w:tbl>
    <w:tbl>
      <w:tblPr>
        <w:tblW w:w="9618" w:type="dxa"/>
        <w:jc w:val="left"/>
        <w:tblInd w:w="0" w:type="dxa"/>
        <w:tblLayout w:type="fixed"/>
        <w:tblCellMar>
          <w:top w:w="0" w:type="dxa"/>
          <w:left w:w="0" w:type="dxa"/>
          <w:bottom w:w="0" w:type="dxa"/>
          <w:right w:w="0" w:type="dxa"/>
        </w:tblCellMar>
      </w:tblPr>
      <w:tblGrid>
        <w:gridCol w:w="23"/>
        <w:gridCol w:w="230"/>
        <w:gridCol w:w="936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936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Pledgor is a PRC citizen with power and capacity to execute and perform his obligations under this Agreement.</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execution and performance of this Agreement by the Pledgor do not violate any laws and regulations or government approvals, authorizations, notices or other governmental documents having binding effect on or affecting the Pledgor, nor do they violate any agreements between the Pledgor and any third party or any covenants made to any third party.</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tbl>
      <w:tblPr>
        <w:tblW w:w="7398" w:type="dxa"/>
        <w:jc w:val="left"/>
        <w:tblInd w:w="0" w:type="dxa"/>
        <w:tblLayout w:type="fixed"/>
        <w:tblCellMar>
          <w:top w:w="0" w:type="dxa"/>
          <w:left w:w="0" w:type="dxa"/>
          <w:bottom w:w="0" w:type="dxa"/>
          <w:right w:w="0" w:type="dxa"/>
        </w:tblCellMar>
      </w:tblPr>
      <w:tblGrid>
        <w:gridCol w:w="23"/>
        <w:gridCol w:w="230"/>
        <w:gridCol w:w="714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71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This Agreement constitutes the lawful, valid and enforceable obligations of the Pledgor.</w:t>
            </w:r>
          </w:p>
        </w:tc>
      </w:tr>
    </w:tbl>
    <w:tbl>
      <w:tblPr>
        <w:tblW w:w="10205" w:type="dxa"/>
        <w:jc w:val="left"/>
        <w:tblInd w:w="0" w:type="dxa"/>
        <w:tblLayout w:type="fixed"/>
        <w:tblCellMar>
          <w:top w:w="0" w:type="dxa"/>
          <w:left w:w="0" w:type="dxa"/>
          <w:bottom w:w="0" w:type="dxa"/>
          <w:right w:w="0" w:type="dxa"/>
        </w:tblCellMar>
      </w:tblPr>
      <w:tblGrid>
        <w:gridCol w:w="23"/>
        <w:gridCol w:w="240"/>
        <w:gridCol w:w="9942"/>
      </w:tblGrid>
      <w:tr>
        <w:trPr/>
        <w:tc>
          <w:tcPr>
            <w:tcW w:w="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994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All reports, documents and information provided by the Pledgor to the Pledgee are true, correct and accurate in all material respects.</w:t>
            </w:r>
          </w:p>
        </w:tc>
      </w:tr>
    </w:tbl>
    <w:tbl>
      <w:tblPr>
        <w:tblW w:w="10205" w:type="dxa"/>
        <w:jc w:val="left"/>
        <w:tblInd w:w="0" w:type="dxa"/>
        <w:tblLayout w:type="fixed"/>
        <w:tblCellMar>
          <w:top w:w="0" w:type="dxa"/>
          <w:left w:w="0" w:type="dxa"/>
          <w:bottom w:w="0" w:type="dxa"/>
          <w:right w:w="0" w:type="dxa"/>
        </w:tblCellMar>
      </w:tblPr>
      <w:tblGrid>
        <w:gridCol w:w="23"/>
        <w:gridCol w:w="190"/>
        <w:gridCol w:w="9992"/>
      </w:tblGrid>
      <w:tr>
        <w:trPr/>
        <w:tc>
          <w:tcPr>
            <w:tcW w:w="2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w:t>
            </w:r>
          </w:p>
        </w:tc>
        <w:tc>
          <w:tcPr>
            <w:tcW w:w="999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Pledgor constitutes the only legal owner of the Pledged Equity, with no existing dispute concerning the ownership of the Pledged Equity. Except for the restrictions imposed by the Transaction Agreements and this Agreement or as otherwise agreed by the Parties, the Pledgor has the right to dispose of the Pledged Equity or any part thereof.</w:t>
            </w:r>
          </w:p>
        </w:tc>
      </w:tr>
    </w:tbl>
    <w:tbl>
      <w:tblPr>
        <w:tblW w:w="10205" w:type="dxa"/>
        <w:jc w:val="left"/>
        <w:tblInd w:w="0" w:type="dxa"/>
        <w:tblLayout w:type="fixed"/>
        <w:tblCellMar>
          <w:top w:w="0" w:type="dxa"/>
          <w:left w:w="0" w:type="dxa"/>
          <w:bottom w:w="0" w:type="dxa"/>
          <w:right w:w="0" w:type="dxa"/>
        </w:tblCellMar>
      </w:tblPr>
      <w:tblGrid>
        <w:gridCol w:w="23"/>
        <w:gridCol w:w="169"/>
        <w:gridCol w:w="10013"/>
      </w:tblGrid>
      <w:tr>
        <w:trPr/>
        <w:tc>
          <w:tcPr>
            <w:tcW w:w="2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(f)</w:t>
            </w:r>
          </w:p>
        </w:tc>
        <w:tc>
          <w:tcPr>
            <w:tcW w:w="1001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Except for the encumbrance set on the Pledged Equity hereunder and otherwise agreed by the Parties and the rights set forth under the Transaction Agreements, there is no other encumbrance or third party interest over the Pledged Equity.</w:t>
            </w:r>
          </w:p>
        </w:tc>
      </w:tr>
    </w:tbl>
    <w:tbl>
      <w:tblPr>
        <w:tblW w:w="10205" w:type="dxa"/>
        <w:jc w:val="left"/>
        <w:tblInd w:w="0" w:type="dxa"/>
        <w:tblLayout w:type="fixed"/>
        <w:tblCellMar>
          <w:top w:w="0" w:type="dxa"/>
          <w:left w:w="0" w:type="dxa"/>
          <w:bottom w:w="0" w:type="dxa"/>
          <w:right w:w="0" w:type="dxa"/>
        </w:tblCellMar>
      </w:tblPr>
      <w:tblGrid>
        <w:gridCol w:w="23"/>
        <w:gridCol w:w="219"/>
        <w:gridCol w:w="9963"/>
      </w:tblGrid>
      <w:tr>
        <w:trPr/>
        <w:tc>
          <w:tcPr>
            <w:tcW w:w="2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(g)</w:t>
            </w:r>
          </w:p>
        </w:tc>
        <w:tc>
          <w:tcPr>
            <w:tcW w:w="996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Pledged Equity is capable of being pledged or transferred according to PRC Law, and the Pledgor has the full right and power to pledge the Pledged Equity to the Pledgee according to this Agreement.</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(h)</w:t>
            </w:r>
          </w:p>
        </w:tc>
        <w:tc>
          <w:tcPr>
            <w:tcW w:w="998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Any consent, permission, waiver or authorization by any third person, or any approval, permission or exemption by any government authority, or any registration or filing formalities with any government authority to be effected or obtained in respect of the execution and performance hereof and the creation of the Equity Pledge hereunder have been or will be handled or obtained, and will be fully effective during the term of this Agreement.</w:t>
            </w:r>
          </w:p>
        </w:tc>
      </w:tr>
    </w:tbl>
    <w:tbl>
      <w:tblPr>
        <w:tblW w:w="6543" w:type="dxa"/>
        <w:jc w:val="left"/>
        <w:tblInd w:w="0" w:type="dxa"/>
        <w:tblLayout w:type="fixed"/>
        <w:tblCellMar>
          <w:top w:w="0" w:type="dxa"/>
          <w:left w:w="0" w:type="dxa"/>
          <w:bottom w:w="0" w:type="dxa"/>
          <w:right w:w="0" w:type="dxa"/>
        </w:tblCellMar>
      </w:tblPr>
      <w:tblGrid>
        <w:gridCol w:w="23"/>
        <w:gridCol w:w="200"/>
        <w:gridCol w:w="632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w:t>
            </w:r>
          </w:p>
        </w:tc>
        <w:tc>
          <w:tcPr>
            <w:tcW w:w="632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Equity Pledge hereunder constitutes a first pledge on the Pledged Equity.</w:t>
            </w:r>
          </w:p>
        </w:tc>
      </w:tr>
    </w:tbl>
    <w:tbl>
      <w:tblPr>
        <w:tblW w:w="10205" w:type="dxa"/>
        <w:jc w:val="left"/>
        <w:tblInd w:w="0" w:type="dxa"/>
        <w:tblLayout w:type="fixed"/>
        <w:tblCellMar>
          <w:top w:w="0" w:type="dxa"/>
          <w:left w:w="0" w:type="dxa"/>
          <w:bottom w:w="0" w:type="dxa"/>
          <w:right w:w="0" w:type="dxa"/>
        </w:tblCellMar>
      </w:tblPr>
      <w:tblGrid>
        <w:gridCol w:w="23"/>
        <w:gridCol w:w="154"/>
        <w:gridCol w:w="10028"/>
      </w:tblGrid>
      <w:tr>
        <w:trPr/>
        <w:tc>
          <w:tcPr>
            <w:tcW w:w="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(j)</w:t>
            </w:r>
          </w:p>
        </w:tc>
        <w:tc>
          <w:tcPr>
            <w:tcW w:w="1002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There is no pending or, to the knowledge of the Pledgor, threatened litigation, legal process or demand by any court or any arbitral tribunal or by any government authority or any administration authority against the Pledgor, or his property, or the Pledged Equity, which would have a material adverse effect on the economic status of the Pledgor or his capability to perform the obligations hereunder and the Contract Obligations or to discharge and satisfy the Secured Debts.</w:t>
            </w:r>
          </w:p>
        </w:tc>
      </w:tr>
    </w:tbl>
    <w:tbl>
      <w:tblPr>
        <w:tblW w:w="10205" w:type="dxa"/>
        <w:jc w:val="left"/>
        <w:tblInd w:w="0" w:type="dxa"/>
        <w:tblLayout w:type="fixed"/>
        <w:tblCellMar>
          <w:top w:w="0" w:type="dxa"/>
          <w:left w:w="0" w:type="dxa"/>
          <w:bottom w:w="0" w:type="dxa"/>
          <w:right w:w="0" w:type="dxa"/>
        </w:tblCellMar>
      </w:tblPr>
      <w:tblGrid>
        <w:gridCol w:w="23"/>
        <w:gridCol w:w="275"/>
        <w:gridCol w:w="9907"/>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6.2</w:t>
            </w:r>
          </w:p>
        </w:tc>
        <w:tc>
          <w:tcPr>
            <w:tcW w:w="990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As of the date of this Agreement and during the term of this Agreement through the date of termination or expiration of this Agreement, the Pledgee hereby represents and warrants as follows:</w:t>
            </w:r>
          </w:p>
        </w:tc>
      </w:tr>
    </w:tbl>
    <w:tbl>
      <w:tblPr>
        <w:tblW w:w="7938" w:type="dxa"/>
        <w:jc w:val="left"/>
        <w:tblInd w:w="0" w:type="dxa"/>
        <w:tblLayout w:type="fixed"/>
        <w:tblCellMar>
          <w:top w:w="0" w:type="dxa"/>
          <w:left w:w="0" w:type="dxa"/>
          <w:bottom w:w="0" w:type="dxa"/>
          <w:right w:w="0" w:type="dxa"/>
        </w:tblCellMar>
      </w:tblPr>
      <w:tblGrid>
        <w:gridCol w:w="23"/>
        <w:gridCol w:w="230"/>
        <w:gridCol w:w="768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768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Pledgee is a wholly foreign owned enterprise duly registered and existing under PRC Law.</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994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Pledgee has the power to execute and perform its obligations under this Agreement. The execution and performance of this Agreement by the</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240"/>
        <w:ind w:left="2160" w:right="0" w:hanging="0"/>
        <w:jc w:val="both"/>
        <w:rPr>
          <w:rFonts w:ascii="Times New Roman;Times;serif" w:hAnsi="Times New Roman;Times;serif"/>
          <w:sz w:val="20"/>
        </w:rPr>
      </w:pPr>
      <w:r>
        <w:rPr>
          <w:rFonts w:ascii="Times New Roman;Times;serif" w:hAnsi="Times New Roman;Times;serif"/>
          <w:sz w:val="20"/>
        </w:rPr>
        <w:t>Pledgee is in compliance with the articles of association or other organizational documents of the Pledgee, and the Pledgee has obtained all necessary and appropriate approvals and authorizations for the execution and performance of this Agreement.</w:t>
      </w:r>
    </w:p>
    <w:tbl>
      <w:tblPr>
        <w:tblW w:w="7473" w:type="dxa"/>
        <w:jc w:val="left"/>
        <w:tblInd w:w="0" w:type="dxa"/>
        <w:tblLayout w:type="fixed"/>
        <w:tblCellMar>
          <w:top w:w="0" w:type="dxa"/>
          <w:left w:w="0" w:type="dxa"/>
          <w:bottom w:w="0" w:type="dxa"/>
          <w:right w:w="0" w:type="dxa"/>
        </w:tblCellMar>
      </w:tblPr>
      <w:tblGrid>
        <w:gridCol w:w="23"/>
        <w:gridCol w:w="230"/>
        <w:gridCol w:w="722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722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This Agreement shall constitute lawful, valid and enforceable obligations of the Pledgee.</w:t>
            </w:r>
          </w:p>
        </w:tc>
      </w:tr>
    </w:tbl>
    <w:tbl>
      <w:tblPr>
        <w:tblW w:w="2605" w:type="dxa"/>
        <w:jc w:val="left"/>
        <w:tblInd w:w="0" w:type="dxa"/>
        <w:tblLayout w:type="fixed"/>
        <w:tblCellMar>
          <w:top w:w="0" w:type="dxa"/>
          <w:left w:w="0" w:type="dxa"/>
          <w:bottom w:w="0" w:type="dxa"/>
          <w:right w:w="0" w:type="dxa"/>
        </w:tblCellMar>
      </w:tblPr>
      <w:tblGrid>
        <w:gridCol w:w="170"/>
        <w:gridCol w:w="2435"/>
      </w:tblGrid>
      <w:tr>
        <w:trPr/>
        <w:tc>
          <w:tcPr>
            <w:tcW w:w="17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7.</w:t>
            </w:r>
          </w:p>
        </w:tc>
        <w:tc>
          <w:tcPr>
            <w:tcW w:w="243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Undertakings by the Pledgor</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Pledgor hereby undertakes to the Pledgee as follows:</w:t>
      </w:r>
    </w:p>
    <w:tbl>
      <w:tblPr>
        <w:tblW w:w="10205" w:type="dxa"/>
        <w:jc w:val="left"/>
        <w:tblInd w:w="0" w:type="dxa"/>
        <w:tblLayout w:type="fixed"/>
        <w:tblCellMar>
          <w:top w:w="0" w:type="dxa"/>
          <w:left w:w="0" w:type="dxa"/>
          <w:bottom w:w="0" w:type="dxa"/>
          <w:right w:w="0" w:type="dxa"/>
        </w:tblCellMar>
      </w:tblPr>
      <w:tblGrid>
        <w:gridCol w:w="23"/>
        <w:gridCol w:w="193"/>
        <w:gridCol w:w="9989"/>
      </w:tblGrid>
      <w:tr>
        <w:trPr/>
        <w:tc>
          <w:tcPr>
            <w:tcW w:w="2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998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Without the prior written consent by the Pledgee, the Pledgor shall not establish or permit to establish any further pledge or any other encumbrance on the Pledged Equity. Any pledge or other encumbrance on all or part of the Pledged Equity without such prior written consent shall be null and void.</w:t>
            </w:r>
          </w:p>
        </w:tc>
      </w:tr>
    </w:tbl>
    <w:tbl>
      <w:tblPr>
        <w:tblW w:w="10205" w:type="dxa"/>
        <w:jc w:val="left"/>
        <w:tblInd w:w="0" w:type="dxa"/>
        <w:tblLayout w:type="fixed"/>
        <w:tblCellMar>
          <w:top w:w="0" w:type="dxa"/>
          <w:left w:w="0" w:type="dxa"/>
          <w:bottom w:w="0" w:type="dxa"/>
          <w:right w:w="0" w:type="dxa"/>
        </w:tblCellMar>
      </w:tblPr>
      <w:tblGrid>
        <w:gridCol w:w="23"/>
        <w:gridCol w:w="203"/>
        <w:gridCol w:w="9979"/>
      </w:tblGrid>
      <w:tr>
        <w:trPr/>
        <w:tc>
          <w:tcPr>
            <w:tcW w:w="2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997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Without having the Pledgee’s prior written consent, the Pledgor shall not transfer the Pledged Equity, and any attempt by the Pledgor to transfer the Pledged Equity shall be null and void. The proceeds from the transfer of the Pledged Equity by the Pledgor shall be used to repay to the Pledgee in advance the Secured Debts or submit the same to the third party agreed with the Pledgee.</w:t>
            </w:r>
          </w:p>
        </w:tc>
      </w:tr>
    </w:tbl>
    <w:tbl>
      <w:tblPr>
        <w:tblW w:w="10205" w:type="dxa"/>
        <w:jc w:val="left"/>
        <w:tblInd w:w="0" w:type="dxa"/>
        <w:tblLayout w:type="fixed"/>
        <w:tblCellMar>
          <w:top w:w="0" w:type="dxa"/>
          <w:left w:w="0" w:type="dxa"/>
          <w:bottom w:w="0" w:type="dxa"/>
          <w:right w:w="0" w:type="dxa"/>
        </w:tblCellMar>
      </w:tblPr>
      <w:tblGrid>
        <w:gridCol w:w="23"/>
        <w:gridCol w:w="184"/>
        <w:gridCol w:w="9998"/>
      </w:tblGrid>
      <w:tr>
        <w:trPr/>
        <w:tc>
          <w:tcPr>
            <w:tcW w:w="2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999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Pledgor shall promptly notify the Pledgee of any litigation, arbitration, claim or other proceedings which may adversely affect the interest of the Pledgor or the Pledgee under the Transaction Agreements and hereunder or in respect of the Pledged Equity, shall keep the Pledgee timely informed of developments in connection therewith and shall take all reasonable measures to defend such proceedings and protect the interest of the Pledgee in the Pledged Equity.</w:t>
            </w:r>
          </w:p>
        </w:tc>
      </w:tr>
    </w:tbl>
    <w:tbl>
      <w:tblPr>
        <w:tblW w:w="10205" w:type="dxa"/>
        <w:jc w:val="left"/>
        <w:tblInd w:w="0" w:type="dxa"/>
        <w:tblLayout w:type="fixed"/>
        <w:tblCellMar>
          <w:top w:w="0" w:type="dxa"/>
          <w:left w:w="0" w:type="dxa"/>
          <w:bottom w:w="0" w:type="dxa"/>
          <w:right w:w="0" w:type="dxa"/>
        </w:tblCellMar>
      </w:tblPr>
      <w:tblGrid>
        <w:gridCol w:w="23"/>
        <w:gridCol w:w="221"/>
        <w:gridCol w:w="9961"/>
      </w:tblGrid>
      <w:tr>
        <w:trPr/>
        <w:tc>
          <w:tcPr>
            <w:tcW w:w="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996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Pledgor shall not take or permit any act or action which may adversely affect the interest of the Pledgee under the Transaction Agreements and hereunder or in respect of the Pledged Equity.</w:t>
            </w:r>
          </w:p>
        </w:tc>
      </w:tr>
    </w:tbl>
    <w:tbl>
      <w:tblPr>
        <w:tblW w:w="10205" w:type="dxa"/>
        <w:jc w:val="left"/>
        <w:tblInd w:w="0" w:type="dxa"/>
        <w:tblLayout w:type="fixed"/>
        <w:tblCellMar>
          <w:top w:w="0" w:type="dxa"/>
          <w:left w:w="0" w:type="dxa"/>
          <w:bottom w:w="0" w:type="dxa"/>
          <w:right w:w="0" w:type="dxa"/>
        </w:tblCellMar>
      </w:tblPr>
      <w:tblGrid>
        <w:gridCol w:w="23"/>
        <w:gridCol w:w="190"/>
        <w:gridCol w:w="9992"/>
      </w:tblGrid>
      <w:tr>
        <w:trPr/>
        <w:tc>
          <w:tcPr>
            <w:tcW w:w="2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w:t>
            </w:r>
          </w:p>
        </w:tc>
        <w:tc>
          <w:tcPr>
            <w:tcW w:w="999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At the request of the Pledgee, the Pledgor shall cause the Domestic Company to, within the first month of each calendar quarter, provide the Pledgee with the financial statements, including (but not limited to) the balance sheet, the profit statement and the cash flow statement of the Domestic Company for the previous calendar quarter.</w:t>
            </w:r>
          </w:p>
        </w:tc>
      </w:tr>
    </w:tbl>
    <w:tbl>
      <w:tblPr>
        <w:tblW w:w="2335" w:type="dxa"/>
        <w:jc w:val="left"/>
        <w:tblInd w:w="0" w:type="dxa"/>
        <w:tblLayout w:type="fixed"/>
        <w:tblCellMar>
          <w:top w:w="0" w:type="dxa"/>
          <w:left w:w="0" w:type="dxa"/>
          <w:bottom w:w="0" w:type="dxa"/>
          <w:right w:w="0" w:type="dxa"/>
        </w:tblCellMar>
      </w:tblPr>
      <w:tblGrid>
        <w:gridCol w:w="170"/>
        <w:gridCol w:w="2165"/>
      </w:tblGrid>
      <w:tr>
        <w:trPr/>
        <w:tc>
          <w:tcPr>
            <w:tcW w:w="17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8.</w:t>
            </w:r>
          </w:p>
        </w:tc>
        <w:tc>
          <w:tcPr>
            <w:tcW w:w="216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Change of Circumstances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Subject to compliance with other terms of the Transaction Agreements and this Agreement, the event of any promulgation or change of any PRC Law, regulations or rules, or change in interpretation or application of such laws, regulations and rules, or the change of the relevant registration procedures which causes the Pledgee to believe that it will be illegal</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or in conflict with such laws, regulations or rules to further maintain the effectiveness of this Agreement and/or dispose of the Pledged Equity in the manner provided herein, the Pledgor shall, at the written direction of the Pledgee and in accordance with the reasonable request of the Pledgee, promptly take all actions and/or execute any agreement or other document, in order to:</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keep this Agreement valid and effective;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facilitate the disposal of the Pledged Equity in the manner provided herein; and/or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maintain or realize the intention or the security established hereunder.</w:t>
      </w:r>
    </w:p>
    <w:tbl>
      <w:tblPr>
        <w:tblW w:w="3655" w:type="dxa"/>
        <w:jc w:val="left"/>
        <w:tblInd w:w="0" w:type="dxa"/>
        <w:tblLayout w:type="fixed"/>
        <w:tblCellMar>
          <w:top w:w="0" w:type="dxa"/>
          <w:left w:w="0" w:type="dxa"/>
          <w:bottom w:w="0" w:type="dxa"/>
          <w:right w:w="0" w:type="dxa"/>
        </w:tblCellMar>
      </w:tblPr>
      <w:tblGrid>
        <w:gridCol w:w="170"/>
        <w:gridCol w:w="3485"/>
      </w:tblGrid>
      <w:tr>
        <w:trPr/>
        <w:tc>
          <w:tcPr>
            <w:tcW w:w="17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9.</w:t>
            </w:r>
          </w:p>
        </w:tc>
        <w:tc>
          <w:tcPr>
            <w:tcW w:w="348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Effectiveness and Term of the Agreement</w:t>
            </w:r>
          </w:p>
        </w:tc>
      </w:tr>
    </w:tbl>
    <w:tbl>
      <w:tblPr>
        <w:tblW w:w="10205" w:type="dxa"/>
        <w:jc w:val="left"/>
        <w:tblInd w:w="0" w:type="dxa"/>
        <w:tblLayout w:type="fixed"/>
        <w:tblCellMar>
          <w:top w:w="0" w:type="dxa"/>
          <w:left w:w="0" w:type="dxa"/>
          <w:bottom w:w="0" w:type="dxa"/>
          <w:right w:w="0" w:type="dxa"/>
        </w:tblCellMar>
      </w:tblPr>
      <w:tblGrid>
        <w:gridCol w:w="23"/>
        <w:gridCol w:w="275"/>
        <w:gridCol w:w="9907"/>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9.1</w:t>
            </w:r>
          </w:p>
        </w:tc>
        <w:tc>
          <w:tcPr>
            <w:tcW w:w="990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This Agreement shall become effective when it has been duly executed by the parties hereto and recorded in the register of equityholders of the Domestic Company, and the Equity Pledge under this Agreement or the Registration Version, as applicable, shall become effective when it has been registered with SAMR to the extent permitted by SAMR. The Pledgor shall carry out all the approval and registration formalities in a timely manner as required by PRC Law (including but not limited to the registration of the Equity Pledge with SAMR to the extent permitted by SAMR) and shall take all other necessary actions required for completing such approval and/or registration formalities.</w:t>
            </w:r>
          </w:p>
        </w:tc>
      </w:tr>
    </w:tbl>
    <w:tbl>
      <w:tblPr>
        <w:tblW w:w="10205" w:type="dxa"/>
        <w:jc w:val="left"/>
        <w:tblInd w:w="0" w:type="dxa"/>
        <w:tblLayout w:type="fixed"/>
        <w:tblCellMar>
          <w:top w:w="0" w:type="dxa"/>
          <w:left w:w="0" w:type="dxa"/>
          <w:bottom w:w="0" w:type="dxa"/>
          <w:right w:w="0" w:type="dxa"/>
        </w:tblCellMar>
      </w:tblPr>
      <w:tblGrid>
        <w:gridCol w:w="23"/>
        <w:gridCol w:w="275"/>
        <w:gridCol w:w="9907"/>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9.2</w:t>
            </w:r>
          </w:p>
        </w:tc>
        <w:tc>
          <w:tcPr>
            <w:tcW w:w="990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This Agreement shall continue to be valid until the full performance of the Contract Obligations or the full discharge and satisfaction of the Secured Debts.</w:t>
            </w:r>
          </w:p>
        </w:tc>
      </w:tr>
    </w:tbl>
    <w:tbl>
      <w:tblPr>
        <w:tblW w:w="910" w:type="dxa"/>
        <w:jc w:val="left"/>
        <w:tblInd w:w="0" w:type="dxa"/>
        <w:tblLayout w:type="fixed"/>
        <w:tblCellMar>
          <w:top w:w="0" w:type="dxa"/>
          <w:left w:w="0" w:type="dxa"/>
          <w:bottom w:w="0" w:type="dxa"/>
          <w:right w:w="0" w:type="dxa"/>
        </w:tblCellMar>
      </w:tblPr>
      <w:tblGrid>
        <w:gridCol w:w="275"/>
        <w:gridCol w:w="635"/>
      </w:tblGrid>
      <w:tr>
        <w:trPr/>
        <w:tc>
          <w:tcPr>
            <w:tcW w:w="27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10.</w:t>
            </w:r>
          </w:p>
        </w:tc>
        <w:tc>
          <w:tcPr>
            <w:tcW w:w="63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Notices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All notices, claims, certificates, requests, demands and other communications under this Agreement shall be made in writing and shall be delivered to either Party hereto by hand, by postage prepaid, or by reputable overnight courier services at the following addresses (or at such other address for such Party as shall be specified by like notice), and shall be deemed given when so delivered by hand, or if sent by postage prepaid or overnight courier, five (5) days after delivery to or pickup by postage prepaid or by the overnight courier service:</w:t>
      </w:r>
    </w:p>
    <w:tbl>
      <w:tblPr>
        <w:tblW w:w="5760" w:type="dxa"/>
        <w:jc w:val="center"/>
        <w:tblInd w:w="0" w:type="dxa"/>
        <w:tblLayout w:type="fixed"/>
        <w:tblCellMar>
          <w:top w:w="0" w:type="dxa"/>
          <w:left w:w="0" w:type="dxa"/>
          <w:bottom w:w="0" w:type="dxa"/>
          <w:right w:w="0" w:type="dxa"/>
        </w:tblCellMar>
      </w:tblPr>
      <w:tblGrid>
        <w:gridCol w:w="1096"/>
        <w:gridCol w:w="4664"/>
      </w:tblGrid>
      <w:tr>
        <w:trPr/>
        <w:tc>
          <w:tcPr>
            <w:tcW w:w="1096" w:type="dxa"/>
            <w:tcBorders/>
            <w:vAlign w:val="center"/>
          </w:tcPr>
          <w:p>
            <w:pPr>
              <w:pStyle w:val="TableContents"/>
              <w:bidi w:val="0"/>
              <w:spacing w:before="0" w:after="0"/>
              <w:ind w:left="0" w:right="0" w:hanging="0"/>
              <w:jc w:val="left"/>
              <w:rPr/>
            </w:pPr>
            <w:r>
              <w:rPr/>
              <w:t>​</w:t>
            </w:r>
          </w:p>
        </w:tc>
        <w:tc>
          <w:tcPr>
            <w:tcW w:w="4664" w:type="dxa"/>
            <w:tcBorders/>
            <w:vAlign w:val="center"/>
          </w:tcPr>
          <w:p>
            <w:pPr>
              <w:pStyle w:val="TableContents"/>
              <w:bidi w:val="0"/>
              <w:spacing w:before="0" w:after="0"/>
              <w:ind w:left="0" w:right="0" w:hanging="0"/>
              <w:jc w:val="left"/>
              <w:rPr/>
            </w:pPr>
            <w:r>
              <w:rPr/>
              <w:t>​</w:t>
            </w:r>
          </w:p>
        </w:tc>
      </w:tr>
      <w:tr>
        <w:trPr/>
        <w:tc>
          <w:tcPr>
            <w:tcW w:w="5760" w:type="dxa"/>
            <w:gridSpan w:val="2"/>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 xml:space="preserve">If to Pledgee: </w:t>
            </w:r>
            <w:r>
              <w:rPr>
                <w:rFonts w:ascii="Times New Roman;Times;serif" w:hAnsi="Times New Roman;Times;serif"/>
                <w:sz w:val="20"/>
              </w:rPr>
              <w:t>Hangzhou NetEase Cloud Music Technology Co., Ltd.</w:t>
            </w:r>
          </w:p>
        </w:tc>
      </w:tr>
      <w:tr>
        <w:trPr/>
        <w:tc>
          <w:tcPr>
            <w:tcW w:w="1096" w:type="dxa"/>
            <w:tcBorders/>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Address:     </w:t>
            </w:r>
          </w:p>
        </w:tc>
        <w:tc>
          <w:tcPr>
            <w:tcW w:w="46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Room 1201, Block A, Hangzhou International Expo</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Center, No. 353 Benjing Avenue, Qianjiang Century</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City, Xiaoshan District, Hangzhou, Zhejiang</w:t>
            </w:r>
          </w:p>
        </w:tc>
      </w:tr>
      <w:tr>
        <w:trPr/>
        <w:tc>
          <w:tcPr>
            <w:tcW w:w="1096" w:type="dxa"/>
            <w:tcBorders/>
            <w:vAlign w:val="center"/>
          </w:tcPr>
          <w:p>
            <w:pPr>
              <w:pStyle w:val="TableContents"/>
              <w:bidi w:val="0"/>
              <w:spacing w:before="0" w:after="0"/>
              <w:ind w:left="0" w:right="0" w:hanging="0"/>
              <w:jc w:val="left"/>
              <w:rPr/>
            </w:pPr>
            <w:r>
              <w:rPr/>
              <w:t>​</w:t>
            </w:r>
          </w:p>
        </w:tc>
        <w:tc>
          <w:tcPr>
            <w:tcW w:w="4664" w:type="dxa"/>
            <w:tcBorders/>
            <w:vAlign w:val="center"/>
          </w:tcPr>
          <w:p>
            <w:pPr>
              <w:pStyle w:val="TableContents"/>
              <w:bidi w:val="0"/>
              <w:spacing w:before="0" w:after="0"/>
              <w:ind w:left="0" w:right="0" w:hanging="0"/>
              <w:jc w:val="left"/>
              <w:rPr/>
            </w:pPr>
            <w:r>
              <w:rPr/>
              <w:t>​</w:t>
            </w:r>
          </w:p>
        </w:tc>
      </w:tr>
      <w:tr>
        <w:trPr/>
        <w:tc>
          <w:tcPr>
            <w:tcW w:w="5760" w:type="dxa"/>
            <w:gridSpan w:val="2"/>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 xml:space="preserve">If to Pledgor: </w:t>
            </w:r>
            <w:r>
              <w:rPr>
                <w:rFonts w:ascii="Times New Roman;Times;serif" w:hAnsi="Times New Roman;Times;serif"/>
                <w:sz w:val="20"/>
              </w:rPr>
              <w:t>Wei Li</w:t>
            </w:r>
          </w:p>
        </w:tc>
      </w:tr>
      <w:tr>
        <w:trPr/>
        <w:tc>
          <w:tcPr>
            <w:tcW w:w="1096" w:type="dxa"/>
            <w:tcBorders/>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Address:    </w:t>
            </w:r>
          </w:p>
        </w:tc>
        <w:tc>
          <w:tcPr>
            <w:tcW w:w="46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No. 399 Wangshang Road, Changhe Street, Binjiang </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District, Hangzhou</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tbl>
      <w:tblPr>
        <w:tblW w:w="1570" w:type="dxa"/>
        <w:jc w:val="left"/>
        <w:tblInd w:w="0" w:type="dxa"/>
        <w:tblLayout w:type="fixed"/>
        <w:tblCellMar>
          <w:top w:w="0" w:type="dxa"/>
          <w:left w:w="0" w:type="dxa"/>
          <w:bottom w:w="0" w:type="dxa"/>
          <w:right w:w="0" w:type="dxa"/>
        </w:tblCellMar>
      </w:tblPr>
      <w:tblGrid>
        <w:gridCol w:w="275"/>
        <w:gridCol w:w="1295"/>
      </w:tblGrid>
      <w:tr>
        <w:trPr/>
        <w:tc>
          <w:tcPr>
            <w:tcW w:w="27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11.</w:t>
            </w:r>
          </w:p>
        </w:tc>
        <w:tc>
          <w:tcPr>
            <w:tcW w:w="129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Confidentiality</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Parties acknowledge and confirm that any oral or written information exchanged among them with respect to this Agreement constitutes confidential information. The Parties shall maintain the confidentiality of all such information. Without the prior written consent of the Party who had provided such information, none of the Parties shall disclose any confidential information to any third party, except in the following circumstances: (a) such information is or comes into the public domain (through no fault or disclosure by the receiving party); (b) information disclosed as required by applicable laws or rules or regulations of any stock exchange; or (c) information required to be disclosed by any Party to its legal or financial advisors regarding the transactions contemplated hereunder, and such legal or financial advisors are also bound by duties of confidentiality similar to the duties set forth in this Article. Disclosure of any confidential information by the staff or employee of any Party shall be deemed as disclosure of such confidential information by such Party, for which the Party shall be held liable for breach of this Agreement. This Article shall survive the termination of this Agreement for any reason.</w:t>
      </w:r>
    </w:p>
    <w:tbl>
      <w:tblPr>
        <w:tblW w:w="3610" w:type="dxa"/>
        <w:jc w:val="left"/>
        <w:tblInd w:w="0" w:type="dxa"/>
        <w:tblLayout w:type="fixed"/>
        <w:tblCellMar>
          <w:top w:w="0" w:type="dxa"/>
          <w:left w:w="0" w:type="dxa"/>
          <w:bottom w:w="0" w:type="dxa"/>
          <w:right w:w="0" w:type="dxa"/>
        </w:tblCellMar>
      </w:tblPr>
      <w:tblGrid>
        <w:gridCol w:w="275"/>
        <w:gridCol w:w="3335"/>
      </w:tblGrid>
      <w:tr>
        <w:trPr/>
        <w:tc>
          <w:tcPr>
            <w:tcW w:w="27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12.</w:t>
            </w:r>
          </w:p>
        </w:tc>
        <w:tc>
          <w:tcPr>
            <w:tcW w:w="333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Applicable Law and Dispute Resolution</w:t>
            </w:r>
          </w:p>
        </w:tc>
      </w:tr>
    </w:tbl>
    <w:tbl>
      <w:tblPr>
        <w:tblW w:w="10205" w:type="dxa"/>
        <w:jc w:val="left"/>
        <w:tblInd w:w="0" w:type="dxa"/>
        <w:tblLayout w:type="fixed"/>
        <w:tblCellMar>
          <w:top w:w="0" w:type="dxa"/>
          <w:left w:w="0" w:type="dxa"/>
          <w:bottom w:w="0" w:type="dxa"/>
          <w:right w:w="0" w:type="dxa"/>
        </w:tblCellMar>
      </w:tblPr>
      <w:tblGrid>
        <w:gridCol w:w="23"/>
        <w:gridCol w:w="380"/>
        <w:gridCol w:w="9802"/>
      </w:tblGrid>
      <w:tr>
        <w:trPr/>
        <w:tc>
          <w:tcPr>
            <w:tcW w:w="2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12.1</w:t>
            </w:r>
          </w:p>
        </w:tc>
        <w:tc>
          <w:tcPr>
            <w:tcW w:w="980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formation, validity, interpretation, performance, amendment, termination and dispute resolution of this Agreement shall be governed by PRC Law.</w:t>
            </w:r>
          </w:p>
        </w:tc>
      </w:tr>
    </w:tbl>
    <w:tbl>
      <w:tblPr>
        <w:tblW w:w="10205" w:type="dxa"/>
        <w:jc w:val="left"/>
        <w:tblInd w:w="0" w:type="dxa"/>
        <w:tblLayout w:type="fixed"/>
        <w:tblCellMar>
          <w:top w:w="0" w:type="dxa"/>
          <w:left w:w="0" w:type="dxa"/>
          <w:bottom w:w="0" w:type="dxa"/>
          <w:right w:w="0" w:type="dxa"/>
        </w:tblCellMar>
      </w:tblPr>
      <w:tblGrid>
        <w:gridCol w:w="23"/>
        <w:gridCol w:w="380"/>
        <w:gridCol w:w="9802"/>
      </w:tblGrid>
      <w:tr>
        <w:trPr/>
        <w:tc>
          <w:tcPr>
            <w:tcW w:w="2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12.2</w:t>
            </w:r>
          </w:p>
        </w:tc>
        <w:tc>
          <w:tcPr>
            <w:tcW w:w="980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Any dispute arising under or in connection with this Agreement shall be settled by the parties through negotiation. If the parties fail to reach an agreement within 30 days after the dispute arises, the dispute shall be submitted to China International Economic and Trade Arbitration Commission for arbitration in Beijing by three arbitrators in accordance with its arbitration rules in force at that time. The party initiating the arbitration and the respondent shall each appoint one arbitrator, and the third arbitrator shall be appointed by China International Economic and Trade Arbitration Commission. If there are more than two persons (natural person or legal person) of the party initiating arbitration or the respondent, one arbitrator shall be appointed by the two persons through written consensus. The arbitration award is final and binding on all parties to the dispute. During the dispute settlement period, except for the matters in dispute, the Parties to this Agreement shall continue to exercise their respective rights and perform their respective obligations under this Agreement.</w:t>
            </w:r>
          </w:p>
        </w:tc>
      </w:tr>
    </w:tbl>
    <w:tbl>
      <w:tblPr>
        <w:tblW w:w="10205" w:type="dxa"/>
        <w:jc w:val="left"/>
        <w:tblInd w:w="0" w:type="dxa"/>
        <w:tblLayout w:type="fixed"/>
        <w:tblCellMar>
          <w:top w:w="0" w:type="dxa"/>
          <w:left w:w="0" w:type="dxa"/>
          <w:bottom w:w="0" w:type="dxa"/>
          <w:right w:w="0" w:type="dxa"/>
        </w:tblCellMar>
      </w:tblPr>
      <w:tblGrid>
        <w:gridCol w:w="23"/>
        <w:gridCol w:w="380"/>
        <w:gridCol w:w="9802"/>
      </w:tblGrid>
      <w:tr>
        <w:trPr/>
        <w:tc>
          <w:tcPr>
            <w:tcW w:w="2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12.3</w:t>
            </w:r>
          </w:p>
        </w:tc>
        <w:tc>
          <w:tcPr>
            <w:tcW w:w="980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Parties hereby specifically acknowledge and undertake that, subject to the provisions of the PRC Law, the arbitrators have the right to make appropriate awards according to the actual situation, so as to give Pledgee appropriate legal remedies, including but not limited to restricting the Domestic Company's business operation, restricting and / or disposing the Domestic Company's equities or assets (including land assets) (including but not limited to taking them as compensation), or forbidding transfer or dispose, or taking other relevant remedies, or ordering the winding up of the Domestic Company. The Parties shall perform such awards.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380"/>
        <w:gridCol w:w="9802"/>
      </w:tblGrid>
      <w:tr>
        <w:trPr/>
        <w:tc>
          <w:tcPr>
            <w:tcW w:w="2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12.4</w:t>
            </w:r>
          </w:p>
        </w:tc>
        <w:tc>
          <w:tcPr>
            <w:tcW w:w="980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Subject to the provisions of the PRC Law, as property preservation or enforcement measures, at the request of one party to the dispute, the court with jurisdiction has the right to make an award or judgment before the formation of the arbitration tribunal or under other appropriate circumstances permitted by law, and to grant interim remedies to the party to the dispute, such as an award or judgment on detaining or freezing the properties or equities of the defaulting party. Such rights of one party to the dispute and the award or judgment made by the court in this regard shall not affect the validity of the above arbitration clause agreed by all Parties.</w:t>
            </w:r>
          </w:p>
        </w:tc>
      </w:tr>
    </w:tbl>
    <w:tbl>
      <w:tblPr>
        <w:tblW w:w="10205" w:type="dxa"/>
        <w:jc w:val="left"/>
        <w:tblInd w:w="0" w:type="dxa"/>
        <w:tblLayout w:type="fixed"/>
        <w:tblCellMar>
          <w:top w:w="0" w:type="dxa"/>
          <w:left w:w="0" w:type="dxa"/>
          <w:bottom w:w="0" w:type="dxa"/>
          <w:right w:w="0" w:type="dxa"/>
        </w:tblCellMar>
      </w:tblPr>
      <w:tblGrid>
        <w:gridCol w:w="23"/>
        <w:gridCol w:w="380"/>
        <w:gridCol w:w="9802"/>
      </w:tblGrid>
      <w:tr>
        <w:trPr/>
        <w:tc>
          <w:tcPr>
            <w:tcW w:w="2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12.5</w:t>
            </w:r>
          </w:p>
        </w:tc>
        <w:tc>
          <w:tcPr>
            <w:tcW w:w="980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After the arbitration award comes into effect, either Party has the right to apply to the court with jurisdiction for enforcement of the arbitration award.</w:t>
            </w:r>
          </w:p>
        </w:tc>
      </w:tr>
    </w:tbl>
    <w:tbl>
      <w:tblPr>
        <w:tblW w:w="10205" w:type="dxa"/>
        <w:jc w:val="left"/>
        <w:tblInd w:w="0" w:type="dxa"/>
        <w:tblLayout w:type="fixed"/>
        <w:tblCellMar>
          <w:top w:w="0" w:type="dxa"/>
          <w:left w:w="0" w:type="dxa"/>
          <w:bottom w:w="0" w:type="dxa"/>
          <w:right w:w="0" w:type="dxa"/>
        </w:tblCellMar>
      </w:tblPr>
      <w:tblGrid>
        <w:gridCol w:w="23"/>
        <w:gridCol w:w="380"/>
        <w:gridCol w:w="9802"/>
      </w:tblGrid>
      <w:tr>
        <w:trPr/>
        <w:tc>
          <w:tcPr>
            <w:tcW w:w="2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12.6</w:t>
            </w:r>
          </w:p>
        </w:tc>
        <w:tc>
          <w:tcPr>
            <w:tcW w:w="980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Parties agree that: the courts in (i) the Hong Kong Special Administrative Region; (ii) the registered place of Cloud Music Inc.; (iii) the registered place of the Domestic Company; and (iv) the place where main assets of Cloud Music Inc. or the Domestic Company are located shall be deemed to have jurisdiction for the purpose of this article.</w:t>
            </w:r>
          </w:p>
        </w:tc>
      </w:tr>
    </w:tbl>
    <w:tbl>
      <w:tblPr>
        <w:tblW w:w="1495" w:type="dxa"/>
        <w:jc w:val="left"/>
        <w:tblInd w:w="0" w:type="dxa"/>
        <w:tblLayout w:type="fixed"/>
        <w:tblCellMar>
          <w:top w:w="0" w:type="dxa"/>
          <w:left w:w="0" w:type="dxa"/>
          <w:bottom w:w="0" w:type="dxa"/>
          <w:right w:w="0" w:type="dxa"/>
        </w:tblCellMar>
      </w:tblPr>
      <w:tblGrid>
        <w:gridCol w:w="275"/>
        <w:gridCol w:w="1220"/>
      </w:tblGrid>
      <w:tr>
        <w:trPr/>
        <w:tc>
          <w:tcPr>
            <w:tcW w:w="27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13.</w:t>
            </w:r>
          </w:p>
        </w:tc>
        <w:tc>
          <w:tcPr>
            <w:tcW w:w="122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Miscellaneous</w:t>
            </w:r>
          </w:p>
        </w:tc>
      </w:tr>
    </w:tbl>
    <w:tbl>
      <w:tblPr>
        <w:tblW w:w="10205" w:type="dxa"/>
        <w:jc w:val="left"/>
        <w:tblInd w:w="0" w:type="dxa"/>
        <w:tblLayout w:type="fixed"/>
        <w:tblCellMar>
          <w:top w:w="0" w:type="dxa"/>
          <w:left w:w="0" w:type="dxa"/>
          <w:bottom w:w="0" w:type="dxa"/>
          <w:right w:w="0" w:type="dxa"/>
        </w:tblCellMar>
      </w:tblPr>
      <w:tblGrid>
        <w:gridCol w:w="23"/>
        <w:gridCol w:w="380"/>
        <w:gridCol w:w="9802"/>
      </w:tblGrid>
      <w:tr>
        <w:trPr/>
        <w:tc>
          <w:tcPr>
            <w:tcW w:w="2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13.1</w:t>
            </w:r>
          </w:p>
        </w:tc>
        <w:tc>
          <w:tcPr>
            <w:tcW w:w="980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Pledgee may, upon notice to the Pledgor but without the Pledgor’s consent, assign the Pledgee’s rights and/or obligations hereunder to any third party. In the event of an assignment by the Pledgee hereunder, the Pledgor shall, at the request of the Pledgee, execute a new pledge agreement with the assignee on the same terms and conditions as this Agreement and register such change with the SAMR. The Pledgor may not, without the Pledgee’s prior written consent, assign any of the Pledgor’s rights, obligations and/or liabilities hereunder to any third party. Successors or permitted assignees (if any) of the Pledgor shall be bound by, and continue to perform, the obligations of the Pledgor under this Agreement.</w:t>
            </w:r>
          </w:p>
        </w:tc>
      </w:tr>
    </w:tbl>
    <w:tbl>
      <w:tblPr>
        <w:tblW w:w="10205" w:type="dxa"/>
        <w:jc w:val="left"/>
        <w:tblInd w:w="0" w:type="dxa"/>
        <w:tblLayout w:type="fixed"/>
        <w:tblCellMar>
          <w:top w:w="0" w:type="dxa"/>
          <w:left w:w="0" w:type="dxa"/>
          <w:bottom w:w="0" w:type="dxa"/>
          <w:right w:w="0" w:type="dxa"/>
        </w:tblCellMar>
      </w:tblPr>
      <w:tblGrid>
        <w:gridCol w:w="23"/>
        <w:gridCol w:w="380"/>
        <w:gridCol w:w="9802"/>
      </w:tblGrid>
      <w:tr>
        <w:trPr/>
        <w:tc>
          <w:tcPr>
            <w:tcW w:w="2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13.2</w:t>
            </w:r>
          </w:p>
        </w:tc>
        <w:tc>
          <w:tcPr>
            <w:tcW w:w="980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amount of Secured Debts determined by the Pledgee in exercising its rights over the Pledged Equity in accordance with the provisions contained herein shall be conclusive evidence of the amount of the Secured Debts hereunder.</w:t>
            </w:r>
          </w:p>
        </w:tc>
      </w:tr>
    </w:tbl>
    <w:tbl>
      <w:tblPr>
        <w:tblW w:w="10205" w:type="dxa"/>
        <w:jc w:val="left"/>
        <w:tblInd w:w="0" w:type="dxa"/>
        <w:tblLayout w:type="fixed"/>
        <w:tblCellMar>
          <w:top w:w="0" w:type="dxa"/>
          <w:left w:w="0" w:type="dxa"/>
          <w:bottom w:w="0" w:type="dxa"/>
          <w:right w:w="0" w:type="dxa"/>
        </w:tblCellMar>
      </w:tblPr>
      <w:tblGrid>
        <w:gridCol w:w="23"/>
        <w:gridCol w:w="380"/>
        <w:gridCol w:w="9802"/>
      </w:tblGrid>
      <w:tr>
        <w:trPr/>
        <w:tc>
          <w:tcPr>
            <w:tcW w:w="2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13.3</w:t>
            </w:r>
          </w:p>
        </w:tc>
        <w:tc>
          <w:tcPr>
            <w:tcW w:w="980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This Agreement may not be amended or modified in any manner except by an instrument in writing signed by the Parties hereto.</w:t>
            </w:r>
          </w:p>
        </w:tc>
      </w:tr>
    </w:tbl>
    <w:tbl>
      <w:tblPr>
        <w:tblW w:w="10205" w:type="dxa"/>
        <w:jc w:val="left"/>
        <w:tblInd w:w="0" w:type="dxa"/>
        <w:tblLayout w:type="fixed"/>
        <w:tblCellMar>
          <w:top w:w="0" w:type="dxa"/>
          <w:left w:w="0" w:type="dxa"/>
          <w:bottom w:w="0" w:type="dxa"/>
          <w:right w:w="0" w:type="dxa"/>
        </w:tblCellMar>
      </w:tblPr>
      <w:tblGrid>
        <w:gridCol w:w="23"/>
        <w:gridCol w:w="380"/>
        <w:gridCol w:w="9802"/>
      </w:tblGrid>
      <w:tr>
        <w:trPr/>
        <w:tc>
          <w:tcPr>
            <w:tcW w:w="2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13.4</w:t>
            </w:r>
          </w:p>
        </w:tc>
        <w:tc>
          <w:tcPr>
            <w:tcW w:w="980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No waiver of any provision of this Agreement shall be effective unless made in writing and signed by the Parties. The waiver by any Party of a breach of any provision of this Agreement shall not operate or be construed as a waiver of any preceding or succeeding breach and no failure by either Party to exercise any right or privilege hereunder shall be deemed a waiver of such Party’s rights or privileges hereunder or shall be deemed a waiver of such Party’s rights to exercise the same at any subsequent time or times hereunder.</w:t>
            </w:r>
          </w:p>
        </w:tc>
      </w:tr>
    </w:tbl>
    <w:tbl>
      <w:tblPr>
        <w:tblW w:w="10205" w:type="dxa"/>
        <w:jc w:val="left"/>
        <w:tblInd w:w="0" w:type="dxa"/>
        <w:tblLayout w:type="fixed"/>
        <w:tblCellMar>
          <w:top w:w="0" w:type="dxa"/>
          <w:left w:w="0" w:type="dxa"/>
          <w:bottom w:w="0" w:type="dxa"/>
          <w:right w:w="0" w:type="dxa"/>
        </w:tblCellMar>
      </w:tblPr>
      <w:tblGrid>
        <w:gridCol w:w="23"/>
        <w:gridCol w:w="380"/>
        <w:gridCol w:w="9802"/>
      </w:tblGrid>
      <w:tr>
        <w:trPr/>
        <w:tc>
          <w:tcPr>
            <w:tcW w:w="2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13.5</w:t>
            </w:r>
          </w:p>
        </w:tc>
        <w:tc>
          <w:tcPr>
            <w:tcW w:w="980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In the event the Registration Version is used for the purposes of the Registration of the Equity Pledge, the Parties agree that, to the extent there is any discrepancy</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between this Agreement and the Registration Version and/or to the extent any contents of this Agreement supplement the Registration Version, this Agreement shall prevail. If any provision of this Agreement is deemed or becomes invalid, illegal or unenforceable, such provision shall be construed or deemed amended to conform to applicable laws so as to be valid and enforceable, or, if it cannot be so construed or deemed amended without materially altering the intention of the Parties, it shall be stricken and the remainder of this Agreement shall remain in full force and effect, and the Parties will negotiate in good faith to amend this Agreement with respect to the unenforceable provision to replace it with an enforceable provision which as closely as possible reflects the intent of the Parties.</w:t>
      </w:r>
    </w:p>
    <w:tbl>
      <w:tblPr>
        <w:tblW w:w="10205" w:type="dxa"/>
        <w:jc w:val="left"/>
        <w:tblInd w:w="0" w:type="dxa"/>
        <w:tblLayout w:type="fixed"/>
        <w:tblCellMar>
          <w:top w:w="0" w:type="dxa"/>
          <w:left w:w="0" w:type="dxa"/>
          <w:bottom w:w="0" w:type="dxa"/>
          <w:right w:w="0" w:type="dxa"/>
        </w:tblCellMar>
      </w:tblPr>
      <w:tblGrid>
        <w:gridCol w:w="23"/>
        <w:gridCol w:w="380"/>
        <w:gridCol w:w="9802"/>
      </w:tblGrid>
      <w:tr>
        <w:trPr/>
        <w:tc>
          <w:tcPr>
            <w:tcW w:w="2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13.6</w:t>
            </w:r>
          </w:p>
        </w:tc>
        <w:tc>
          <w:tcPr>
            <w:tcW w:w="980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Upon the execution of this Agreement, the Pledgor shall enter into a power of attorney (the “</w:t>
            </w:r>
            <w:r>
              <w:rPr>
                <w:rFonts w:ascii="Times New Roman;Times;serif" w:hAnsi="Times New Roman;Times;serif"/>
                <w:b/>
                <w:sz w:val="20"/>
              </w:rPr>
              <w:t>Power of Attorney</w:t>
            </w:r>
            <w:r>
              <w:rPr>
                <w:rFonts w:ascii="Times New Roman;Times;serif" w:hAnsi="Times New Roman;Times;serif"/>
                <w:sz w:val="20"/>
              </w:rPr>
              <w:t xml:space="preserve">”, the form of which is set forth in </w:t>
            </w:r>
            <w:r>
              <w:rPr>
                <w:rFonts w:ascii="Times New Roman;Times;serif" w:hAnsi="Times New Roman;Times;serif"/>
                <w:sz w:val="20"/>
                <w:u w:val="single"/>
              </w:rPr>
              <w:t>Appendix II</w:t>
            </w:r>
            <w:r>
              <w:rPr>
                <w:rFonts w:ascii="Times New Roman;Times;serif" w:hAnsi="Times New Roman;Times;serif"/>
                <w:sz w:val="20"/>
              </w:rPr>
              <w:t xml:space="preserve"> attached hereto) to authorize a person acceptable to the Pledgee to sign, on behalf of the Pledgor and according to this Agreement, any and all legal documents necessary for the exercise of the Pledgee’s rights hereunder. Such Power of Attorney shall be delivered to the Pledgee and the Pledgee may, at any time if necessary, require the Pledgor to execute multiple copies of the Power of Attorney and deliver the same to the relevant government authority.</w:t>
            </w:r>
          </w:p>
        </w:tc>
      </w:tr>
    </w:tbl>
    <w:tbl>
      <w:tblPr>
        <w:tblW w:w="10205" w:type="dxa"/>
        <w:jc w:val="left"/>
        <w:tblInd w:w="0" w:type="dxa"/>
        <w:tblLayout w:type="fixed"/>
        <w:tblCellMar>
          <w:top w:w="0" w:type="dxa"/>
          <w:left w:w="0" w:type="dxa"/>
          <w:bottom w:w="0" w:type="dxa"/>
          <w:right w:w="0" w:type="dxa"/>
        </w:tblCellMar>
      </w:tblPr>
      <w:tblGrid>
        <w:gridCol w:w="23"/>
        <w:gridCol w:w="380"/>
        <w:gridCol w:w="9802"/>
      </w:tblGrid>
      <w:tr>
        <w:trPr/>
        <w:tc>
          <w:tcPr>
            <w:tcW w:w="2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13.7</w:t>
            </w:r>
          </w:p>
        </w:tc>
        <w:tc>
          <w:tcPr>
            <w:tcW w:w="980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Each Party shall use all reasonable efforts to do and perform, or cause to be done and performed, all such further acts and things and shall execute and deliver all such other agreements, certificates, instruments and documents as may be necessary or desirable to give effect to the terms and intent of this Agreement and any ancillary documents. If required under any applicable law, regulations or listing rules or required or deemed desirable by any stock exchange, government or other regulatory authority having competent jurisdiction over the Parties or their affiliates (the “</w:t>
            </w:r>
            <w:r>
              <w:rPr>
                <w:rFonts w:ascii="Times New Roman;Times;serif" w:hAnsi="Times New Roman;Times;serif"/>
                <w:b/>
                <w:sz w:val="20"/>
              </w:rPr>
              <w:t>Applicable Requirements</w:t>
            </w:r>
            <w:r>
              <w:rPr>
                <w:rFonts w:ascii="Times New Roman;Times;serif" w:hAnsi="Times New Roman;Times;serif"/>
                <w:sz w:val="20"/>
              </w:rPr>
              <w:t>”), the Pledgor agrees and undertakes to (a) take all such actions (including the amendment of this Agreement and its appendices, any authorizations, documents and notices entered into or delivered in connection with this Agreement and the execution of additional documents) to comply with or, as applicable, meet the Applicable Requirements and (b) take all actions referred to in paragraph (a) above within three (3) Business Days from demand by the Pledgee.</w:t>
            </w:r>
          </w:p>
        </w:tc>
      </w:tr>
    </w:tbl>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[Signature page follows]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IN WITNESS WHEREOF</w:t>
      </w:r>
      <w:r>
        <w:rPr>
          <w:rFonts w:ascii="Times New Roman;Times;serif" w:hAnsi="Times New Roman;Times;serif"/>
          <w:sz w:val="20"/>
        </w:rPr>
        <w:t>, this Agreement has been duly executed by the Parties as of the date first above written.</w:t>
      </w:r>
    </w:p>
    <w:tbl>
      <w:tblPr>
        <w:tblW w:w="5861" w:type="dxa"/>
        <w:jc w:val="left"/>
        <w:tblInd w:w="0" w:type="dxa"/>
        <w:tblLayout w:type="fixed"/>
        <w:tblCellMar>
          <w:top w:w="0" w:type="dxa"/>
          <w:left w:w="0" w:type="dxa"/>
          <w:bottom w:w="0" w:type="dxa"/>
          <w:right w:w="0" w:type="dxa"/>
        </w:tblCellMar>
      </w:tblPr>
      <w:tblGrid>
        <w:gridCol w:w="856"/>
        <w:gridCol w:w="326"/>
        <w:gridCol w:w="1702"/>
        <w:gridCol w:w="68"/>
        <w:gridCol w:w="2909"/>
      </w:tblGrid>
      <w:tr>
        <w:trPr/>
        <w:tc>
          <w:tcPr>
            <w:tcW w:w="85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Pledgee:</w:t>
            </w:r>
          </w:p>
        </w:tc>
        <w:tc>
          <w:tcPr>
            <w:tcW w:w="326" w:type="dxa"/>
            <w:tcBorders/>
            <w:vAlign w:val="center"/>
          </w:tcPr>
          <w:p>
            <w:pPr>
              <w:pStyle w:val="TableContents"/>
              <w:bidi w:val="0"/>
              <w:spacing w:before="0" w:after="0"/>
              <w:ind w:left="0" w:right="0" w:hanging="0"/>
              <w:jc w:val="left"/>
              <w:rPr/>
            </w:pPr>
            <w:r>
              <w:rPr/>
              <w:t>    </w:t>
            </w:r>
          </w:p>
        </w:tc>
        <w:tc>
          <w:tcPr>
            <w:tcW w:w="4679"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Hangzhou NetEase Cloud Music Technology Co., Ltd.</w:t>
            </w:r>
          </w:p>
        </w:tc>
      </w:tr>
      <w:tr>
        <w:trPr/>
        <w:tc>
          <w:tcPr>
            <w:tcW w:w="8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679" w:type="dxa"/>
            <w:gridSpan w:val="3"/>
            <w:tcBorders/>
            <w:vAlign w:val="center"/>
          </w:tcPr>
          <w:p>
            <w:pPr>
              <w:pStyle w:val="TableContents"/>
              <w:bidi w:val="0"/>
              <w:spacing w:before="0" w:after="0"/>
              <w:ind w:left="0" w:right="0" w:hanging="0"/>
              <w:jc w:val="left"/>
              <w:rPr/>
            </w:pPr>
            <w:r>
              <w:rPr/>
              <w:t>​</w:t>
            </w:r>
          </w:p>
        </w:tc>
      </w:tr>
      <w:tr>
        <w:trPr/>
        <w:tc>
          <w:tcPr>
            <w:tcW w:w="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0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Seal: </w:t>
            </w:r>
          </w:p>
        </w:tc>
        <w:tc>
          <w:tcPr>
            <w:tcW w:w="2977"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 Company chop is affixed</w:t>
            </w:r>
          </w:p>
        </w:tc>
      </w:tr>
      <w:tr>
        <w:trPr/>
        <w:tc>
          <w:tcPr>
            <w:tcW w:w="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02" w:type="dxa"/>
            <w:tcBorders/>
            <w:vAlign w:val="center"/>
          </w:tcPr>
          <w:p>
            <w:pPr>
              <w:pStyle w:val="TableContents"/>
              <w:bidi w:val="0"/>
              <w:spacing w:before="0" w:after="0"/>
              <w:ind w:left="0" w:right="0" w:hanging="0"/>
              <w:jc w:val="left"/>
              <w:rPr/>
            </w:pPr>
            <w:r>
              <w:rPr/>
              <w:t>​</w:t>
            </w:r>
          </w:p>
        </w:tc>
        <w:tc>
          <w:tcPr>
            <w:tcW w:w="2977" w:type="dxa"/>
            <w:gridSpan w:val="2"/>
            <w:tcBorders/>
            <w:vAlign w:val="center"/>
          </w:tcPr>
          <w:p>
            <w:pPr>
              <w:pStyle w:val="TableContents"/>
              <w:bidi w:val="0"/>
              <w:spacing w:before="0" w:after="0"/>
              <w:ind w:left="0" w:right="0" w:hanging="0"/>
              <w:jc w:val="left"/>
              <w:rPr/>
            </w:pPr>
            <w:r>
              <w:rPr/>
              <w:t>​</w:t>
            </w:r>
          </w:p>
        </w:tc>
      </w:tr>
      <w:tr>
        <w:trPr/>
        <w:tc>
          <w:tcPr>
            <w:tcW w:w="856" w:type="dxa"/>
            <w:tcBorders/>
            <w:vAlign w:val="center"/>
          </w:tcPr>
          <w:p>
            <w:pPr>
              <w:pStyle w:val="TableContents"/>
              <w:pBdr/>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Pledgor:</w:t>
            </w:r>
          </w:p>
        </w:tc>
        <w:tc>
          <w:tcPr>
            <w:tcW w:w="326" w:type="dxa"/>
            <w:tcBorders/>
            <w:vAlign w:val="center"/>
          </w:tcPr>
          <w:p>
            <w:pPr>
              <w:pStyle w:val="TableContents"/>
              <w:bidi w:val="0"/>
              <w:spacing w:before="0" w:after="0"/>
              <w:ind w:left="0" w:right="0" w:hanging="0"/>
              <w:jc w:val="left"/>
              <w:rPr/>
            </w:pPr>
            <w:r>
              <w:rPr/>
              <w:t>​</w:t>
            </w:r>
          </w:p>
        </w:tc>
        <w:tc>
          <w:tcPr>
            <w:tcW w:w="4679"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Wei Li</w:t>
            </w:r>
          </w:p>
        </w:tc>
      </w:tr>
      <w:tr>
        <w:trPr/>
        <w:tc>
          <w:tcPr>
            <w:tcW w:w="856" w:type="dxa"/>
            <w:tcBorders/>
            <w:vAlign w:val="center"/>
          </w:tcPr>
          <w:p>
            <w:pPr>
              <w:pStyle w:val="TableContents"/>
              <w:pBdr/>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679" w:type="dxa"/>
            <w:gridSpan w:val="3"/>
            <w:tcBorders/>
            <w:vAlign w:val="center"/>
          </w:tcPr>
          <w:p>
            <w:pPr>
              <w:pStyle w:val="TableContents"/>
              <w:bidi w:val="0"/>
              <w:spacing w:before="0" w:after="0"/>
              <w:ind w:left="0" w:right="0" w:hanging="0"/>
              <w:jc w:val="left"/>
              <w:rPr/>
            </w:pPr>
            <w:r>
              <w:rPr/>
              <w:t>​</w:t>
            </w:r>
          </w:p>
        </w:tc>
      </w:tr>
      <w:tr>
        <w:trPr/>
        <w:tc>
          <w:tcPr>
            <w:tcW w:w="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7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Signature: </w:t>
            </w:r>
          </w:p>
        </w:tc>
        <w:tc>
          <w:tcPr>
            <w:tcW w:w="290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 Wei Li</w:t>
            </w:r>
          </w:p>
        </w:tc>
      </w:tr>
      <w:tr>
        <w:trPr/>
        <w:tc>
          <w:tcPr>
            <w:tcW w:w="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70" w:type="dxa"/>
            <w:gridSpan w:val="2"/>
            <w:tcBorders/>
            <w:vAlign w:val="center"/>
          </w:tcPr>
          <w:p>
            <w:pPr>
              <w:pStyle w:val="TableContents"/>
              <w:bidi w:val="0"/>
              <w:spacing w:before="0" w:after="0"/>
              <w:ind w:left="0" w:right="0" w:hanging="0"/>
              <w:jc w:val="left"/>
              <w:rPr/>
            </w:pPr>
            <w:r>
              <w:rPr/>
              <w:t>​</w:t>
            </w:r>
          </w:p>
        </w:tc>
        <w:tc>
          <w:tcPr>
            <w:tcW w:w="2909"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Appendix I</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Basic Information of the Domestic Company</w:t>
      </w:r>
    </w:p>
    <w:tbl>
      <w:tblPr>
        <w:tblW w:w="10205" w:type="dxa"/>
        <w:jc w:val="center"/>
        <w:tblInd w:w="0" w:type="dxa"/>
        <w:tblLayout w:type="fixed"/>
        <w:tblCellMar>
          <w:top w:w="0" w:type="dxa"/>
          <w:left w:w="0" w:type="dxa"/>
          <w:bottom w:w="0" w:type="dxa"/>
          <w:right w:w="0" w:type="dxa"/>
        </w:tblCellMar>
      </w:tblPr>
      <w:tblGrid>
        <w:gridCol w:w="1472"/>
        <w:gridCol w:w="8733"/>
      </w:tblGrid>
      <w:tr>
        <w:trPr/>
        <w:tc>
          <w:tcPr>
            <w:tcW w:w="1472" w:type="dxa"/>
            <w:tcBorders/>
            <w:vAlign w:val="center"/>
          </w:tcPr>
          <w:p>
            <w:pPr>
              <w:pStyle w:val="TableContents"/>
              <w:pBdr/>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Company Name:</w:t>
            </w:r>
          </w:p>
        </w:tc>
        <w:tc>
          <w:tcPr>
            <w:tcW w:w="8733" w:type="dxa"/>
            <w:tcBorders/>
            <w:vAlign w:val="center"/>
          </w:tcPr>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Hangzhou Yuedu Technology Co., Ltd.</w:t>
            </w:r>
          </w:p>
        </w:tc>
      </w:tr>
      <w:tr>
        <w:trPr/>
        <w:tc>
          <w:tcPr>
            <w:tcW w:w="1472" w:type="dxa"/>
            <w:tcBorders/>
            <w:vAlign w:val="center"/>
          </w:tcPr>
          <w:p>
            <w:pPr>
              <w:pStyle w:val="TableContents"/>
              <w:pBdr/>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Registered Address: </w:t>
            </w:r>
          </w:p>
        </w:tc>
        <w:tc>
          <w:tcPr>
            <w:tcW w:w="8733" w:type="dxa"/>
            <w:tcBorders/>
            <w:vAlign w:val="center"/>
          </w:tcPr>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Room 1202, Block A, Hangzhou International Expo Center, No. 353 Benjing Avenue, Qianjiang Century City, Ningwei Street, Xiaoshan District, Hangzhou, Zhejiang</w:t>
            </w:r>
          </w:p>
        </w:tc>
      </w:tr>
      <w:tr>
        <w:trPr/>
        <w:tc>
          <w:tcPr>
            <w:tcW w:w="1472" w:type="dxa"/>
            <w:tcBorders/>
            <w:vAlign w:val="center"/>
          </w:tcPr>
          <w:p>
            <w:pPr>
              <w:pStyle w:val="TableContents"/>
              <w:pBdr/>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Registered Capital: </w:t>
            </w:r>
          </w:p>
        </w:tc>
        <w:tc>
          <w:tcPr>
            <w:tcW w:w="8733" w:type="dxa"/>
            <w:tcBorders/>
            <w:vAlign w:val="center"/>
          </w:tcPr>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RMB 10,000,000 Yuan</w:t>
            </w:r>
          </w:p>
        </w:tc>
      </w:tr>
      <w:tr>
        <w:trPr/>
        <w:tc>
          <w:tcPr>
            <w:tcW w:w="1472" w:type="dxa"/>
            <w:tcBorders/>
            <w:vAlign w:val="center"/>
          </w:tcPr>
          <w:p>
            <w:pPr>
              <w:pStyle w:val="TableContents"/>
              <w:pBdr/>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Equity Structure:</w:t>
            </w:r>
          </w:p>
        </w:tc>
        <w:tc>
          <w:tcPr>
            <w:tcW w:w="8733" w:type="dxa"/>
            <w:tcBorders/>
            <w:vAlign w:val="center"/>
          </w:tcPr>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William Lei Ding— 99%</w:t>
            </w:r>
          </w:p>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Wei Li—1%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b/>
          <w:sz w:val="20"/>
        </w:rPr>
      </w:pPr>
      <w:r>
        <w:rPr>
          <w:rFonts w:ascii="Times New Roman;Times;serif" w:hAnsi="Times New Roman;Times;serif"/>
          <w:b/>
          <w:sz w:val="20"/>
        </w:rPr>
        <w:t>Appendix 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Appendix II</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Power of Attorney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 Wei Li, hereby irrevocably entrust </w:t>
      </w:r>
      <w:r>
        <w:rPr>
          <w:rFonts w:ascii="Times New Roman;Times;serif" w:hAnsi="Times New Roman;Times;serif"/>
          <w:sz w:val="20"/>
          <w:u w:val="single"/>
        </w:rPr>
        <w:t>t</w:t>
      </w:r>
      <w:r>
        <w:rPr>
          <w:rFonts w:ascii="Times New Roman;Times;serif" w:hAnsi="Times New Roman;Times;serif"/>
          <w:sz w:val="20"/>
        </w:rPr>
        <w:t>he person designated by Hangzhou NetEase Cloud Music Technology Co., Ltd. as my authorized representative, to sign all legal documents necessary for Hangzhou NetEase Cloud Music Technology Co., Ltd. as the pledgee to exercise its rights under the Equity Pledge Agreement entered into on November 2, 2023 by and between Hangzhou NetEase Cloud Music Technology Co., Ltd. and me.</w:t>
      </w:r>
    </w:p>
    <w:p>
      <w:pPr>
        <w:pStyle w:val="TextBody"/>
        <w:bidi w:val="0"/>
        <w:spacing w:before="0" w:after="0"/>
        <w:ind w:left="0" w:right="0" w:hanging="0"/>
        <w:jc w:val="left"/>
        <w:rPr/>
      </w:pPr>
      <w:r>
        <w:rPr/>
        <w:t>​</w:t>
      </w:r>
    </w:p>
    <w:tbl>
      <w:tblPr>
        <w:tblW w:w="1269" w:type="dxa"/>
        <w:jc w:val="center"/>
        <w:tblInd w:w="0" w:type="dxa"/>
        <w:tblLayout w:type="fixed"/>
        <w:tblCellMar>
          <w:top w:w="0" w:type="dxa"/>
          <w:left w:w="0" w:type="dxa"/>
          <w:bottom w:w="0" w:type="dxa"/>
          <w:right w:w="0" w:type="dxa"/>
        </w:tblCellMar>
      </w:tblPr>
      <w:tblGrid>
        <w:gridCol w:w="1006"/>
        <w:gridCol w:w="109"/>
        <w:gridCol w:w="154"/>
      </w:tblGrid>
      <w:tr>
        <w:trPr/>
        <w:tc>
          <w:tcPr>
            <w:tcW w:w="1006" w:type="dxa"/>
            <w:tcBorders/>
            <w:vAlign w:val="center"/>
          </w:tcPr>
          <w:p>
            <w:pPr>
              <w:pStyle w:val="TableContents"/>
              <w:pBdr/>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Wei Li</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0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006" w:type="dxa"/>
            <w:tcBorders/>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b/>
                <w:sz w:val="20"/>
              </w:rPr>
              <w:t>Signature</w:t>
            </w: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0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006" w:type="dxa"/>
            <w:tcBorders/>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b/>
                <w:sz w:val="20"/>
              </w:rPr>
              <w:t>Date</w:t>
            </w: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163" w:name="ntes-20231231xex4d53.htm"/>
      <w:bookmarkStart w:id="2164" w:name="ksntes20231231xex4d53"/>
      <w:bookmarkEnd w:id="2163"/>
      <w:bookmarkEnd w:id="2164"/>
      <w:r>
        <w:rPr>
          <w:rFonts w:ascii="Times New Roman;Times;serif" w:hAnsi="Times New Roman;Times;serif"/>
          <w:b/>
          <w:sz w:val="20"/>
        </w:rPr>
        <w:t>Exhibit 4.53</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OPERATING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Operating Agreement (this “</w:t>
      </w:r>
      <w:r>
        <w:rPr>
          <w:rFonts w:ascii="Times New Roman;Times;serif" w:hAnsi="Times New Roman;Times;serif"/>
          <w:b/>
          <w:sz w:val="20"/>
        </w:rPr>
        <w:t>Agreement</w:t>
      </w:r>
      <w:r>
        <w:rPr>
          <w:rFonts w:ascii="Times New Roman;Times;serif" w:hAnsi="Times New Roman;Times;serif"/>
          <w:sz w:val="20"/>
        </w:rPr>
        <w:t xml:space="preserve">”) is entered into among the following parties in </w:t>
      </w:r>
      <w:r>
        <w:rPr>
          <w:rFonts w:ascii="Times New Roman;Times;serif" w:hAnsi="Times New Roman;Times;serif"/>
          <w:b/>
          <w:sz w:val="20"/>
        </w:rPr>
        <w:t xml:space="preserve">Hangzhou </w:t>
      </w:r>
      <w:r>
        <w:rPr>
          <w:rFonts w:ascii="Times New Roman;Times;serif" w:hAnsi="Times New Roman;Times;serif"/>
          <w:sz w:val="20"/>
        </w:rPr>
        <w:t>as of November 2, 2023:</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Party A:</w:t>
      </w:r>
      <w:r>
        <w:rPr>
          <w:rFonts w:ascii="Times New Roman;Times;serif" w:hAnsi="Times New Roman;Times;serif"/>
          <w:sz w:val="20"/>
        </w:rPr>
        <w:t>Hangzhou NetEase Cloud Music Technology Co., Ltd.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Address:</w:t>
      </w:r>
      <w:r>
        <w:rPr>
          <w:rFonts w:ascii="Times New Roman;Times;serif" w:hAnsi="Times New Roman;Times;serif"/>
          <w:sz w:val="20"/>
        </w:rPr>
        <w:t>Room 1201, Block A, Hangzhou International Expo Center, No. 353 Benjing Avenue, Qianjiang Century City, Xiaoshan District, Hangzhou, Zhejiang</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Party B:</w:t>
      </w:r>
      <w:r>
        <w:rPr>
          <w:rFonts w:ascii="Times New Roman;Times;serif" w:hAnsi="Times New Roman;Times;serif"/>
          <w:sz w:val="20"/>
        </w:rPr>
        <w:t>Hangzhou Yuedu Technology Co., Ltd.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Address:</w:t>
      </w:r>
      <w:r>
        <w:rPr>
          <w:rFonts w:ascii="Times New Roman;Times;serif" w:hAnsi="Times New Roman;Times;serif"/>
          <w:sz w:val="20"/>
        </w:rPr>
        <w:t>Room 1202, Block A, Hangzhou International Expo Center, No. 353 Benjing Avenue, Qianjiang Century City, Ningwei Street, Xiaoshan District, Hangzhou, Zhejiang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Party C:</w:t>
      </w:r>
      <w:r>
        <w:rPr>
          <w:rFonts w:ascii="Times New Roman;Times;serif" w:hAnsi="Times New Roman;Times;serif"/>
          <w:sz w:val="20"/>
        </w:rPr>
        <w:t>William Lei Ding, whose ID number is </w:t>
      </w:r>
      <w:r>
        <w:rPr>
          <w:rFonts w:ascii="Times New Roman;Times;serif" w:hAnsi="Times New Roman;Times;serif"/>
          <w:sz w:val="20"/>
          <w:u w:val="single"/>
        </w:rPr>
        <w:t>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Party D:</w:t>
      </w:r>
      <w:r>
        <w:rPr>
          <w:rFonts w:ascii="Times New Roman;Times;serif" w:hAnsi="Times New Roman;Times;serif"/>
          <w:sz w:val="20"/>
        </w:rPr>
        <w:t>Wei Li, whose ID number is </w:t>
      </w:r>
      <w:r>
        <w:rPr>
          <w:rFonts w:ascii="Times New Roman;Times;serif" w:hAnsi="Times New Roman;Times;serif"/>
          <w:sz w:val="20"/>
          <w:u w:val="single"/>
        </w:rPr>
        <w: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this Agreement, Party A, Party B, Party C and Party D are called collectively as the “</w:t>
      </w:r>
      <w:r>
        <w:rPr>
          <w:rFonts w:ascii="Times New Roman;Times;serif" w:hAnsi="Times New Roman;Times;serif"/>
          <w:b/>
          <w:sz w:val="20"/>
        </w:rPr>
        <w:t>Parties</w:t>
      </w:r>
      <w:r>
        <w:rPr>
          <w:rFonts w:ascii="Times New Roman;Times;serif" w:hAnsi="Times New Roman;Times;serif"/>
          <w:sz w:val="20"/>
        </w:rPr>
        <w:t>” and each of them is a “</w:t>
      </w:r>
      <w:r>
        <w:rPr>
          <w:rFonts w:ascii="Times New Roman;Times;serif" w:hAnsi="Times New Roman;Times;serif"/>
          <w:b/>
          <w:sz w:val="20"/>
        </w:rPr>
        <w:t>Party</w:t>
      </w:r>
      <w:r>
        <w:rPr>
          <w:rFonts w:ascii="Times New Roman;Times;serif" w:hAnsi="Times New Roman;Times;serif"/>
          <w:sz w:val="20"/>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WHEREAS:</w:t>
      </w:r>
    </w:p>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1004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Party A is a wholly foreign-owned enterprise duly incorporated and validly existing under the laws of the People’s Republic of China (the “</w:t>
            </w:r>
            <w:r>
              <w:rPr>
                <w:rFonts w:ascii="Times New Roman;Times;serif" w:hAnsi="Times New Roman;Times;serif"/>
                <w:b/>
                <w:sz w:val="20"/>
              </w:rPr>
              <w:t>PRC</w:t>
            </w: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1004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Party B is a limited liability company duly incorporated and validly existing under PRC law, which is registered in Hangzhou, Zhejiang to carry out the business;</w:t>
            </w:r>
          </w:p>
        </w:tc>
      </w:tr>
    </w:tbl>
    <w:tbl>
      <w:tblPr>
        <w:tblW w:w="9865" w:type="dxa"/>
        <w:jc w:val="left"/>
        <w:tblInd w:w="0" w:type="dxa"/>
        <w:tblLayout w:type="fixed"/>
        <w:tblCellMar>
          <w:top w:w="0" w:type="dxa"/>
          <w:left w:w="0" w:type="dxa"/>
          <w:bottom w:w="0" w:type="dxa"/>
          <w:right w:w="0" w:type="dxa"/>
        </w:tblCellMar>
      </w:tblPr>
      <w:tblGrid>
        <w:gridCol w:w="170"/>
        <w:gridCol w:w="9695"/>
      </w:tblGrid>
      <w:tr>
        <w:trPr/>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w:t>
            </w:r>
          </w:p>
        </w:tc>
        <w:tc>
          <w:tcPr>
            <w:tcW w:w="969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Party C and Party D are shareholders of Party B, in which Party C owns 99% and Party D owns 1% of the equity interest;</w:t>
            </w:r>
          </w:p>
        </w:tc>
      </w:tr>
    </w:tbl>
    <w:tbl>
      <w:tblPr>
        <w:tblW w:w="10205" w:type="dxa"/>
        <w:jc w:val="left"/>
        <w:tblInd w:w="0" w:type="dxa"/>
        <w:tblLayout w:type="fixed"/>
        <w:tblCellMar>
          <w:top w:w="0" w:type="dxa"/>
          <w:left w:w="0" w:type="dxa"/>
          <w:bottom w:w="0" w:type="dxa"/>
          <w:right w:w="0" w:type="dxa"/>
        </w:tblCellMar>
      </w:tblPr>
      <w:tblGrid>
        <w:gridCol w:w="152"/>
        <w:gridCol w:w="10053"/>
      </w:tblGrid>
      <w:tr>
        <w:trPr/>
        <w:tc>
          <w:tcPr>
            <w:tcW w:w="15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4.</w:t>
            </w:r>
          </w:p>
        </w:tc>
        <w:tc>
          <w:tcPr>
            <w:tcW w:w="1005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Party A has established a business relationship with Party B by entering into a Cooperation Agreement (the “</w:t>
            </w:r>
            <w:r>
              <w:rPr>
                <w:rFonts w:ascii="Times New Roman;Times;serif" w:hAnsi="Times New Roman;Times;serif"/>
                <w:b/>
                <w:sz w:val="20"/>
              </w:rPr>
              <w:t>Cooperation Agreement</w:t>
            </w:r>
            <w:r>
              <w:rPr>
                <w:rFonts w:ascii="Times New Roman;Times;serif" w:hAnsi="Times New Roman;Times;serif"/>
                <w:sz w:val="20"/>
              </w:rPr>
              <w:t>”) and other agreements on the same date of this Agreement;</w:t>
            </w:r>
          </w:p>
        </w:tc>
      </w:tr>
    </w:tbl>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5.</w:t>
            </w:r>
          </w:p>
        </w:tc>
        <w:tc>
          <w:tcPr>
            <w:tcW w:w="1005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Pursuant to the above-mentioned agreements between Party A and Party B, Party B shall pay certain sums of money to Party A. The daily operations of Party B will have a material effect on Party B’s ability to pay such account payable to Party A;</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NOW, THEREFORE</w:t>
      </w:r>
      <w:r>
        <w:rPr>
          <w:rFonts w:ascii="Times New Roman;Times;serif" w:hAnsi="Times New Roman;Times;serif"/>
          <w:sz w:val="20"/>
        </w:rPr>
        <w:t>, through negotiations, all parties to this Agreement hereby agree as follows:</w:t>
      </w:r>
    </w:p>
    <w:tbl>
      <w:tblPr>
        <w:tblW w:w="10205" w:type="dxa"/>
        <w:jc w:val="left"/>
        <w:tblInd w:w="0" w:type="dxa"/>
        <w:tblLayout w:type="fixed"/>
        <w:tblCellMar>
          <w:top w:w="0" w:type="dxa"/>
          <w:left w:w="0" w:type="dxa"/>
          <w:bottom w:w="0" w:type="dxa"/>
          <w:right w:w="0" w:type="dxa"/>
        </w:tblCellMar>
      </w:tblPr>
      <w:tblGrid>
        <w:gridCol w:w="131"/>
        <w:gridCol w:w="10074"/>
      </w:tblGrid>
      <w:tr>
        <w:trPr/>
        <w:tc>
          <w:tcPr>
            <w:tcW w:w="13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1007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Party A agrees, subject to the satisfaction of the relevant provisions herein by Party B and subject to the other provisions in this Agreement, to be the guarantor of Party B in the contracts, agreements or transactions entered into between Party B and any third party in connection with Party B’s business and operations, to provide full guarantees for the performance of such contracts, agreements or transactions by Party B. As counter-guarantee, Party B agrees to pledge the accounts receivable in its operations and all of its assets to Party A. According to the aforesaid guarantee arrangement, Party A, when necessary, is willing to enter into written guarantee contracts with Party B’s counterparties to assume the guarantor’s liabilities. Party B, Party C and Party D shall</w:t>
            </w:r>
          </w:p>
        </w:tc>
      </w:tr>
    </w:tbl>
    <w:p>
      <w:pPr>
        <w:pStyle w:val="TextBody"/>
        <w:bidi w:val="0"/>
        <w:spacing w:before="0" w:after="0"/>
        <w:ind w:left="0" w:right="0" w:hanging="0"/>
        <w:jc w:val="both"/>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take all necessary actions (including, but not limited to, executing the relevant documents and filing the relevant registrations) to carry out the counter-guarantee arrangement with Party A.</w:t>
      </w:r>
    </w:p>
    <w:tbl>
      <w:tblPr>
        <w:tblW w:w="10205" w:type="dxa"/>
        <w:jc w:val="left"/>
        <w:tblInd w:w="0" w:type="dxa"/>
        <w:tblLayout w:type="fixed"/>
        <w:tblCellMar>
          <w:top w:w="0" w:type="dxa"/>
          <w:left w:w="0" w:type="dxa"/>
          <w:bottom w:w="0" w:type="dxa"/>
          <w:right w:w="0" w:type="dxa"/>
        </w:tblCellMar>
      </w:tblPr>
      <w:tblGrid>
        <w:gridCol w:w="132"/>
        <w:gridCol w:w="10073"/>
      </w:tblGrid>
      <w:tr>
        <w:trPr/>
        <w:tc>
          <w:tcPr>
            <w:tcW w:w="13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1007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In consideration of the requirements of Article 1 hereof and to ensure the performance of the various business agreements between Party A and Party B and the payment by Party B of the amounts payable to Party A thereunder, Party B, together with its shareholders Party C and Party D, hereby jointly agree that, without Party A’s prior written consent, Party B shall not engage in any transaction that may materially affect its assets, liabilities, rights or operations (except that Party B may, in the ordinary course of its business, enter into business contracts or agreements, sell or purchase assets and create liens in favor of relevant counter parties as required by law), including, but not limited to, the following:</w:t>
            </w:r>
          </w:p>
        </w:tc>
      </w:tr>
    </w:tbl>
    <w:tbl>
      <w:tblPr>
        <w:tblW w:w="5118" w:type="dxa"/>
        <w:jc w:val="left"/>
        <w:tblInd w:w="0" w:type="dxa"/>
        <w:tblLayout w:type="fixed"/>
        <w:tblCellMar>
          <w:top w:w="0" w:type="dxa"/>
          <w:left w:w="0" w:type="dxa"/>
          <w:bottom w:w="0" w:type="dxa"/>
          <w:right w:w="0" w:type="dxa"/>
        </w:tblCellMar>
      </w:tblPr>
      <w:tblGrid>
        <w:gridCol w:w="23"/>
        <w:gridCol w:w="275"/>
        <w:gridCol w:w="482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2.1</w:t>
            </w:r>
          </w:p>
        </w:tc>
        <w:tc>
          <w:tcPr>
            <w:tcW w:w="482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To declare any dividend or distribution to any shareholder;</w:t>
            </w:r>
          </w:p>
        </w:tc>
      </w:tr>
    </w:tbl>
    <w:tbl>
      <w:tblPr>
        <w:tblW w:w="5073" w:type="dxa"/>
        <w:jc w:val="left"/>
        <w:tblInd w:w="0" w:type="dxa"/>
        <w:tblLayout w:type="fixed"/>
        <w:tblCellMar>
          <w:top w:w="0" w:type="dxa"/>
          <w:left w:w="0" w:type="dxa"/>
          <w:bottom w:w="0" w:type="dxa"/>
          <w:right w:w="0" w:type="dxa"/>
        </w:tblCellMar>
      </w:tblPr>
      <w:tblGrid>
        <w:gridCol w:w="23"/>
        <w:gridCol w:w="275"/>
        <w:gridCol w:w="4775"/>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2.2</w:t>
            </w:r>
          </w:p>
        </w:tc>
        <w:tc>
          <w:tcPr>
            <w:tcW w:w="47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To borrow money from any third party or assume any debt;</w:t>
            </w:r>
          </w:p>
        </w:tc>
      </w:tr>
    </w:tbl>
    <w:tbl>
      <w:tblPr>
        <w:tblW w:w="10173" w:type="dxa"/>
        <w:jc w:val="left"/>
        <w:tblInd w:w="0" w:type="dxa"/>
        <w:tblLayout w:type="fixed"/>
        <w:tblCellMar>
          <w:top w:w="0" w:type="dxa"/>
          <w:left w:w="0" w:type="dxa"/>
          <w:bottom w:w="0" w:type="dxa"/>
          <w:right w:w="0" w:type="dxa"/>
        </w:tblCellMar>
      </w:tblPr>
      <w:tblGrid>
        <w:gridCol w:w="23"/>
        <w:gridCol w:w="275"/>
        <w:gridCol w:w="9875"/>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2.3</w:t>
            </w:r>
          </w:p>
        </w:tc>
        <w:tc>
          <w:tcPr>
            <w:tcW w:w="98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To sell to or acquire from any third party any asset or rights, including, but not limited to, any intellectual property rights;</w:t>
            </w:r>
          </w:p>
        </w:tc>
      </w:tr>
    </w:tbl>
    <w:tbl>
      <w:tblPr>
        <w:tblW w:w="8463" w:type="dxa"/>
        <w:jc w:val="left"/>
        <w:tblInd w:w="0" w:type="dxa"/>
        <w:tblLayout w:type="fixed"/>
        <w:tblCellMar>
          <w:top w:w="0" w:type="dxa"/>
          <w:left w:w="0" w:type="dxa"/>
          <w:bottom w:w="0" w:type="dxa"/>
          <w:right w:w="0" w:type="dxa"/>
        </w:tblCellMar>
      </w:tblPr>
      <w:tblGrid>
        <w:gridCol w:w="23"/>
        <w:gridCol w:w="275"/>
        <w:gridCol w:w="8165"/>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2.4</w:t>
            </w:r>
          </w:p>
        </w:tc>
        <w:tc>
          <w:tcPr>
            <w:tcW w:w="816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To provide a guarantee for any third party using its assets or intellectual property rights as collateral;</w:t>
            </w:r>
          </w:p>
        </w:tc>
      </w:tr>
    </w:tbl>
    <w:tbl>
      <w:tblPr>
        <w:tblW w:w="4368" w:type="dxa"/>
        <w:jc w:val="left"/>
        <w:tblInd w:w="0" w:type="dxa"/>
        <w:tblLayout w:type="fixed"/>
        <w:tblCellMar>
          <w:top w:w="0" w:type="dxa"/>
          <w:left w:w="0" w:type="dxa"/>
          <w:bottom w:w="0" w:type="dxa"/>
          <w:right w:w="0" w:type="dxa"/>
        </w:tblCellMar>
      </w:tblPr>
      <w:tblGrid>
        <w:gridCol w:w="23"/>
        <w:gridCol w:w="275"/>
        <w:gridCol w:w="407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2.5</w:t>
            </w:r>
          </w:p>
        </w:tc>
        <w:tc>
          <w:tcPr>
            <w:tcW w:w="40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To assign to any third party its business contracts;</w:t>
            </w:r>
          </w:p>
        </w:tc>
      </w:tr>
    </w:tbl>
    <w:tbl>
      <w:tblPr>
        <w:tblW w:w="5223" w:type="dxa"/>
        <w:jc w:val="left"/>
        <w:tblInd w:w="0" w:type="dxa"/>
        <w:tblLayout w:type="fixed"/>
        <w:tblCellMar>
          <w:top w:w="0" w:type="dxa"/>
          <w:left w:w="0" w:type="dxa"/>
          <w:bottom w:w="0" w:type="dxa"/>
          <w:right w:w="0" w:type="dxa"/>
        </w:tblCellMar>
      </w:tblPr>
      <w:tblGrid>
        <w:gridCol w:w="23"/>
        <w:gridCol w:w="275"/>
        <w:gridCol w:w="4925"/>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2.6</w:t>
            </w:r>
          </w:p>
        </w:tc>
        <w:tc>
          <w:tcPr>
            <w:tcW w:w="49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To engage in any activity beyond its normal business scope;</w:t>
            </w:r>
          </w:p>
        </w:tc>
      </w:tr>
    </w:tbl>
    <w:tbl>
      <w:tblPr>
        <w:tblW w:w="6903" w:type="dxa"/>
        <w:jc w:val="left"/>
        <w:tblInd w:w="0" w:type="dxa"/>
        <w:tblLayout w:type="fixed"/>
        <w:tblCellMar>
          <w:top w:w="0" w:type="dxa"/>
          <w:left w:w="0" w:type="dxa"/>
          <w:bottom w:w="0" w:type="dxa"/>
          <w:right w:w="0" w:type="dxa"/>
        </w:tblCellMar>
      </w:tblPr>
      <w:tblGrid>
        <w:gridCol w:w="23"/>
        <w:gridCol w:w="275"/>
        <w:gridCol w:w="6605"/>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2.7</w:t>
            </w:r>
          </w:p>
        </w:tc>
        <w:tc>
          <w:tcPr>
            <w:tcW w:w="660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To change or dismiss any of its directors or remove and replace any of its officers;</w:t>
            </w:r>
          </w:p>
        </w:tc>
      </w:tr>
    </w:tbl>
    <w:tbl>
      <w:tblPr>
        <w:tblW w:w="5553" w:type="dxa"/>
        <w:jc w:val="left"/>
        <w:tblInd w:w="0" w:type="dxa"/>
        <w:tblLayout w:type="fixed"/>
        <w:tblCellMar>
          <w:top w:w="0" w:type="dxa"/>
          <w:left w:w="0" w:type="dxa"/>
          <w:bottom w:w="0" w:type="dxa"/>
          <w:right w:w="0" w:type="dxa"/>
        </w:tblCellMar>
      </w:tblPr>
      <w:tblGrid>
        <w:gridCol w:w="23"/>
        <w:gridCol w:w="275"/>
        <w:gridCol w:w="5255"/>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2.8</w:t>
            </w:r>
          </w:p>
        </w:tc>
        <w:tc>
          <w:tcPr>
            <w:tcW w:w="52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To amend its articles of association or change its business scope;</w:t>
            </w:r>
          </w:p>
        </w:tc>
      </w:tr>
    </w:tbl>
    <w:tbl>
      <w:tblPr>
        <w:tblW w:w="8133" w:type="dxa"/>
        <w:jc w:val="left"/>
        <w:tblInd w:w="0" w:type="dxa"/>
        <w:tblLayout w:type="fixed"/>
        <w:tblCellMar>
          <w:top w:w="0" w:type="dxa"/>
          <w:left w:w="0" w:type="dxa"/>
          <w:bottom w:w="0" w:type="dxa"/>
          <w:right w:w="0" w:type="dxa"/>
        </w:tblCellMar>
      </w:tblPr>
      <w:tblGrid>
        <w:gridCol w:w="23"/>
        <w:gridCol w:w="275"/>
        <w:gridCol w:w="7835"/>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2.9</w:t>
            </w:r>
          </w:p>
        </w:tc>
        <w:tc>
          <w:tcPr>
            <w:tcW w:w="783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To change its normal business procedures or amend any of its important rules and regulations; or</w:t>
            </w:r>
          </w:p>
        </w:tc>
      </w:tr>
    </w:tbl>
    <w:tbl>
      <w:tblPr>
        <w:tblW w:w="6648" w:type="dxa"/>
        <w:jc w:val="left"/>
        <w:tblInd w:w="0" w:type="dxa"/>
        <w:tblLayout w:type="fixed"/>
        <w:tblCellMar>
          <w:top w:w="0" w:type="dxa"/>
          <w:left w:w="0" w:type="dxa"/>
          <w:bottom w:w="0" w:type="dxa"/>
          <w:right w:w="0" w:type="dxa"/>
        </w:tblCellMar>
      </w:tblPr>
      <w:tblGrid>
        <w:gridCol w:w="23"/>
        <w:gridCol w:w="380"/>
        <w:gridCol w:w="6245"/>
      </w:tblGrid>
      <w:tr>
        <w:trPr/>
        <w:tc>
          <w:tcPr>
            <w:tcW w:w="2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2.10</w:t>
            </w:r>
          </w:p>
        </w:tc>
        <w:tc>
          <w:tcPr>
            <w:tcW w:w="62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To transfer its rights and obligations under this Agreement to any third party.</w:t>
            </w:r>
          </w:p>
        </w:tc>
      </w:tr>
    </w:tbl>
    <w:tbl>
      <w:tblPr>
        <w:tblW w:w="10205" w:type="dxa"/>
        <w:jc w:val="left"/>
        <w:tblInd w:w="0" w:type="dxa"/>
        <w:tblLayout w:type="fixed"/>
        <w:tblCellMar>
          <w:top w:w="0" w:type="dxa"/>
          <w:left w:w="0" w:type="dxa"/>
          <w:bottom w:w="0" w:type="dxa"/>
          <w:right w:w="0" w:type="dxa"/>
        </w:tblCellMar>
      </w:tblPr>
      <w:tblGrid>
        <w:gridCol w:w="135"/>
        <w:gridCol w:w="10070"/>
      </w:tblGrid>
      <w:tr>
        <w:trPr/>
        <w:tc>
          <w:tcPr>
            <w:tcW w:w="13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w:t>
            </w:r>
          </w:p>
        </w:tc>
        <w:tc>
          <w:tcPr>
            <w:tcW w:w="100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In order to ensure the performance of the various business agreements between Party A and Party B and the payment by Party B of the amounts payable to Party A thereunder, Party B, together with its shareholders Party C and Party D, hereby jointly agree to accept and comply in all respects with advice and guidance provided by Party A from time to time relating to its corporate policies on matters such as employment and dismissal of employees, daily operations and management, and financial management.</w:t>
            </w:r>
          </w:p>
        </w:tc>
      </w:tr>
    </w:tbl>
    <w:tbl>
      <w:tblPr>
        <w:tblW w:w="10205" w:type="dxa"/>
        <w:jc w:val="left"/>
        <w:tblInd w:w="0" w:type="dxa"/>
        <w:tblLayout w:type="fixed"/>
        <w:tblCellMar>
          <w:top w:w="0" w:type="dxa"/>
          <w:left w:w="0" w:type="dxa"/>
          <w:bottom w:w="0" w:type="dxa"/>
          <w:right w:w="0" w:type="dxa"/>
        </w:tblCellMar>
      </w:tblPr>
      <w:tblGrid>
        <w:gridCol w:w="133"/>
        <w:gridCol w:w="10072"/>
      </w:tblGrid>
      <w:tr>
        <w:trPr/>
        <w:tc>
          <w:tcPr>
            <w:tcW w:w="13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4.</w:t>
            </w:r>
          </w:p>
        </w:tc>
        <w:tc>
          <w:tcPr>
            <w:tcW w:w="1007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 xml:space="preserve">Party B, together with its shareholders Party C and Party D, hereby jointly agree that Party C and Party D shall appoint candidates recommended by Party A as directors of Party B, and Party B shall appoint Party A’s senior executive officers recommended by Party A as its president, chief financial officer and other senior executive officers. If any of the above-mentioned senior executive officers of Party A leaves Party A, whether voluntarily or as a result of dismissal by Party A, he shall also lose his right to hold any position at Party B, and Party B shall appoint other senior executive officers </w:t>
            </w:r>
          </w:p>
        </w:tc>
      </w:tr>
    </w:tbl>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of Party A recommended by Party A to fill such a position. The persons recommended by Party A in accordance with this Article 4 shall comply with the legal requirements regarding the qualifications of directors, presidents, chief financial officers, and other senior executive officers. If there is any potential conflict of interest between Party A and Party B, especially if Party B’s shareholders are directors, senior managers and other positions of Party A and/or its affiliates, Party B will give priority to protect and will not damage the interests of Party A and its affiliates.</w:t>
      </w:r>
    </w:p>
    <w:tbl>
      <w:tblPr>
        <w:tblW w:w="10205" w:type="dxa"/>
        <w:jc w:val="left"/>
        <w:tblInd w:w="0" w:type="dxa"/>
        <w:tblLayout w:type="fixed"/>
        <w:tblCellMar>
          <w:top w:w="0" w:type="dxa"/>
          <w:left w:w="0" w:type="dxa"/>
          <w:bottom w:w="0" w:type="dxa"/>
          <w:right w:w="0" w:type="dxa"/>
        </w:tblCellMar>
      </w:tblPr>
      <w:tblGrid>
        <w:gridCol w:w="133"/>
        <w:gridCol w:w="10072"/>
      </w:tblGrid>
      <w:tr>
        <w:trPr/>
        <w:tc>
          <w:tcPr>
            <w:tcW w:w="13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5.</w:t>
            </w:r>
          </w:p>
        </w:tc>
        <w:tc>
          <w:tcPr>
            <w:tcW w:w="1007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Party B, together with its shareholders Party C and Party D, hereby jointly agree and confirm that Party B shall first seek a guarantee from Party A if Party B needs any guarantee for its performance of any of its contracts or for any borrowing for working capital purposes in the course of its operations. In such cases, Party A shall have the right, but not the obligation, to provide the appropriate guarantee to Party B at Party A’s sole discretion. If Party A decides not to provide such a guarantee, Party A shall immediately issue a written notice to Party B and Party B may seek a guarantee from third parties.</w:t>
            </w:r>
          </w:p>
        </w:tc>
      </w:tr>
    </w:tbl>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6.</w:t>
            </w:r>
          </w:p>
        </w:tc>
        <w:tc>
          <w:tcPr>
            <w:tcW w:w="1006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In the event that any of the agreements between Party A and Party B terminates or expires, Party A shall have the right, but not the obligation, to terminate all agreements between Party A and Party B including, but not limited to, the Cooperation Agreement.</w:t>
            </w:r>
          </w:p>
        </w:tc>
      </w:tr>
    </w:tbl>
    <w:tbl>
      <w:tblPr>
        <w:tblW w:w="10205" w:type="dxa"/>
        <w:jc w:val="left"/>
        <w:tblInd w:w="0" w:type="dxa"/>
        <w:tblLayout w:type="fixed"/>
        <w:tblCellMar>
          <w:top w:w="0" w:type="dxa"/>
          <w:left w:w="0" w:type="dxa"/>
          <w:bottom w:w="0" w:type="dxa"/>
          <w:right w:w="0" w:type="dxa"/>
        </w:tblCellMar>
      </w:tblPr>
      <w:tblGrid>
        <w:gridCol w:w="147"/>
        <w:gridCol w:w="10058"/>
      </w:tblGrid>
      <w:tr>
        <w:trPr/>
        <w:tc>
          <w:tcPr>
            <w:tcW w:w="14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7.</w:t>
            </w:r>
          </w:p>
        </w:tc>
        <w:tc>
          <w:tcPr>
            <w:tcW w:w="1005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Any amendment or supplement to this Agreement shall be made in writing. The amendment or supplement duly executed by all Parties shall form an integral part of this Agreement and shall have the same legal effect as this Agreement.</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8.</w:t>
            </w:r>
          </w:p>
        </w:tc>
        <w:tc>
          <w:tcPr>
            <w:tcW w:w="1006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Should any provision of this Agreement be held invalid or unenforceable because of inconsistency with applicable laws, such provision shall be invalid or unenforceable only to the extent of such applicable laws without affecting the validity or enforceability of the remainder of this Agreement.</w:t>
            </w:r>
          </w:p>
        </w:tc>
      </w:tr>
    </w:tbl>
    <w:tbl>
      <w:tblPr>
        <w:tblW w:w="10205" w:type="dxa"/>
        <w:jc w:val="left"/>
        <w:tblInd w:w="0" w:type="dxa"/>
        <w:tblLayout w:type="fixed"/>
        <w:tblCellMar>
          <w:top w:w="0" w:type="dxa"/>
          <w:left w:w="0" w:type="dxa"/>
          <w:bottom w:w="0" w:type="dxa"/>
          <w:right w:w="0" w:type="dxa"/>
        </w:tblCellMar>
      </w:tblPr>
      <w:tblGrid>
        <w:gridCol w:w="139"/>
        <w:gridCol w:w="10066"/>
      </w:tblGrid>
      <w:tr>
        <w:trPr/>
        <w:tc>
          <w:tcPr>
            <w:tcW w:w="13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9.</w:t>
            </w:r>
          </w:p>
        </w:tc>
        <w:tc>
          <w:tcPr>
            <w:tcW w:w="1006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Party B shall not assign its rights and obligations under this Agreement to any third party without the prior written consent of Party A. Party B hereby agrees that Party A may assign its rights and obligations under this Agreement as Party A sees fit, in which case Party A only needs to give a written notice to Party B and no further consent of Party B is required.</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10.</w:t>
            </w:r>
          </w:p>
        </w:tc>
        <w:tc>
          <w:tcPr>
            <w:tcW w:w="997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All Parties acknowledge and confirm that any oral or written materials exchanged pursuant to this Agreement are confidential. Each Party shall keep confidential all such materials and not disclose any such materials to any third Party without the prior written consent from the other Parties except in the following situations: (a) such materials are or will become known by the public (through no fault of the receiving Party); (b) any materials as required to be disclosed by the applicable laws or rules of any stock exchange or governmental entity; and (c) any materials disclosed by each Party to its legal or financial advisors relating to the transactions contemplated by this Agreement, and such legal or financial advisors shall comply with the confidentiality provisions set forth in this Article 10. Any disclosure of confidential information by the personnel of any Party or by the institutions engaged by such Party shall be deemed as a disclosure by such Party, and such Party shall be liable for the breach under this Agreement. Both Parties agree that this Article 10 shall survive the invalidity, cancellation, termination or unenforceability of this Agreement.</w:t>
            </w:r>
          </w:p>
        </w:tc>
      </w:tr>
    </w:tbl>
    <w:p>
      <w:pPr>
        <w:pStyle w:val="TextBody"/>
        <w:pBdr/>
        <w:bidi w:val="0"/>
        <w:spacing w:before="0" w:after="240"/>
        <w:ind w:left="0" w:right="0" w:hanging="72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11.</w:t>
            </w:r>
          </w:p>
        </w:tc>
        <w:tc>
          <w:tcPr>
            <w:tcW w:w="993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formation, validity, interpretation and performance of and settlement of disputes under this Agreement shall be governed by the laws of the PRC.</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12.</w:t>
            </w:r>
          </w:p>
        </w:tc>
        <w:tc>
          <w:tcPr>
            <w:tcW w:w="997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Any dispute arising under or in connection with this Agreement shall be settled by the parties through negotiation. If the parties fail to reach an agreement within 30 days after the dispute arises, the dispute shall be submitted to China International Economic and Trade Arbitration Commission for arbitration in Beijing by three arbitrators in accordance with its arbitration rules in force at that time. The party initiating the arbitration and the respondent shall each appoint one arbitrator, and the third arbitrator shall be appointed by China International Economic and Trade Arbitration Commission. If there are more than two persons (natural person or legal person) of the party initiating arbitration or the respondent, one arbitrator shall be appointed by the two persons through written consensus. The arbitration award is final and binding on all parties to the dispute. During the dispute settlement period, except for the matters in dispute, the Parties to this Agreement shall continue to exercise their respective rights and perform their respective obligations under this Agreement.</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13.</w:t>
            </w:r>
          </w:p>
        </w:tc>
        <w:tc>
          <w:tcPr>
            <w:tcW w:w="996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Parties hereby specifically acknowledge and undertake that, subject to the provisions of the PRC law, the arbitrators have the right to make appropriate awards according to the actual situation, so as to give Party A appropriate legal remedies, including but not limited to restricting the Party B’s business operation, restricting and / or disposing Party B’s equities or assets (including land assets) (including but not limited to taking them as compensation), or forbidding transfer or dispose, or taking other relevant remedies, or ordering the winding up of Party B. The Parties shall perform such awards.</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14.</w:t>
            </w:r>
          </w:p>
        </w:tc>
        <w:tc>
          <w:tcPr>
            <w:tcW w:w="996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Subject to the provisions of the PRC law, as property preservation or enforcement measures, at the request of one party to the dispute, the court with jurisdiction has the right to make an award or judgment before the formation of the arbitration tribunal or under other appropriate circumstances permitted by law, and to grant interim remedies to the party to the dispute, such as an award or judgment on detaining or freezing the properties or equities of the defaulting party. Such rights of one party to the dispute and the award or judgment made by the court in this regard shall not affect the validity of the above arbitration clause agreed by all Parties.</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15.</w:t>
            </w:r>
          </w:p>
        </w:tc>
        <w:tc>
          <w:tcPr>
            <w:tcW w:w="993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After the arbitration award comes into effect, either Party has the right to apply to the court with jurisdiction for enforcement of the arbitration award.</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16.</w:t>
            </w:r>
          </w:p>
        </w:tc>
        <w:tc>
          <w:tcPr>
            <w:tcW w:w="995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Parties agree that: the courts in (i) the Hong Kong Special Administrative Region; (ii) the registered place of Cloud Music Inc.; (iii) the registered place of Party B; and (iv) the place where main assets of Cloud Music Inc. or Party B are located shall be deemed to have jurisdiction for the purpose of this article.</w:t>
            </w:r>
          </w:p>
        </w:tc>
      </w:tr>
    </w:tbl>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17.</w:t>
            </w:r>
          </w:p>
        </w:tc>
        <w:tc>
          <w:tcPr>
            <w:tcW w:w="993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This Agreement shall be executed by a duly authorized representative of each Party and become effective as of the date first written above.</w:t>
            </w:r>
          </w:p>
        </w:tc>
      </w:tr>
    </w:tbl>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18.</w:t>
            </w:r>
          </w:p>
        </w:tc>
        <w:tc>
          <w:tcPr>
            <w:tcW w:w="995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Notwithstanding Article 17 hereof, once effective, this Agreement shall constitute the entire agreement of the Parties hereto with respect to the subject matters hereof and supersede all prior oral and/or written agreements and understandings by the Parties with respect to the subject matters hereof.</w:t>
            </w:r>
          </w:p>
        </w:tc>
      </w:tr>
    </w:tbl>
    <w:p>
      <w:pPr>
        <w:pStyle w:val="TextBody"/>
        <w:pBdr/>
        <w:bidi w:val="0"/>
        <w:spacing w:before="0" w:after="240"/>
        <w:ind w:left="0" w:right="0" w:hanging="72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19.</w:t>
            </w:r>
          </w:p>
        </w:tc>
        <w:tc>
          <w:tcPr>
            <w:tcW w:w="996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term of this Agreement is twenty (20) years unless terminated earlier in accordance with the provisions of this Agreement or related agreements entered into by the Parties. This Agreement may be extended only with the written consent of Party A before its expiration. The term of the extension shall be decided by the Parties through negotiation. If the duration of operation (including any extension thereof) of Party A or Party B is expired or terminated for other reasons within the aforesaid term of this Agreement, this Agreement shall be terminated simultaneously, unless such Party has already assigned its rights and obligations hereunder in accordance with Article 9 hereof.</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20.</w:t>
            </w:r>
          </w:p>
        </w:tc>
        <w:tc>
          <w:tcPr>
            <w:tcW w:w="996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This Agreement will terminate on the expiration date unless it is renewed in accordance with the relevant provision herein. During the term of this Agreement, Party B shall not terminate this Agreement. Notwithstanding the above stipulation, Party A shall have the right to terminate this Agreement at any time by issuing a thirty (30) days’ prior written notice to Party B.</w:t>
            </w:r>
          </w:p>
        </w:tc>
      </w:tr>
    </w:tbl>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page follows</w:t>
      </w:r>
      <w:r>
        <w:rPr>
          <w:rFonts w:ascii="Times New Roman;Times;serif" w:hAnsi="Times New Roman;Times;serif"/>
          <w:sz w:val="20"/>
        </w:rPr>
        <w:t>]</w:t>
      </w:r>
    </w:p>
    <w:p>
      <w:pPr>
        <w:pStyle w:val="TextBody"/>
        <w:bidi w:val="0"/>
        <w:spacing w:before="0" w:after="24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IN WITNESS THEREOF</w:t>
      </w:r>
      <w:r>
        <w:rPr>
          <w:rFonts w:ascii="Times New Roman;Times;serif" w:hAnsi="Times New Roman;Times;serif"/>
          <w:sz w:val="20"/>
        </w:rPr>
        <w:t>, each Party hereto has caused this Agreement to be duly executed by himself/herself or a duly authorized representative on its behalf as of the date first written above.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Party A: Hangzhou NetEase Cloud Music Technology Co., Ltd.</w:t>
      </w:r>
    </w:p>
    <w:tbl>
      <w:tblPr>
        <w:tblW w:w="4863" w:type="dxa"/>
        <w:jc w:val="center"/>
        <w:tblInd w:w="0" w:type="dxa"/>
        <w:tblLayout w:type="fixed"/>
        <w:tblCellMar>
          <w:top w:w="0" w:type="dxa"/>
          <w:left w:w="0" w:type="dxa"/>
          <w:bottom w:w="0" w:type="dxa"/>
          <w:right w:w="0" w:type="dxa"/>
        </w:tblCellMar>
      </w:tblPr>
      <w:tblGrid>
        <w:gridCol w:w="2401"/>
        <w:gridCol w:w="2296"/>
        <w:gridCol w:w="166"/>
      </w:tblGrid>
      <w:tr>
        <w:trPr/>
        <w:tc>
          <w:tcPr>
            <w:tcW w:w="2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1524635" cy="175260"/>
                      <wp:effectExtent l="0" t="0" r="0" b="0"/>
                      <wp:wrapNone/>
                      <wp:docPr id="598" name="Frame597"/>
                      <a:graphic xmlns:a="http://schemas.openxmlformats.org/drawingml/2006/main">
                        <a:graphicData uri="http://schemas.microsoft.com/office/word/2010/wordprocessingShape">
                          <wps:wsp>
                            <wps:cNvSpPr txBox="1"/>
                            <wps:spPr>
                              <a:xfrm>
                                <a:off x="0" y="0"/>
                                <a:ext cx="1524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1457960" cy="175260"/>
                      <wp:effectExtent l="0" t="0" r="0" b="0"/>
                      <wp:wrapNone/>
                      <wp:docPr id="599" name="Frame598"/>
                      <a:graphic xmlns:a="http://schemas.openxmlformats.org/drawingml/2006/main">
                        <a:graphicData uri="http://schemas.microsoft.com/office/word/2010/wordprocessingShape">
                          <wps:wsp>
                            <wps:cNvSpPr txBox="1"/>
                            <wps:spPr>
                              <a:xfrm>
                                <a:off x="0" y="0"/>
                                <a:ext cx="1457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0"/>
              <w:ind w:left="0" w:right="0" w:hanging="0"/>
              <w:jc w:val="left"/>
              <w:rPr>
                <w:rFonts w:ascii="Times New Roman;Times;serif" w:hAnsi="Times New Roman;Times;serif"/>
                <w:sz w:val="2"/>
              </w:rPr>
            </w:pPr>
            <w:r>
              <w:rPr>
                <w:rFonts w:ascii="Times New Roman;Times;serif" w:hAnsi="Times New Roman;Times;serif"/>
                <w:sz w:val="2"/>
              </w:rPr>
              <w:t>dr</w:t>
            </w:r>
          </w:p>
        </w:tc>
      </w:tr>
      <w:tr>
        <w:trPr/>
        <w:tc>
          <w:tcPr>
            <w:tcW w:w="24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Seal:</w:t>
            </w:r>
          </w:p>
        </w:tc>
        <w:tc>
          <w:tcPr>
            <w:tcW w:w="229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Company seal is affixed</w:t>
            </w:r>
          </w:p>
        </w:tc>
        <w:tc>
          <w:tcPr>
            <w:tcW w:w="166" w:type="dxa"/>
            <w:tcBorders/>
            <w:vAlign w:val="center"/>
          </w:tcPr>
          <w:p>
            <w:pPr>
              <w:pStyle w:val="TableContents"/>
              <w:bidi w:val="0"/>
              <w:spacing w:before="0" w:after="0"/>
              <w:ind w:left="0" w:right="0" w:hanging="0"/>
              <w:jc w:val="both"/>
              <w:rPr/>
            </w:pPr>
            <w:r>
              <w:rPr/>
              <w:t>​</w:t>
            </w:r>
          </w:p>
        </w:tc>
      </w:tr>
      <w:tr>
        <w:trPr/>
        <w:tc>
          <w:tcPr>
            <w:tcW w:w="2401" w:type="dxa"/>
            <w:tcBorders/>
            <w:vAlign w:val="center"/>
          </w:tcPr>
          <w:p>
            <w:pPr>
              <w:pStyle w:val="TableContents"/>
              <w:bidi w:val="0"/>
              <w:spacing w:before="0" w:after="0"/>
              <w:ind w:left="0" w:right="0" w:hanging="0"/>
              <w:jc w:val="both"/>
              <w:rPr/>
            </w:pPr>
            <w:r>
              <w:rPr/>
              <w:t>​</w:t>
            </w:r>
          </w:p>
        </w:tc>
        <w:tc>
          <w:tcPr>
            <w:tcW w:w="2296" w:type="dxa"/>
            <w:tcBorders>
              <w:top w:val="single" w:sz="2" w:space="0" w:color="000000"/>
            </w:tcBorders>
            <w:tcMar>
              <w:top w:w="28" w:type="dxa"/>
            </w:tcMar>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r>
      <w:tr>
        <w:trPr/>
        <w:tc>
          <w:tcPr>
            <w:tcW w:w="24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Authorized Representative: </w:t>
            </w:r>
          </w:p>
        </w:tc>
        <w:tc>
          <w:tcPr>
            <w:tcW w:w="229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Wei Li</w:t>
            </w:r>
          </w:p>
        </w:tc>
        <w:tc>
          <w:tcPr>
            <w:tcW w:w="166" w:type="dxa"/>
            <w:tcBorders/>
            <w:vAlign w:val="center"/>
          </w:tcPr>
          <w:p>
            <w:pPr>
              <w:pStyle w:val="TableContents"/>
              <w:bidi w:val="0"/>
              <w:spacing w:before="0" w:after="0"/>
              <w:ind w:left="0" w:right="0" w:hanging="0"/>
              <w:jc w:val="both"/>
              <w:rPr/>
            </w:pPr>
            <w:r>
              <w:rPr/>
              <w:t>​</w:t>
            </w:r>
          </w:p>
        </w:tc>
      </w:tr>
    </w:tbl>
    <w:p>
      <w:pPr>
        <w:pStyle w:val="TextBody"/>
        <w:bidi w:val="0"/>
        <w:spacing w:before="0" w:after="22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Party B: Hangzhou Yuedu Technology Co., Ltd.</w:t>
      </w:r>
    </w:p>
    <w:tbl>
      <w:tblPr>
        <w:tblW w:w="4851" w:type="dxa"/>
        <w:jc w:val="center"/>
        <w:tblInd w:w="0" w:type="dxa"/>
        <w:tblLayout w:type="fixed"/>
        <w:tblCellMar>
          <w:top w:w="0" w:type="dxa"/>
          <w:left w:w="0" w:type="dxa"/>
          <w:bottom w:w="0" w:type="dxa"/>
          <w:right w:w="0" w:type="dxa"/>
        </w:tblCellMar>
      </w:tblPr>
      <w:tblGrid>
        <w:gridCol w:w="2401"/>
        <w:gridCol w:w="2296"/>
        <w:gridCol w:w="154"/>
      </w:tblGrid>
      <w:tr>
        <w:trPr/>
        <w:tc>
          <w:tcPr>
            <w:tcW w:w="2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1524635" cy="175260"/>
                      <wp:effectExtent l="0" t="0" r="0" b="0"/>
                      <wp:wrapNone/>
                      <wp:docPr id="600" name="Frame599"/>
                      <a:graphic xmlns:a="http://schemas.openxmlformats.org/drawingml/2006/main">
                        <a:graphicData uri="http://schemas.microsoft.com/office/word/2010/wordprocessingShape">
                          <wps:wsp>
                            <wps:cNvSpPr txBox="1"/>
                            <wps:spPr>
                              <a:xfrm>
                                <a:off x="0" y="0"/>
                                <a:ext cx="1524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1457960" cy="175260"/>
                      <wp:effectExtent l="0" t="0" r="0" b="0"/>
                      <wp:wrapNone/>
                      <wp:docPr id="601" name="Frame600"/>
                      <a:graphic xmlns:a="http://schemas.openxmlformats.org/drawingml/2006/main">
                        <a:graphicData uri="http://schemas.microsoft.com/office/word/2010/wordprocessingShape">
                          <wps:wsp>
                            <wps:cNvSpPr txBox="1"/>
                            <wps:spPr>
                              <a:xfrm>
                                <a:off x="0" y="0"/>
                                <a:ext cx="1457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0"/>
              <w:ind w:left="0" w:right="0" w:hanging="0"/>
              <w:jc w:val="left"/>
              <w:rPr/>
            </w:pPr>
            <w:r>
              <w:rPr/>
              <w:t>​</w:t>
            </w:r>
          </w:p>
        </w:tc>
      </w:tr>
      <w:tr>
        <w:trPr/>
        <w:tc>
          <w:tcPr>
            <w:tcW w:w="24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Seal:</w:t>
            </w:r>
          </w:p>
        </w:tc>
        <w:tc>
          <w:tcPr>
            <w:tcW w:w="229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Company seal is affixed</w:t>
            </w:r>
          </w:p>
        </w:tc>
        <w:tc>
          <w:tcPr>
            <w:tcW w:w="154" w:type="dxa"/>
            <w:tcBorders/>
            <w:vAlign w:val="center"/>
          </w:tcPr>
          <w:p>
            <w:pPr>
              <w:pStyle w:val="TableContents"/>
              <w:bidi w:val="0"/>
              <w:spacing w:before="0" w:after="0"/>
              <w:ind w:left="0" w:right="0" w:hanging="0"/>
              <w:jc w:val="both"/>
              <w:rPr/>
            </w:pPr>
            <w:r>
              <w:rPr/>
              <w:t>​</w:t>
            </w:r>
          </w:p>
        </w:tc>
      </w:tr>
      <w:tr>
        <w:trPr/>
        <w:tc>
          <w:tcPr>
            <w:tcW w:w="2401" w:type="dxa"/>
            <w:tcBorders/>
            <w:vAlign w:val="center"/>
          </w:tcPr>
          <w:p>
            <w:pPr>
              <w:pStyle w:val="TableContents"/>
              <w:bidi w:val="0"/>
              <w:spacing w:before="0" w:after="0"/>
              <w:ind w:left="0" w:right="0" w:hanging="0"/>
              <w:jc w:val="both"/>
              <w:rPr/>
            </w:pPr>
            <w:r>
              <w:rPr/>
              <w:t>​</w:t>
            </w:r>
          </w:p>
        </w:tc>
        <w:tc>
          <w:tcPr>
            <w:tcW w:w="2296" w:type="dxa"/>
            <w:tcBorders>
              <w:top w:val="single" w:sz="2" w:space="0" w:color="000000"/>
            </w:tcBorders>
            <w:tcMar>
              <w:top w:w="28" w:type="dxa"/>
            </w:tcMar>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24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Authorized Representative: </w:t>
            </w:r>
          </w:p>
        </w:tc>
        <w:tc>
          <w:tcPr>
            <w:tcW w:w="229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Wei Li</w:t>
            </w:r>
          </w:p>
        </w:tc>
        <w:tc>
          <w:tcPr>
            <w:tcW w:w="154" w:type="dxa"/>
            <w:tcBorders/>
            <w:vAlign w:val="center"/>
          </w:tcPr>
          <w:p>
            <w:pPr>
              <w:pStyle w:val="TableContents"/>
              <w:bidi w:val="0"/>
              <w:spacing w:before="0" w:after="0"/>
              <w:ind w:left="0" w:right="0" w:hanging="0"/>
              <w:jc w:val="both"/>
              <w:rPr/>
            </w:pPr>
            <w:r>
              <w:rPr/>
              <w:t>​</w:t>
            </w:r>
          </w:p>
        </w:tc>
      </w:tr>
    </w:tbl>
    <w:p>
      <w:pPr>
        <w:pStyle w:val="TextBody"/>
        <w:bidi w:val="0"/>
        <w:spacing w:before="0" w:after="22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Party C: William Lei Ding</w:t>
      </w:r>
    </w:p>
    <w:tbl>
      <w:tblPr>
        <w:tblW w:w="2931" w:type="dxa"/>
        <w:jc w:val="center"/>
        <w:tblInd w:w="0" w:type="dxa"/>
        <w:tblLayout w:type="fixed"/>
        <w:tblCellMar>
          <w:top w:w="0" w:type="dxa"/>
          <w:left w:w="0" w:type="dxa"/>
          <w:bottom w:w="0" w:type="dxa"/>
          <w:right w:w="0" w:type="dxa"/>
        </w:tblCellMar>
      </w:tblPr>
      <w:tblGrid>
        <w:gridCol w:w="1006"/>
        <w:gridCol w:w="1771"/>
        <w:gridCol w:w="154"/>
      </w:tblGrid>
      <w:tr>
        <w:trPr/>
        <w:tc>
          <w:tcPr>
            <w:tcW w:w="10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Signature: </w:t>
            </w:r>
          </w:p>
        </w:tc>
        <w:tc>
          <w:tcPr>
            <w:tcW w:w="177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William Lei Ding</w:t>
            </w:r>
          </w:p>
        </w:tc>
        <w:tc>
          <w:tcPr>
            <w:tcW w:w="154" w:type="dxa"/>
            <w:tcBorders/>
            <w:vAlign w:val="center"/>
          </w:tcPr>
          <w:p>
            <w:pPr>
              <w:pStyle w:val="TableContents"/>
              <w:bidi w:val="0"/>
              <w:spacing w:before="0" w:after="0"/>
              <w:ind w:left="0" w:right="0" w:hanging="0"/>
              <w:jc w:val="both"/>
              <w:rPr/>
            </w:pPr>
            <w:r>
              <w:rPr/>
              <w:t>​</w:t>
            </w:r>
          </w:p>
        </w:tc>
      </w:tr>
    </w:tbl>
    <w:p>
      <w:pPr>
        <w:pStyle w:val="TextBody"/>
        <w:bidi w:val="0"/>
        <w:spacing w:before="0" w:after="22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Party D: Wei Li</w:t>
      </w:r>
    </w:p>
    <w:tbl>
      <w:tblPr>
        <w:tblW w:w="2061" w:type="dxa"/>
        <w:jc w:val="center"/>
        <w:tblInd w:w="0" w:type="dxa"/>
        <w:tblLayout w:type="fixed"/>
        <w:tblCellMar>
          <w:top w:w="0" w:type="dxa"/>
          <w:left w:w="0" w:type="dxa"/>
          <w:bottom w:w="0" w:type="dxa"/>
          <w:right w:w="0" w:type="dxa"/>
        </w:tblCellMar>
      </w:tblPr>
      <w:tblGrid>
        <w:gridCol w:w="1006"/>
        <w:gridCol w:w="901"/>
        <w:gridCol w:w="154"/>
      </w:tblGrid>
      <w:tr>
        <w:trPr/>
        <w:tc>
          <w:tcPr>
            <w:tcW w:w="10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Signature: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Wei Li</w:t>
            </w:r>
          </w:p>
        </w:tc>
        <w:tc>
          <w:tcPr>
            <w:tcW w:w="154"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bookmarkStart w:id="2165" w:name="ntes-20231231xex4d54.htm"/>
      <w:bookmarkStart w:id="2166" w:name="ksntes20231231xex4d54"/>
      <w:bookmarkEnd w:id="2165"/>
      <w:bookmarkEnd w:id="2166"/>
      <w:r>
        <w:rPr/>
        <w:t>​</w:t>
      </w:r>
      <w:r>
        <w:br w:type="page"/>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4.54</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EXCLUSIVE PURCHASE OPTION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Exclusive Purchase Option Agreement (this “</w:t>
      </w:r>
      <w:r>
        <w:rPr>
          <w:rFonts w:ascii="Times New Roman;Times;serif" w:hAnsi="Times New Roman;Times;serif"/>
          <w:b/>
          <w:sz w:val="20"/>
        </w:rPr>
        <w:t>Agreement</w:t>
      </w:r>
      <w:r>
        <w:rPr>
          <w:rFonts w:ascii="Times New Roman;Times;serif" w:hAnsi="Times New Roman;Times;serif"/>
          <w:sz w:val="20"/>
        </w:rPr>
        <w:t>”) is entered into as of November 2, 2023 among the following parties in Hangzhou:</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Party A:</w:t>
      </w:r>
      <w:r>
        <w:rPr>
          <w:rFonts w:ascii="Times New Roman;Times;serif" w:hAnsi="Times New Roman;Times;serif"/>
          <w:sz w:val="20"/>
        </w:rPr>
        <w:t>Hangzhou NetEase Cloud Music Technology Co., Ltd.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Legal Address:</w:t>
      </w:r>
      <w:r>
        <w:rPr>
          <w:rFonts w:ascii="Times New Roman;Times;serif" w:hAnsi="Times New Roman;Times;serif"/>
          <w:sz w:val="20"/>
        </w:rPr>
        <w:t>Room 1201, Block A, Hangzhou International Expo Center, No. 353 Benjing Avenue, Qianjiang Century City, Xiaoshan District, Hangzhou, Zhejiang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Party B:</w:t>
      </w:r>
      <w:r>
        <w:rPr>
          <w:rFonts w:ascii="Times New Roman;Times;serif" w:hAnsi="Times New Roman;Times;serif"/>
          <w:sz w:val="20"/>
        </w:rPr>
        <w:t xml:space="preserve">Wei Li, whose ID number is </w:t>
      </w:r>
      <w:r>
        <w:rPr>
          <w:rFonts w:ascii="Times New Roman;Times;serif" w:hAnsi="Times New Roman;Times;serif"/>
          <w:sz w:val="20"/>
          <w:u w:val="singl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Party C:</w:t>
      </w:r>
      <w:r>
        <w:rPr>
          <w:rFonts w:ascii="Times New Roman;Times;serif" w:hAnsi="Times New Roman;Times;serif"/>
          <w:sz w:val="20"/>
        </w:rPr>
        <w:t>Hangzhou Yuedu Technology Co., Ltd.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Legal Address:</w:t>
      </w:r>
      <w:r>
        <w:rPr>
          <w:rFonts w:ascii="Times New Roman;Times;serif" w:hAnsi="Times New Roman;Times;serif"/>
          <w:sz w:val="20"/>
        </w:rPr>
        <w:t>Room 1202, Block A, Hangzhou International Expo Center, No. 353 Benjing Avenue, Qianjiang Century City, Ningwei Street, Xiaoshan District, Hangzhou, Zhejiang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this Agreement, Party A, Party B and Party C are called collectively as the “</w:t>
      </w:r>
      <w:r>
        <w:rPr>
          <w:rFonts w:ascii="Times New Roman;Times;serif" w:hAnsi="Times New Roman;Times;serif"/>
          <w:b/>
          <w:sz w:val="20"/>
        </w:rPr>
        <w:t>Parties</w:t>
      </w:r>
      <w:r>
        <w:rPr>
          <w:rFonts w:ascii="Times New Roman;Times;serif" w:hAnsi="Times New Roman;Times;serif"/>
          <w:sz w:val="20"/>
        </w:rPr>
        <w:t>” and each of them is a “</w:t>
      </w:r>
      <w:r>
        <w:rPr>
          <w:rFonts w:ascii="Times New Roman;Times;serif" w:hAnsi="Times New Roman;Times;serif"/>
          <w:b/>
          <w:sz w:val="20"/>
        </w:rPr>
        <w:t>Party</w:t>
      </w:r>
      <w:r>
        <w:rPr>
          <w:rFonts w:ascii="Times New Roman;Times;serif" w:hAnsi="Times New Roman;Times;serif"/>
          <w:sz w:val="20"/>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WHEREAS:</w:t>
      </w:r>
    </w:p>
    <w:tbl>
      <w:tblPr>
        <w:tblW w:w="9970" w:type="dxa"/>
        <w:jc w:val="left"/>
        <w:tblInd w:w="0" w:type="dxa"/>
        <w:tblLayout w:type="fixed"/>
        <w:tblCellMar>
          <w:top w:w="0" w:type="dxa"/>
          <w:left w:w="0" w:type="dxa"/>
          <w:bottom w:w="0" w:type="dxa"/>
          <w:right w:w="0" w:type="dxa"/>
        </w:tblCellMar>
      </w:tblPr>
      <w:tblGrid>
        <w:gridCol w:w="170"/>
        <w:gridCol w:w="9800"/>
      </w:tblGrid>
      <w:tr>
        <w:trPr/>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980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Party A is a wholly foreign-owned enterprise incorporated under the laws of the People’s Republic of China (the “</w:t>
            </w:r>
            <w:r>
              <w:rPr>
                <w:rFonts w:ascii="Times New Roman;Times;serif" w:hAnsi="Times New Roman;Times;serif"/>
                <w:b/>
                <w:sz w:val="20"/>
              </w:rPr>
              <w:t>PRC</w:t>
            </w:r>
            <w:r>
              <w:rPr>
                <w:rFonts w:ascii="Times New Roman;Times;serif" w:hAnsi="Times New Roman;Times;serif"/>
                <w:sz w:val="20"/>
              </w:rPr>
              <w:t>”);</w:t>
            </w:r>
          </w:p>
        </w:tc>
      </w:tr>
    </w:tbl>
    <w:tbl>
      <w:tblPr>
        <w:tblW w:w="5305" w:type="dxa"/>
        <w:jc w:val="left"/>
        <w:tblInd w:w="0" w:type="dxa"/>
        <w:tblLayout w:type="fixed"/>
        <w:tblCellMar>
          <w:top w:w="0" w:type="dxa"/>
          <w:left w:w="0" w:type="dxa"/>
          <w:bottom w:w="0" w:type="dxa"/>
          <w:right w:w="0" w:type="dxa"/>
        </w:tblCellMar>
      </w:tblPr>
      <w:tblGrid>
        <w:gridCol w:w="170"/>
        <w:gridCol w:w="5135"/>
      </w:tblGrid>
      <w:tr>
        <w:trPr/>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513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Party C is a limited liability company incorporated in the PRC;</w:t>
            </w:r>
          </w:p>
        </w:tc>
      </w:tr>
    </w:tbl>
    <w:tbl>
      <w:tblPr>
        <w:tblW w:w="9895" w:type="dxa"/>
        <w:jc w:val="left"/>
        <w:tblInd w:w="0" w:type="dxa"/>
        <w:tblLayout w:type="fixed"/>
        <w:tblCellMar>
          <w:top w:w="0" w:type="dxa"/>
          <w:left w:w="0" w:type="dxa"/>
          <w:bottom w:w="0" w:type="dxa"/>
          <w:right w:w="0" w:type="dxa"/>
        </w:tblCellMar>
      </w:tblPr>
      <w:tblGrid>
        <w:gridCol w:w="170"/>
        <w:gridCol w:w="9725"/>
      </w:tblGrid>
      <w:tr>
        <w:trPr/>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w:t>
            </w:r>
          </w:p>
        </w:tc>
        <w:tc>
          <w:tcPr>
            <w:tcW w:w="97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Party B is a shareholder of Party C. Party B has ownership of 1% of the equity interest in Party C (the “</w:t>
            </w:r>
            <w:r>
              <w:rPr>
                <w:rFonts w:ascii="Times New Roman;Times;serif" w:hAnsi="Times New Roman;Times;serif"/>
                <w:b/>
                <w:sz w:val="20"/>
              </w:rPr>
              <w:t>Equity Interest</w:t>
            </w: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136"/>
        <w:gridCol w:w="10069"/>
      </w:tblGrid>
      <w:tr>
        <w:trPr/>
        <w:tc>
          <w:tcPr>
            <w:tcW w:w="13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4.</w:t>
            </w:r>
          </w:p>
        </w:tc>
        <w:tc>
          <w:tcPr>
            <w:tcW w:w="1006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Party A and Party B have entered into a loan agreement (as the same may be amended and supplemented from time to time, the “</w:t>
            </w:r>
            <w:r>
              <w:rPr>
                <w:rFonts w:ascii="Times New Roman;Times;serif" w:hAnsi="Times New Roman;Times;serif"/>
                <w:b/>
                <w:sz w:val="20"/>
              </w:rPr>
              <w:t>Loan Agreement</w:t>
            </w:r>
            <w:r>
              <w:rPr>
                <w:rFonts w:ascii="Times New Roman;Times;serif" w:hAnsi="Times New Roman;Times;serif"/>
                <w:sz w:val="20"/>
              </w:rPr>
              <w:t>”), on the same date of this Agreement pursuant to which Party A made a loan, and may make additional loans from time to time, to Party B (such loans are hereinafter collectively referred to as the “</w:t>
            </w:r>
            <w:r>
              <w:rPr>
                <w:rFonts w:ascii="Times New Roman;Times;serif" w:hAnsi="Times New Roman;Times;serif"/>
                <w:b/>
                <w:sz w:val="20"/>
              </w:rPr>
              <w:t>Loan</w:t>
            </w:r>
            <w:r>
              <w:rPr>
                <w:rFonts w:ascii="Times New Roman;Times;serif" w:hAnsi="Times New Roman;Times;serif"/>
                <w:sz w:val="20"/>
              </w:rPr>
              <w:t>”), so that Party B could invest the proceeds from the Loan in Party C as a capital contribution; and</w:t>
            </w:r>
          </w:p>
        </w:tc>
      </w:tr>
    </w:tbl>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5.</w:t>
            </w:r>
          </w:p>
        </w:tc>
        <w:tc>
          <w:tcPr>
            <w:tcW w:w="1004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Party A and Party B have entered into an equity pledge agreement (the “</w:t>
            </w:r>
            <w:r>
              <w:rPr>
                <w:rFonts w:ascii="Times New Roman;Times;serif" w:hAnsi="Times New Roman;Times;serif"/>
                <w:b/>
                <w:sz w:val="20"/>
              </w:rPr>
              <w:t>Equity Pledge Agreement</w:t>
            </w:r>
            <w:r>
              <w:rPr>
                <w:rFonts w:ascii="Times New Roman;Times;serif" w:hAnsi="Times New Roman;Times;serif"/>
                <w:sz w:val="20"/>
              </w:rPr>
              <w:t>”) on the same date of this Agreement.</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NOW, THEREFORE</w:t>
      </w:r>
      <w:r>
        <w:rPr>
          <w:rFonts w:ascii="Times New Roman;Times;serif" w:hAnsi="Times New Roman;Times;serif"/>
          <w:sz w:val="20"/>
        </w:rPr>
        <w:t>, through negotiations, all parties to this Agreement hereby agree as follows:</w:t>
      </w:r>
    </w:p>
    <w:tbl>
      <w:tblPr>
        <w:tblW w:w="2500" w:type="dxa"/>
        <w:jc w:val="left"/>
        <w:tblInd w:w="0" w:type="dxa"/>
        <w:tblLayout w:type="fixed"/>
        <w:tblCellMar>
          <w:top w:w="0" w:type="dxa"/>
          <w:left w:w="0" w:type="dxa"/>
          <w:bottom w:w="0" w:type="dxa"/>
          <w:right w:w="0" w:type="dxa"/>
        </w:tblCellMar>
      </w:tblPr>
      <w:tblGrid>
        <w:gridCol w:w="170"/>
        <w:gridCol w:w="2330"/>
      </w:tblGrid>
      <w:tr>
        <w:trPr/>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2330" w:type="dxa"/>
            <w:tcBorders/>
            <w:vAlign w:val="center"/>
          </w:tcPr>
          <w:p>
            <w:pPr>
              <w:pStyle w:val="TableContents"/>
              <w:bidi w:val="0"/>
              <w:spacing w:before="0" w:after="240"/>
              <w:jc w:val="both"/>
              <w:rPr>
                <w:rFonts w:ascii="Times New Roman;Times;serif" w:hAnsi="Times New Roman;Times;serif"/>
                <w:sz w:val="20"/>
                <w:u w:val="single"/>
              </w:rPr>
            </w:pPr>
            <w:r>
              <w:rPr>
                <w:rFonts w:ascii="Times New Roman;Times;serif" w:hAnsi="Times New Roman;Times;serif"/>
                <w:sz w:val="20"/>
                <w:u w:val="single"/>
              </w:rPr>
              <w:t>Purchase and Sale of Interest</w:t>
            </w:r>
          </w:p>
        </w:tc>
      </w:tr>
    </w:tbl>
    <w:tbl>
      <w:tblPr>
        <w:tblW w:w="1833" w:type="dxa"/>
        <w:jc w:val="left"/>
        <w:tblInd w:w="0" w:type="dxa"/>
        <w:tblLayout w:type="fixed"/>
        <w:tblCellMar>
          <w:top w:w="0" w:type="dxa"/>
          <w:left w:w="0" w:type="dxa"/>
          <w:bottom w:w="0" w:type="dxa"/>
          <w:right w:w="0" w:type="dxa"/>
        </w:tblCellMar>
      </w:tblPr>
      <w:tblGrid>
        <w:gridCol w:w="23"/>
        <w:gridCol w:w="275"/>
        <w:gridCol w:w="1535"/>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1.1</w:t>
            </w:r>
          </w:p>
        </w:tc>
        <w:tc>
          <w:tcPr>
            <w:tcW w:w="153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Granting of Rights</w:t>
            </w:r>
          </w:p>
        </w:tc>
      </w:tr>
    </w:tbl>
    <w:tbl>
      <w:tblPr>
        <w:tblW w:w="1638" w:type="dxa"/>
        <w:jc w:val="left"/>
        <w:tblInd w:w="0" w:type="dxa"/>
        <w:tblLayout w:type="fixed"/>
        <w:tblCellMar>
          <w:top w:w="0" w:type="dxa"/>
          <w:left w:w="0" w:type="dxa"/>
          <w:bottom w:w="0" w:type="dxa"/>
          <w:right w:w="0" w:type="dxa"/>
        </w:tblCellMar>
      </w:tblPr>
      <w:tblGrid>
        <w:gridCol w:w="23"/>
        <w:gridCol w:w="425"/>
        <w:gridCol w:w="1190"/>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1.1.1</w:t>
            </w:r>
          </w:p>
        </w:tc>
        <w:tc>
          <w:tcPr>
            <w:tcW w:w="119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Equity Option</w:t>
            </w:r>
          </w:p>
        </w:tc>
      </w:tr>
    </w:tbl>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Party B hereby irrevocably grants to Party A an option (exercisable one or more times) to purchase or cause any one or more persons designated by Party A (“</w:t>
      </w:r>
      <w:r>
        <w:rPr>
          <w:rFonts w:ascii="Times New Roman;Times;serif" w:hAnsi="Times New Roman;Times;serif"/>
          <w:b/>
          <w:sz w:val="20"/>
        </w:rPr>
        <w:t>Designated Persons</w:t>
      </w:r>
      <w:r>
        <w:rPr>
          <w:rFonts w:ascii="Times New Roman;Times;serif" w:hAnsi="Times New Roman;Times;serif"/>
          <w:sz w:val="20"/>
        </w:rPr>
        <w:t>”) to purchase, to the extent permitted under PRC law,</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r>
        <w:rPr/>
        <w:t>​</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according to the steps determined by Party A, at the price specified in Article 1.3 of this Agreement, and at any time from Party B, a portion of, or all of, the Equity Interest (the “</w:t>
      </w:r>
      <w:r>
        <w:rPr>
          <w:rFonts w:ascii="Times New Roman;Times;serif" w:hAnsi="Times New Roman;Times;serif"/>
          <w:b/>
          <w:sz w:val="20"/>
        </w:rPr>
        <w:t>Equity Option</w:t>
      </w:r>
      <w:r>
        <w:rPr>
          <w:rFonts w:ascii="Times New Roman;Times;serif" w:hAnsi="Times New Roman;Times;serif"/>
          <w:sz w:val="20"/>
        </w:rPr>
        <w:t>”). No Equity Option shall be granted to any third party other than Party A and/or the Designated Persons. Party C hereby agrees to the granting of the Equity Option by Party B to Party A and/or the Designated Persons. The term “</w:t>
      </w:r>
      <w:r>
        <w:rPr>
          <w:rFonts w:ascii="Times New Roman;Times;serif" w:hAnsi="Times New Roman;Times;serif"/>
          <w:b/>
          <w:sz w:val="20"/>
        </w:rPr>
        <w:t>person</w:t>
      </w:r>
      <w:r>
        <w:rPr>
          <w:rFonts w:ascii="Times New Roman;Times;serif" w:hAnsi="Times New Roman;Times;serif"/>
          <w:sz w:val="20"/>
        </w:rPr>
        <w:t>” in this Agreement means an individual person, corporation, joint venture, partnership, enterprise, trust or a non-corporation organization.</w:t>
      </w:r>
    </w:p>
    <w:tbl>
      <w:tblPr>
        <w:tblW w:w="1518" w:type="dxa"/>
        <w:jc w:val="left"/>
        <w:tblInd w:w="0" w:type="dxa"/>
        <w:tblLayout w:type="fixed"/>
        <w:tblCellMar>
          <w:top w:w="0" w:type="dxa"/>
          <w:left w:w="0" w:type="dxa"/>
          <w:bottom w:w="0" w:type="dxa"/>
          <w:right w:w="0" w:type="dxa"/>
        </w:tblCellMar>
      </w:tblPr>
      <w:tblGrid>
        <w:gridCol w:w="23"/>
        <w:gridCol w:w="425"/>
        <w:gridCol w:w="1070"/>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1.1.2</w:t>
            </w:r>
          </w:p>
        </w:tc>
        <w:tc>
          <w:tcPr>
            <w:tcW w:w="10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Asset Option</w:t>
            </w:r>
          </w:p>
        </w:tc>
      </w:tr>
    </w:tbl>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Party C hereby irrevocably grants to Party A an option (exercisable one or more times) to purchase or cause any Designated Persons to purchase, to the extent permitted under PRC law, according to the steps determined by Party A, at the price specified in Article 1.3 of this Agreement, and at any time from the Party C or its subsidiaries, a portion of, or all of, the assets of Party C held by Party C or its subsidiaries (the “</w:t>
      </w:r>
      <w:r>
        <w:rPr>
          <w:rFonts w:ascii="Times New Roman;Times;serif" w:hAnsi="Times New Roman;Times;serif"/>
          <w:b/>
          <w:sz w:val="20"/>
        </w:rPr>
        <w:t>Asset Option</w:t>
      </w:r>
      <w:r>
        <w:rPr>
          <w:rFonts w:ascii="Times New Roman;Times;serif" w:hAnsi="Times New Roman;Times;serif"/>
          <w:sz w:val="20"/>
        </w:rPr>
        <w:t>”). No Asset Option shall be granted to any third party other than Party A and/or the Designated Persons.  Upon exercise of the Asset Option, Party B and Party C hereby agree to take all actions (including execution and delivery of documents), and to cause Party C to take all actions (including execution and delivery of documents), that are necessary or advisable for Party C to transfer any assets to be transferred by the Asset Option. The term “</w:t>
      </w:r>
      <w:r>
        <w:rPr>
          <w:rFonts w:ascii="Times New Roman;Times;serif" w:hAnsi="Times New Roman;Times;serif"/>
          <w:b/>
          <w:sz w:val="20"/>
        </w:rPr>
        <w:t>Option</w:t>
      </w:r>
      <w:r>
        <w:rPr>
          <w:rFonts w:ascii="Times New Roman;Times;serif" w:hAnsi="Times New Roman;Times;serif"/>
          <w:sz w:val="20"/>
        </w:rPr>
        <w:t>” in this Agreement means either the Equity Option or the Asset Option. The term “</w:t>
      </w:r>
      <w:r>
        <w:rPr>
          <w:rFonts w:ascii="Times New Roman;Times;serif" w:hAnsi="Times New Roman;Times;serif"/>
          <w:b/>
          <w:sz w:val="20"/>
        </w:rPr>
        <w:t>Transferor</w:t>
      </w:r>
      <w:r>
        <w:rPr>
          <w:rFonts w:ascii="Times New Roman;Times;serif" w:hAnsi="Times New Roman;Times;serif"/>
          <w:sz w:val="20"/>
        </w:rPr>
        <w:t>” in this Agreement means (i) Party B, in reference to the Equity Option and (ii) Party C, in reference to the Asset Option.</w:t>
      </w:r>
    </w:p>
    <w:tbl>
      <w:tblPr>
        <w:tblW w:w="1488" w:type="dxa"/>
        <w:jc w:val="left"/>
        <w:tblInd w:w="0" w:type="dxa"/>
        <w:tblLayout w:type="fixed"/>
        <w:tblCellMar>
          <w:top w:w="0" w:type="dxa"/>
          <w:left w:w="0" w:type="dxa"/>
          <w:bottom w:w="0" w:type="dxa"/>
          <w:right w:w="0" w:type="dxa"/>
        </w:tblCellMar>
      </w:tblPr>
      <w:tblGrid>
        <w:gridCol w:w="23"/>
        <w:gridCol w:w="275"/>
        <w:gridCol w:w="119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1.2</w:t>
            </w:r>
          </w:p>
        </w:tc>
        <w:tc>
          <w:tcPr>
            <w:tcW w:w="119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Exercise Steps</w:t>
            </w:r>
          </w:p>
        </w:tc>
      </w:tr>
    </w:tbl>
    <w:tbl>
      <w:tblPr>
        <w:tblW w:w="1773" w:type="dxa"/>
        <w:jc w:val="left"/>
        <w:tblInd w:w="0" w:type="dxa"/>
        <w:tblLayout w:type="fixed"/>
        <w:tblCellMar>
          <w:top w:w="0" w:type="dxa"/>
          <w:left w:w="0" w:type="dxa"/>
          <w:bottom w:w="0" w:type="dxa"/>
          <w:right w:w="0" w:type="dxa"/>
        </w:tblCellMar>
      </w:tblPr>
      <w:tblGrid>
        <w:gridCol w:w="23"/>
        <w:gridCol w:w="425"/>
        <w:gridCol w:w="1325"/>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1.2.1</w:t>
            </w:r>
          </w:p>
        </w:tc>
        <w:tc>
          <w:tcPr>
            <w:tcW w:w="13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Option Exercise</w:t>
            </w:r>
          </w:p>
        </w:tc>
      </w:tr>
    </w:tbl>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 xml:space="preserve">Subject to PRC law and regulations, Party A and/or the Designated Persons may exercise either Option, one or more times to the extent the relevant Transferor still owns any Equity Interest or assets subject to an Option, by issuing a written notice in the form attached hereto as </w:t>
      </w:r>
      <w:r>
        <w:rPr>
          <w:rFonts w:ascii="Times New Roman;Times;serif" w:hAnsi="Times New Roman;Times;serif"/>
          <w:sz w:val="20"/>
          <w:u w:val="single"/>
        </w:rPr>
        <w:t>Exhibit A</w:t>
      </w:r>
      <w:r>
        <w:rPr>
          <w:rFonts w:ascii="Times New Roman;Times;serif" w:hAnsi="Times New Roman;Times;serif"/>
          <w:sz w:val="20"/>
        </w:rPr>
        <w:t xml:space="preserve"> (the “</w:t>
      </w:r>
      <w:r>
        <w:rPr>
          <w:rFonts w:ascii="Times New Roman;Times;serif" w:hAnsi="Times New Roman;Times;serif"/>
          <w:b/>
          <w:sz w:val="20"/>
        </w:rPr>
        <w:t>Notice</w:t>
      </w:r>
      <w:r>
        <w:rPr>
          <w:rFonts w:ascii="Times New Roman;Times;serif" w:hAnsi="Times New Roman;Times;serif"/>
          <w:sz w:val="20"/>
        </w:rPr>
        <w:t>”) (i) in the case of the Equity Option, to Party B as the Transferor, specifying the Equity Interest and (ii) in the case of the Asset Option, to Party C as the Transferor, specifying the assets to be purchased (such Equity Interest or assets, as the case may be, the “</w:t>
      </w:r>
      <w:r>
        <w:rPr>
          <w:rFonts w:ascii="Times New Roman;Times;serif" w:hAnsi="Times New Roman;Times;serif"/>
          <w:b/>
          <w:sz w:val="20"/>
        </w:rPr>
        <w:t>Purchased Interest</w:t>
      </w:r>
      <w:r>
        <w:rPr>
          <w:rFonts w:ascii="Times New Roman;Times;serif" w:hAnsi="Times New Roman;Times;serif"/>
          <w:sz w:val="20"/>
        </w:rPr>
        <w:t>”) and the manner of such purchase.</w:t>
      </w:r>
    </w:p>
    <w:tbl>
      <w:tblPr>
        <w:tblW w:w="2298" w:type="dxa"/>
        <w:jc w:val="left"/>
        <w:tblInd w:w="0" w:type="dxa"/>
        <w:tblLayout w:type="fixed"/>
        <w:tblCellMar>
          <w:top w:w="0" w:type="dxa"/>
          <w:left w:w="0" w:type="dxa"/>
          <w:bottom w:w="0" w:type="dxa"/>
          <w:right w:w="0" w:type="dxa"/>
        </w:tblCellMar>
      </w:tblPr>
      <w:tblGrid>
        <w:gridCol w:w="23"/>
        <w:gridCol w:w="425"/>
        <w:gridCol w:w="1850"/>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1.2.2</w:t>
            </w:r>
          </w:p>
        </w:tc>
        <w:tc>
          <w:tcPr>
            <w:tcW w:w="185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Transferor Obligations</w:t>
            </w:r>
          </w:p>
        </w:tc>
      </w:tr>
    </w:tbl>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 xml:space="preserve">Before or upon execution of this Agreement, each of Party B and Party C shall execute a power of attorney in the form attached hereto as </w:t>
      </w:r>
      <w:r>
        <w:rPr>
          <w:rFonts w:ascii="Times New Roman;Times;serif" w:hAnsi="Times New Roman;Times;serif"/>
          <w:sz w:val="20"/>
          <w:u w:val="single"/>
        </w:rPr>
        <w:t>Exhibit B</w:t>
      </w:r>
      <w:r>
        <w:rPr>
          <w:rFonts w:ascii="Times New Roman;Times;serif" w:hAnsi="Times New Roman;Times;serif"/>
          <w:sz w:val="20"/>
        </w:rPr>
        <w:t xml:space="preserve">, which may be relied upon by Party A upon exercise of either Option, to execute any documents necessary or advisable to effect the transfer of the Purchased Interest. Upon receipt of the Notice by a Transferor, Party B and Party C agree to promptly take any other required actions (including assisting in obtaining governmental approvals or execution of an updated document in the form of </w:t>
      </w:r>
      <w:r>
        <w:rPr>
          <w:rFonts w:ascii="Times New Roman;Times;serif" w:hAnsi="Times New Roman;Times;serif"/>
          <w:sz w:val="20"/>
          <w:u w:val="single"/>
        </w:rPr>
        <w:t>Exhibit B</w:t>
      </w:r>
      <w:r>
        <w:rPr>
          <w:rFonts w:ascii="Times New Roman;Times;serif" w:hAnsi="Times New Roman;Times;serif"/>
          <w:sz w:val="20"/>
        </w:rPr>
        <w:t>) to effect the transfer of the Purchased Interest to Party A and/or the Designated Persons.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r>
        <w:rPr/>
        <w:t>​</w:t>
      </w:r>
    </w:p>
    <w:tbl>
      <w:tblPr>
        <w:tblW w:w="1488" w:type="dxa"/>
        <w:jc w:val="left"/>
        <w:tblInd w:w="0" w:type="dxa"/>
        <w:tblLayout w:type="fixed"/>
        <w:tblCellMar>
          <w:top w:w="0" w:type="dxa"/>
          <w:left w:w="0" w:type="dxa"/>
          <w:bottom w:w="0" w:type="dxa"/>
          <w:right w:w="0" w:type="dxa"/>
        </w:tblCellMar>
      </w:tblPr>
      <w:tblGrid>
        <w:gridCol w:w="23"/>
        <w:gridCol w:w="275"/>
        <w:gridCol w:w="119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1.3</w:t>
            </w:r>
          </w:p>
        </w:tc>
        <w:tc>
          <w:tcPr>
            <w:tcW w:w="119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Purchase Price</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1.3.1</w:t>
            </w:r>
          </w:p>
        </w:tc>
        <w:tc>
          <w:tcPr>
            <w:tcW w:w="975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If Party A exercises either Option, the purchase price of the Purchased Interest (“</w:t>
            </w:r>
            <w:r>
              <w:rPr>
                <w:rFonts w:ascii="Times New Roman;Times;serif" w:hAnsi="Times New Roman;Times;serif"/>
                <w:b/>
                <w:sz w:val="20"/>
              </w:rPr>
              <w:t>Purchase Price</w:t>
            </w:r>
            <w:r>
              <w:rPr>
                <w:rFonts w:ascii="Times New Roman;Times;serif" w:hAnsi="Times New Roman;Times;serif"/>
                <w:sz w:val="20"/>
              </w:rPr>
              <w:t>”) shall be: (i) in the case of the Equity Option, equal to outstanding loans owed by Party B to Party A (or part of the outstanding loan amounts in proportion to the equity interests being transferred) under the Loan Agreement, and (ii) in the case of the Asset Option, equal to the minimum purchase price permitted under the PRC laws and regulations.</w:t>
            </w:r>
          </w:p>
        </w:tc>
      </w:tr>
    </w:tbl>
    <w:tbl>
      <w:tblPr>
        <w:tblW w:w="3003" w:type="dxa"/>
        <w:jc w:val="left"/>
        <w:tblInd w:w="0" w:type="dxa"/>
        <w:tblLayout w:type="fixed"/>
        <w:tblCellMar>
          <w:top w:w="0" w:type="dxa"/>
          <w:left w:w="0" w:type="dxa"/>
          <w:bottom w:w="0" w:type="dxa"/>
          <w:right w:w="0" w:type="dxa"/>
        </w:tblCellMar>
      </w:tblPr>
      <w:tblGrid>
        <w:gridCol w:w="23"/>
        <w:gridCol w:w="275"/>
        <w:gridCol w:w="2705"/>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1.4</w:t>
            </w:r>
          </w:p>
        </w:tc>
        <w:tc>
          <w:tcPr>
            <w:tcW w:w="270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Transfer of the Purchased Interest</w:t>
            </w:r>
          </w:p>
        </w:tc>
      </w:tr>
    </w:tbl>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At each exercise of either Option:</w:t>
      </w:r>
    </w:p>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1.4.1</w:t>
            </w:r>
          </w:p>
        </w:tc>
        <w:tc>
          <w:tcPr>
            <w:tcW w:w="975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Party C shall (and Party B shall cause Party C to) convene a shareholders’ meeting. During the meeting, resolutions approving the transfer of the Purchased Interest from the Transferor to Party A and/or the Designated Persons shall be adopted;</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1.4.2</w:t>
            </w:r>
          </w:p>
        </w:tc>
        <w:tc>
          <w:tcPr>
            <w:tcW w:w="975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 xml:space="preserve">The Transferor shall, in accordance with the terms and conditions of this Agreement and the Notice in connection with the Purchased Interest, enter into a transfer agreement with Party A and/or the Designated Persons (as applicable) for each transfer in the form attached hereto as </w:t>
            </w:r>
            <w:r>
              <w:rPr>
                <w:rFonts w:ascii="Times New Roman;Times;serif" w:hAnsi="Times New Roman;Times;serif"/>
                <w:sz w:val="20"/>
                <w:u w:val="single"/>
              </w:rPr>
              <w:t>Exhibit C</w:t>
            </w:r>
            <w:r>
              <w:rPr>
                <w:rFonts w:ascii="Times New Roman;Times;serif" w:hAnsi="Times New Roman;Times;serif"/>
                <w:sz w:val="20"/>
              </w:rPr>
              <w:t xml:space="preserve"> (“</w:t>
            </w:r>
            <w:r>
              <w:rPr>
                <w:rFonts w:ascii="Times New Roman;Times;serif" w:hAnsi="Times New Roman;Times;serif"/>
                <w:b/>
                <w:sz w:val="20"/>
              </w:rPr>
              <w:t>Transfer Agreement</w:t>
            </w: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1.4.3</w:t>
            </w:r>
          </w:p>
        </w:tc>
        <w:tc>
          <w:tcPr>
            <w:tcW w:w="975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relevant parties shall execute all other requisite contracts, agreements or documents, obtain all requisite government approvals and consents, and take all necessary actions to transfer the valid ownership of the Purchased Interest to Party A and/or the Designated Persons free of any Security Interest, and cause Party A and/or the Designated Persons to be the registered owner(s) of the Purchased Interest. In this clause and this Agreement, “</w:t>
            </w:r>
            <w:r>
              <w:rPr>
                <w:rFonts w:ascii="Times New Roman;Times;serif" w:hAnsi="Times New Roman;Times;serif"/>
                <w:b/>
                <w:sz w:val="20"/>
              </w:rPr>
              <w:t>Security Interest</w:t>
            </w:r>
            <w:r>
              <w:rPr>
                <w:rFonts w:ascii="Times New Roman;Times;serif" w:hAnsi="Times New Roman;Times;serif"/>
                <w:sz w:val="20"/>
              </w:rPr>
              <w:t>” means guaranty, mortgage, pledge, third-party right or interest, any share option, right of acquisition, right of first refusal, right of set-off, ownership, detainment or other security arrangements. However, it does not include any security interest arising under the Equity Pledge Agreement.</w:t>
            </w:r>
          </w:p>
        </w:tc>
      </w:tr>
    </w:tbl>
    <w:tbl>
      <w:tblPr>
        <w:tblW w:w="1023" w:type="dxa"/>
        <w:jc w:val="left"/>
        <w:tblInd w:w="0" w:type="dxa"/>
        <w:tblLayout w:type="fixed"/>
        <w:tblCellMar>
          <w:top w:w="0" w:type="dxa"/>
          <w:left w:w="0" w:type="dxa"/>
          <w:bottom w:w="0" w:type="dxa"/>
          <w:right w:w="0" w:type="dxa"/>
        </w:tblCellMar>
      </w:tblPr>
      <w:tblGrid>
        <w:gridCol w:w="23"/>
        <w:gridCol w:w="275"/>
        <w:gridCol w:w="725"/>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1.5</w:t>
            </w:r>
          </w:p>
        </w:tc>
        <w:tc>
          <w:tcPr>
            <w:tcW w:w="7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Payment</w:t>
            </w:r>
          </w:p>
        </w:tc>
      </w:tr>
    </w:tbl>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The manner of payment of the Purchase Price shall be determined as set forth in this Article 1.5, unless otherwise determined through agreement among Party A and/or the Designated Persons and the Transferor or otherwise required by the applicable laws at the time of the exercise of the Option.</w:t>
      </w:r>
    </w:p>
    <w:tbl>
      <w:tblPr>
        <w:tblW w:w="3183" w:type="dxa"/>
        <w:jc w:val="left"/>
        <w:tblInd w:w="0" w:type="dxa"/>
        <w:tblLayout w:type="fixed"/>
        <w:tblCellMar>
          <w:top w:w="0" w:type="dxa"/>
          <w:left w:w="0" w:type="dxa"/>
          <w:bottom w:w="0" w:type="dxa"/>
          <w:right w:w="0" w:type="dxa"/>
        </w:tblCellMar>
      </w:tblPr>
      <w:tblGrid>
        <w:gridCol w:w="23"/>
        <w:gridCol w:w="425"/>
        <w:gridCol w:w="2735"/>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1.5.1</w:t>
            </w:r>
          </w:p>
        </w:tc>
        <w:tc>
          <w:tcPr>
            <w:tcW w:w="273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Offset Payment for Equity Option</w:t>
            </w:r>
          </w:p>
        </w:tc>
      </w:tr>
    </w:tbl>
    <w:p>
      <w:pPr>
        <w:pStyle w:val="TextBody"/>
        <w:bidi w:val="0"/>
        <w:spacing w:before="0" w:after="0"/>
        <w:ind w:left="2160" w:right="0" w:hanging="0"/>
        <w:jc w:val="both"/>
        <w:rPr>
          <w:rFonts w:ascii="Times New Roman;Times;serif" w:hAnsi="Times New Roman;Times;serif"/>
          <w:sz w:val="20"/>
        </w:rPr>
      </w:pPr>
      <w:r>
        <w:rPr>
          <w:rFonts w:ascii="Times New Roman;Times;serif" w:hAnsi="Times New Roman;Times;serif"/>
          <w:sz w:val="20"/>
        </w:rPr>
        <w:t>Each time Party A exercises the Equity Option, the Purchase Price that is payable by Party A and/or the Designated Persons to the Transferor in connection with the Purchased Interest shall be used to offset the amount outstanding on the Loan (with such offset applied to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r>
        <w:rPr/>
        <w:t>​</w:t>
      </w:r>
    </w:p>
    <w:p>
      <w:pPr>
        <w:pStyle w:val="TextBody"/>
        <w:bidi w:val="0"/>
        <w:spacing w:before="0" w:after="0"/>
        <w:ind w:left="2160" w:right="0" w:hanging="0"/>
        <w:jc w:val="both"/>
        <w:rPr>
          <w:rFonts w:ascii="Times New Roman;Times;serif" w:hAnsi="Times New Roman;Times;serif"/>
          <w:sz w:val="20"/>
        </w:rPr>
      </w:pPr>
      <w:r>
        <w:rPr>
          <w:rFonts w:ascii="Times New Roman;Times;serif" w:hAnsi="Times New Roman;Times;serif"/>
          <w:sz w:val="20"/>
        </w:rPr>
        <w:t>principal, interest and capital utilization costs for the Loan), provided that if there is any tax and/or other expenses paid or payable by Party B in connection with the transfer of the Purchased Interest in accordance with this Agreement, then a portion of the Purchase Price equal to the amount of such tax and/or other expenses shall be paid to Party B in cash and not applied as an offset to the amount outstanding on the Loan.</w:t>
      </w:r>
    </w:p>
    <w:p>
      <w:pPr>
        <w:pStyle w:val="TextBody"/>
        <w:bidi w:val="0"/>
        <w:spacing w:before="0" w:after="0"/>
        <w:ind w:left="0" w:right="0" w:hanging="0"/>
        <w:jc w:val="both"/>
        <w:rPr/>
      </w:pPr>
      <w:r>
        <w:rPr/>
        <w:t>​</w:t>
      </w:r>
    </w:p>
    <w:tbl>
      <w:tblPr>
        <w:tblW w:w="2988" w:type="dxa"/>
        <w:jc w:val="left"/>
        <w:tblInd w:w="0" w:type="dxa"/>
        <w:tblLayout w:type="fixed"/>
        <w:tblCellMar>
          <w:top w:w="0" w:type="dxa"/>
          <w:left w:w="0" w:type="dxa"/>
          <w:bottom w:w="0" w:type="dxa"/>
          <w:right w:w="0" w:type="dxa"/>
        </w:tblCellMar>
      </w:tblPr>
      <w:tblGrid>
        <w:gridCol w:w="23"/>
        <w:gridCol w:w="425"/>
        <w:gridCol w:w="2540"/>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1.5.2</w:t>
            </w:r>
          </w:p>
        </w:tc>
        <w:tc>
          <w:tcPr>
            <w:tcW w:w="254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Cash Payment for Asset Option</w:t>
            </w:r>
          </w:p>
        </w:tc>
      </w:tr>
    </w:tbl>
    <w:p>
      <w:pPr>
        <w:pStyle w:val="TextBody"/>
        <w:bidi w:val="0"/>
        <w:spacing w:before="0" w:after="240"/>
        <w:ind w:left="2160" w:right="0" w:hanging="0"/>
        <w:jc w:val="both"/>
        <w:rPr>
          <w:rFonts w:ascii="Times New Roman;Times;serif" w:hAnsi="Times New Roman;Times;serif"/>
          <w:sz w:val="20"/>
        </w:rPr>
      </w:pPr>
      <w:r>
        <w:rPr>
          <w:rFonts w:ascii="Times New Roman;Times;serif" w:hAnsi="Times New Roman;Times;serif"/>
          <w:sz w:val="20"/>
        </w:rPr>
        <w:t>Each time Party A exercises the Asset Option, the Purchase Price that is payable by Party A and/or the Designated Persons to the Transferor in connection with the Purchased Interest shall be paid in cash to any bank account or person designated by mutual agreement between the Transferor and Party A.</w:t>
      </w:r>
    </w:p>
    <w:tbl>
      <w:tblPr>
        <w:tblW w:w="2763" w:type="dxa"/>
        <w:jc w:val="left"/>
        <w:tblInd w:w="0" w:type="dxa"/>
        <w:tblLayout w:type="fixed"/>
        <w:tblCellMar>
          <w:top w:w="0" w:type="dxa"/>
          <w:left w:w="0" w:type="dxa"/>
          <w:bottom w:w="0" w:type="dxa"/>
          <w:right w:w="0" w:type="dxa"/>
        </w:tblCellMar>
      </w:tblPr>
      <w:tblGrid>
        <w:gridCol w:w="23"/>
        <w:gridCol w:w="275"/>
        <w:gridCol w:w="2465"/>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1.6</w:t>
            </w:r>
          </w:p>
        </w:tc>
        <w:tc>
          <w:tcPr>
            <w:tcW w:w="246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Restrictions on Purchase Price</w:t>
            </w:r>
          </w:p>
        </w:tc>
      </w:tr>
    </w:tbl>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Notwithstanding anything to the contrary in this Agreement, if the then applicable PRC laws or regulations require appraisal of the Purchased Interest or stipulate other restrictions on the Purchase Price at the time that Party A exercises the Option, the Parties agree that the Purchase Price shall be set at the lowest price permissible under applicable law.</w:t>
      </w:r>
    </w:p>
    <w:tbl>
      <w:tblPr>
        <w:tblW w:w="3835" w:type="dxa"/>
        <w:jc w:val="left"/>
        <w:tblInd w:w="0" w:type="dxa"/>
        <w:tblLayout w:type="fixed"/>
        <w:tblCellMar>
          <w:top w:w="0" w:type="dxa"/>
          <w:left w:w="0" w:type="dxa"/>
          <w:bottom w:w="0" w:type="dxa"/>
          <w:right w:w="0" w:type="dxa"/>
        </w:tblCellMar>
      </w:tblPr>
      <w:tblGrid>
        <w:gridCol w:w="170"/>
        <w:gridCol w:w="3665"/>
      </w:tblGrid>
      <w:tr>
        <w:trPr/>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3665" w:type="dxa"/>
            <w:tcBorders/>
            <w:vAlign w:val="center"/>
          </w:tcPr>
          <w:p>
            <w:pPr>
              <w:pStyle w:val="TableContents"/>
              <w:bidi w:val="0"/>
              <w:spacing w:before="0" w:after="240"/>
              <w:jc w:val="both"/>
              <w:rPr>
                <w:rFonts w:ascii="Times New Roman;Times;serif" w:hAnsi="Times New Roman;Times;serif"/>
                <w:sz w:val="20"/>
                <w:u w:val="single"/>
              </w:rPr>
            </w:pPr>
            <w:r>
              <w:rPr>
                <w:rFonts w:ascii="Times New Roman;Times;serif" w:hAnsi="Times New Roman;Times;serif"/>
                <w:sz w:val="20"/>
                <w:u w:val="single"/>
              </w:rPr>
              <w:t>Covenants Relating to the Purchased Interest</w:t>
            </w:r>
          </w:p>
        </w:tc>
      </w:tr>
    </w:tbl>
    <w:tbl>
      <w:tblPr>
        <w:tblW w:w="3783" w:type="dxa"/>
        <w:jc w:val="left"/>
        <w:tblInd w:w="0" w:type="dxa"/>
        <w:tblLayout w:type="fixed"/>
        <w:tblCellMar>
          <w:top w:w="0" w:type="dxa"/>
          <w:left w:w="0" w:type="dxa"/>
          <w:bottom w:w="0" w:type="dxa"/>
          <w:right w:w="0" w:type="dxa"/>
        </w:tblCellMar>
      </w:tblPr>
      <w:tblGrid>
        <w:gridCol w:w="23"/>
        <w:gridCol w:w="275"/>
        <w:gridCol w:w="3485"/>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2.1</w:t>
            </w:r>
          </w:p>
        </w:tc>
        <w:tc>
          <w:tcPr>
            <w:tcW w:w="348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Covenants Relating to Party B and Party C</w:t>
            </w:r>
          </w:p>
        </w:tc>
      </w:tr>
    </w:tbl>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Each of Party B and Party C hereby covenants:</w:t>
      </w:r>
    </w:p>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2.1.1</w:t>
            </w:r>
          </w:p>
        </w:tc>
        <w:tc>
          <w:tcPr>
            <w:tcW w:w="975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Not to supplement, amend or modify Party C’s articles of association in any way, or to increase or decrease its registered capital, or to change its registered capital structure in any way without Party A’s prior written consent;</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2.1.2</w:t>
            </w:r>
          </w:p>
        </w:tc>
        <w:tc>
          <w:tcPr>
            <w:tcW w:w="975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To maintain the corporate existence of Party C and operate its business and deal with matters prudently and effectively according to good financial and business rules and practices;</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2.1.3</w:t>
            </w:r>
          </w:p>
        </w:tc>
        <w:tc>
          <w:tcPr>
            <w:tcW w:w="975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Not to sell, transfer, mortgage or otherwise dispose of, or permit any other Security Interest to be created on, any of Party C’s assets, business or legal or beneficial interests in its revenue at any time after the signing of this Agreement without Party A’s prior written consent;</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2.1.4</w:t>
            </w:r>
          </w:p>
        </w:tc>
        <w:tc>
          <w:tcPr>
            <w:tcW w:w="975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Not to create, succeed to, guarantee or permit any liability, without Party A’s prior written consent, except (i) liabilities arising from the normal course of business, but not arising from loans; and (ii) liabilities disclosed to Party A and approved by Party A in writing;</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2.1.5</w:t>
            </w:r>
          </w:p>
        </w:tc>
        <w:tc>
          <w:tcPr>
            <w:tcW w:w="975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To operate all the business in the normal course of business to maintain the value of Party C’s assets, and not to commit any act or omission that would adversely affect Party C's operations and asset value;</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2.1.6</w:t>
            </w:r>
          </w:p>
        </w:tc>
        <w:tc>
          <w:tcPr>
            <w:tcW w:w="975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Without prior written consent by Party A, not to enter into any material agreement, other than agreements entered into in Party C’s normal course of business (for purpose of this paragraph, an agreement will be deemed material if its value exceeds RMB100,000);</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2.1.7</w:t>
            </w:r>
          </w:p>
        </w:tc>
        <w:tc>
          <w:tcPr>
            <w:tcW w:w="975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Not to provide loans or credit to any person (other than in the normal course of business) without Party A’s prior written consent;</w:t>
            </w:r>
          </w:p>
        </w:tc>
      </w:tr>
    </w:tbl>
    <w:tbl>
      <w:tblPr>
        <w:tblW w:w="9528" w:type="dxa"/>
        <w:jc w:val="left"/>
        <w:tblInd w:w="0" w:type="dxa"/>
        <w:tblLayout w:type="fixed"/>
        <w:tblCellMar>
          <w:top w:w="0" w:type="dxa"/>
          <w:left w:w="0" w:type="dxa"/>
          <w:bottom w:w="0" w:type="dxa"/>
          <w:right w:w="0" w:type="dxa"/>
        </w:tblCellMar>
      </w:tblPr>
      <w:tblGrid>
        <w:gridCol w:w="23"/>
        <w:gridCol w:w="425"/>
        <w:gridCol w:w="9080"/>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2.1.8</w:t>
            </w:r>
          </w:p>
        </w:tc>
        <w:tc>
          <w:tcPr>
            <w:tcW w:w="908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To provide all information relating to Party C’s operations and financial conditions upon the request of Party A;</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2.1.9</w:t>
            </w:r>
          </w:p>
        </w:tc>
        <w:tc>
          <w:tcPr>
            <w:tcW w:w="975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To purchase and maintain insurance from insurance companies accepted by Party A. The amount and category of the insurance shall be the same as those of the insurance normally procured by companies engaged in similar businesses and possessing similar properties or assets in the area where Party C is located;</w:t>
            </w:r>
          </w:p>
        </w:tc>
      </w:tr>
    </w:tbl>
    <w:tbl>
      <w:tblPr>
        <w:tblW w:w="9303" w:type="dxa"/>
        <w:jc w:val="left"/>
        <w:tblInd w:w="0" w:type="dxa"/>
        <w:tblLayout w:type="fixed"/>
        <w:tblCellMar>
          <w:top w:w="0" w:type="dxa"/>
          <w:left w:w="0" w:type="dxa"/>
          <w:bottom w:w="0" w:type="dxa"/>
          <w:right w:w="0" w:type="dxa"/>
        </w:tblCellMar>
      </w:tblPr>
      <w:tblGrid>
        <w:gridCol w:w="23"/>
        <w:gridCol w:w="530"/>
        <w:gridCol w:w="8750"/>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2.1.10</w:t>
            </w:r>
          </w:p>
        </w:tc>
        <w:tc>
          <w:tcPr>
            <w:tcW w:w="875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Not to merge or consolidate with, or acquire or invest in, any person without Party A’s prior written consent;</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2.1.11</w:t>
            </w:r>
          </w:p>
        </w:tc>
        <w:tc>
          <w:tcPr>
            <w:tcW w:w="965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To promptly notify Party A of any pending or threatened suit, arbitration or administrative proceedings concerning Party C’s assets, business or revenue;</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2.1.12</w:t>
            </w:r>
          </w:p>
        </w:tc>
        <w:tc>
          <w:tcPr>
            <w:tcW w:w="965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To execute all necessary or appropriate documents, to take all necessary or appropriate actions and to bring all necessary or appropriate claims or to make all necessary and appropriate defenses against all claims in order for Party C to maintain the ownership over all its assets;</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2.1.13</w:t>
            </w:r>
          </w:p>
        </w:tc>
        <w:tc>
          <w:tcPr>
            <w:tcW w:w="965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Not to distribute dividends to Party C’s shareholders in any way without Party A’s prior written consent. However, Party C shall promptly distribute all or part of its distributable profits to its shareholders upon Party A’s request; and</w:t>
            </w:r>
          </w:p>
        </w:tc>
      </w:tr>
    </w:tbl>
    <w:tbl>
      <w:tblPr>
        <w:tblW w:w="8358" w:type="dxa"/>
        <w:jc w:val="left"/>
        <w:tblInd w:w="0" w:type="dxa"/>
        <w:tblLayout w:type="fixed"/>
        <w:tblCellMar>
          <w:top w:w="0" w:type="dxa"/>
          <w:left w:w="0" w:type="dxa"/>
          <w:bottom w:w="0" w:type="dxa"/>
          <w:right w:w="0" w:type="dxa"/>
        </w:tblCellMar>
      </w:tblPr>
      <w:tblGrid>
        <w:gridCol w:w="23"/>
        <w:gridCol w:w="530"/>
        <w:gridCol w:w="7805"/>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2.1.14</w:t>
            </w:r>
          </w:p>
        </w:tc>
        <w:tc>
          <w:tcPr>
            <w:tcW w:w="780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At the request of Party A, to appoint persons nominated by Party A to be the directors of Party C.</w:t>
            </w:r>
          </w:p>
        </w:tc>
      </w:tr>
    </w:tbl>
    <w:tbl>
      <w:tblPr>
        <w:tblW w:w="2793" w:type="dxa"/>
        <w:jc w:val="left"/>
        <w:tblInd w:w="0" w:type="dxa"/>
        <w:tblLayout w:type="fixed"/>
        <w:tblCellMar>
          <w:top w:w="0" w:type="dxa"/>
          <w:left w:w="0" w:type="dxa"/>
          <w:bottom w:w="0" w:type="dxa"/>
          <w:right w:w="0" w:type="dxa"/>
        </w:tblCellMar>
      </w:tblPr>
      <w:tblGrid>
        <w:gridCol w:w="23"/>
        <w:gridCol w:w="275"/>
        <w:gridCol w:w="2495"/>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2.2</w:t>
            </w:r>
          </w:p>
        </w:tc>
        <w:tc>
          <w:tcPr>
            <w:tcW w:w="249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Covenants Relating to Party B</w:t>
            </w:r>
          </w:p>
        </w:tc>
      </w:tr>
    </w:tbl>
    <w:p>
      <w:pPr>
        <w:pStyle w:val="TextBody"/>
        <w:bidi w:val="0"/>
        <w:spacing w:before="0" w:after="240"/>
        <w:ind w:left="1985" w:right="0" w:hanging="0"/>
        <w:jc w:val="both"/>
        <w:rPr>
          <w:rFonts w:ascii="Times New Roman;Times;serif" w:hAnsi="Times New Roman;Times;serif"/>
          <w:sz w:val="20"/>
        </w:rPr>
      </w:pPr>
      <w:r>
        <w:rPr>
          <w:rFonts w:ascii="Times New Roman;Times;serif" w:hAnsi="Times New Roman;Times;serif"/>
          <w:sz w:val="20"/>
        </w:rPr>
        <w:t>Party B hereby covenants:</w:t>
      </w:r>
    </w:p>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2.2.1</w:t>
            </w:r>
          </w:p>
        </w:tc>
        <w:tc>
          <w:tcPr>
            <w:tcW w:w="975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Not to sell, transfer, mortgage or otherwise dispose of, or allow any other Security Interest to be created on, the legal or beneficial interest in the Equity Interest at any time after the signing of this Agreement without Party A’s prior written consent, other than the pledge created on Party B’s Equity Interest in accordance with the Equity Pledge Agreement;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2.2.2</w:t>
            </w:r>
          </w:p>
        </w:tc>
        <w:tc>
          <w:tcPr>
            <w:tcW w:w="975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Without Party A’s prior written consent, not to vote for or sign any shareholders’ resolution at Party C’s shareholders’ meetings to approve the sale, transfer, mortgage or disposition in any other manner of, or the creation of any other Security Interest on, any legal or beneficial interest in the Equity Interest or Party C’s assets, except to or for the benefit of Party A or its designated persons;</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2.2.3</w:t>
            </w:r>
          </w:p>
        </w:tc>
        <w:tc>
          <w:tcPr>
            <w:tcW w:w="975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Without Party A’s prior written consent, not to vote for or sign any shareholders’ resolution at Party C’s shareholders’ meetings to approve Party C’s merger or consolidation with, acquisition of or investment in, any person;</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2.2.4</w:t>
            </w:r>
          </w:p>
        </w:tc>
        <w:tc>
          <w:tcPr>
            <w:tcW w:w="975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To promptly notify Party A of any pending or threatened suit, arbitration or administrative proceedings concerning the Equity Interest owned by it;</w:t>
            </w:r>
          </w:p>
        </w:tc>
      </w:tr>
    </w:tbl>
    <w:tbl>
      <w:tblPr>
        <w:tblW w:w="9843" w:type="dxa"/>
        <w:jc w:val="left"/>
        <w:tblInd w:w="0" w:type="dxa"/>
        <w:tblLayout w:type="fixed"/>
        <w:tblCellMar>
          <w:top w:w="0" w:type="dxa"/>
          <w:left w:w="0" w:type="dxa"/>
          <w:bottom w:w="0" w:type="dxa"/>
          <w:right w:w="0" w:type="dxa"/>
        </w:tblCellMar>
      </w:tblPr>
      <w:tblGrid>
        <w:gridCol w:w="23"/>
        <w:gridCol w:w="425"/>
        <w:gridCol w:w="9395"/>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2.2.5</w:t>
            </w:r>
          </w:p>
        </w:tc>
        <w:tc>
          <w:tcPr>
            <w:tcW w:w="939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To cause any relevant shareholders’ meeting to approve the transfer of any Purchased Interest under this Agreement;</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2.2.6</w:t>
            </w:r>
          </w:p>
        </w:tc>
        <w:tc>
          <w:tcPr>
            <w:tcW w:w="975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To execute all necessary or appropriate documents, to take all necessary or appropriate actions and to bring all necessary or appropriate claims or to make all necessary and appropriate defenses against all claims in order to maintain his ownership over the Equity Interest;</w:t>
            </w:r>
          </w:p>
        </w:tc>
      </w:tr>
    </w:tbl>
    <w:tbl>
      <w:tblPr>
        <w:tblW w:w="8268" w:type="dxa"/>
        <w:jc w:val="left"/>
        <w:tblInd w:w="0" w:type="dxa"/>
        <w:tblLayout w:type="fixed"/>
        <w:tblCellMar>
          <w:top w:w="0" w:type="dxa"/>
          <w:left w:w="0" w:type="dxa"/>
          <w:bottom w:w="0" w:type="dxa"/>
          <w:right w:w="0" w:type="dxa"/>
        </w:tblCellMar>
      </w:tblPr>
      <w:tblGrid>
        <w:gridCol w:w="23"/>
        <w:gridCol w:w="425"/>
        <w:gridCol w:w="7820"/>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2.2.7</w:t>
            </w:r>
          </w:p>
        </w:tc>
        <w:tc>
          <w:tcPr>
            <w:tcW w:w="782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At the request of Party A, to appoint persons nominated by Party A to be the directors of Party C;</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2.2.8</w:t>
            </w:r>
          </w:p>
        </w:tc>
        <w:tc>
          <w:tcPr>
            <w:tcW w:w="975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At any time, upon the request of Party A, to transfer its Purchased Interest immediately and unconditionally to the representative designated by Party A, and, in the case of a purchase of any Equity Interest, waive its preemptive right with respect to the transfer of such Equity Interest by any other shareholder of Party C; and</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2.2.9</w:t>
            </w:r>
          </w:p>
        </w:tc>
        <w:tc>
          <w:tcPr>
            <w:tcW w:w="975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To fully comply with the provisions of this Agreement and the other agreements entered into jointly or respectively by and among Party A, Party B and Party C, perform all obligations under such agreements and not commit any act or omission that would affect the validity and enforceability of these agreements.</w:t>
            </w:r>
          </w:p>
        </w:tc>
      </w:tr>
    </w:tbl>
    <w:tbl>
      <w:tblPr>
        <w:tblW w:w="2755" w:type="dxa"/>
        <w:jc w:val="left"/>
        <w:tblInd w:w="0" w:type="dxa"/>
        <w:tblLayout w:type="fixed"/>
        <w:tblCellMar>
          <w:top w:w="0" w:type="dxa"/>
          <w:left w:w="0" w:type="dxa"/>
          <w:bottom w:w="0" w:type="dxa"/>
          <w:right w:w="0" w:type="dxa"/>
        </w:tblCellMar>
      </w:tblPr>
      <w:tblGrid>
        <w:gridCol w:w="170"/>
        <w:gridCol w:w="2585"/>
      </w:tblGrid>
      <w:tr>
        <w:trPr/>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w:t>
            </w:r>
          </w:p>
        </w:tc>
        <w:tc>
          <w:tcPr>
            <w:tcW w:w="2585" w:type="dxa"/>
            <w:tcBorders/>
            <w:vAlign w:val="center"/>
          </w:tcPr>
          <w:p>
            <w:pPr>
              <w:pStyle w:val="TableContents"/>
              <w:bidi w:val="0"/>
              <w:spacing w:before="0" w:after="240"/>
              <w:jc w:val="both"/>
              <w:rPr>
                <w:rFonts w:ascii="Times New Roman;Times;serif" w:hAnsi="Times New Roman;Times;serif"/>
                <w:sz w:val="20"/>
                <w:u w:val="single"/>
              </w:rPr>
            </w:pPr>
            <w:r>
              <w:rPr>
                <w:rFonts w:ascii="Times New Roman;Times;serif" w:hAnsi="Times New Roman;Times;serif"/>
                <w:sz w:val="20"/>
                <w:u w:val="single"/>
              </w:rPr>
              <w:t>Representations and Warranties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As of the execution date of this Agreement and every transfer date, each of Party B and Party C hereby represents and warrants to Party A as follows:</w:t>
      </w:r>
    </w:p>
    <w:tbl>
      <w:tblPr>
        <w:tblW w:w="10205" w:type="dxa"/>
        <w:jc w:val="left"/>
        <w:tblInd w:w="0" w:type="dxa"/>
        <w:tblLayout w:type="fixed"/>
        <w:tblCellMar>
          <w:top w:w="0" w:type="dxa"/>
          <w:left w:w="0" w:type="dxa"/>
          <w:bottom w:w="0" w:type="dxa"/>
          <w:right w:w="0" w:type="dxa"/>
        </w:tblCellMar>
      </w:tblPr>
      <w:tblGrid>
        <w:gridCol w:w="23"/>
        <w:gridCol w:w="275"/>
        <w:gridCol w:w="9907"/>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3.1</w:t>
            </w:r>
          </w:p>
        </w:tc>
        <w:tc>
          <w:tcPr>
            <w:tcW w:w="990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It has the power and authority to execute and deliver this Agreement, and any Transfer Agreement, to which it is party for each transfer of the Purchased Interest under this Agreement and to perform its obligations under this Agreement and any Transfer Agreement. Once executed, this Agreement and any Transfer Agreement to which it is party will</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r>
        <w:rPr/>
        <w:t>​</w:t>
      </w:r>
    </w:p>
    <w:p>
      <w:pPr>
        <w:pStyle w:val="TextBody"/>
        <w:bidi w:val="0"/>
        <w:spacing w:before="0" w:after="240"/>
        <w:ind w:left="1890" w:right="0" w:hanging="0"/>
        <w:jc w:val="both"/>
        <w:rPr>
          <w:rFonts w:ascii="Times New Roman;Times;serif" w:hAnsi="Times New Roman;Times;serif"/>
          <w:sz w:val="20"/>
        </w:rPr>
      </w:pPr>
      <w:r>
        <w:rPr>
          <w:rFonts w:ascii="Times New Roman;Times;serif" w:hAnsi="Times New Roman;Times;serif"/>
          <w:sz w:val="20"/>
        </w:rPr>
        <w:t>constitute a legal, valid and binding obligation of it enforceable against it in accordance with its terms;</w:t>
      </w:r>
    </w:p>
    <w:tbl>
      <w:tblPr>
        <w:tblW w:w="10205" w:type="dxa"/>
        <w:jc w:val="left"/>
        <w:tblInd w:w="0" w:type="dxa"/>
        <w:tblLayout w:type="fixed"/>
        <w:tblCellMar>
          <w:top w:w="0" w:type="dxa"/>
          <w:left w:w="0" w:type="dxa"/>
          <w:bottom w:w="0" w:type="dxa"/>
          <w:right w:w="0" w:type="dxa"/>
        </w:tblCellMar>
      </w:tblPr>
      <w:tblGrid>
        <w:gridCol w:w="23"/>
        <w:gridCol w:w="275"/>
        <w:gridCol w:w="9907"/>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3.2</w:t>
            </w:r>
          </w:p>
        </w:tc>
        <w:tc>
          <w:tcPr>
            <w:tcW w:w="990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execution, delivery and performance of this Agreement or any Transfer Agreement by it will not: (i) violate any relevant PRC laws and regulations; (ii) conflict with its articles of association or other organizational documents; (iii) violate or constitute a default under any contract or instrument to which it is party or that binds upon it; (iv) violate any condition for the grant and/or continued effectiveness of any permit or approval granted to it; or (v) cause any permit or approval granted to it to be suspended, cancelled or attached with additional conditions;</w:t>
            </w:r>
          </w:p>
        </w:tc>
      </w:tr>
    </w:tbl>
    <w:tbl>
      <w:tblPr>
        <w:tblW w:w="10205" w:type="dxa"/>
        <w:jc w:val="left"/>
        <w:tblInd w:w="0" w:type="dxa"/>
        <w:tblLayout w:type="fixed"/>
        <w:tblCellMar>
          <w:top w:w="0" w:type="dxa"/>
          <w:left w:w="0" w:type="dxa"/>
          <w:bottom w:w="0" w:type="dxa"/>
          <w:right w:w="0" w:type="dxa"/>
        </w:tblCellMar>
      </w:tblPr>
      <w:tblGrid>
        <w:gridCol w:w="23"/>
        <w:gridCol w:w="275"/>
        <w:gridCol w:w="9907"/>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3.3</w:t>
            </w:r>
          </w:p>
        </w:tc>
        <w:tc>
          <w:tcPr>
            <w:tcW w:w="990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Party C has good and marketable ownership interest in all of its assets and has not created any Security Interest on the said assets;</w:t>
            </w:r>
          </w:p>
        </w:tc>
      </w:tr>
    </w:tbl>
    <w:tbl>
      <w:tblPr>
        <w:tblW w:w="10205" w:type="dxa"/>
        <w:jc w:val="left"/>
        <w:tblInd w:w="0" w:type="dxa"/>
        <w:tblLayout w:type="fixed"/>
        <w:tblCellMar>
          <w:top w:w="0" w:type="dxa"/>
          <w:left w:w="0" w:type="dxa"/>
          <w:bottom w:w="0" w:type="dxa"/>
          <w:right w:w="0" w:type="dxa"/>
        </w:tblCellMar>
      </w:tblPr>
      <w:tblGrid>
        <w:gridCol w:w="23"/>
        <w:gridCol w:w="275"/>
        <w:gridCol w:w="9907"/>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3.4</w:t>
            </w:r>
          </w:p>
        </w:tc>
        <w:tc>
          <w:tcPr>
            <w:tcW w:w="990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Party C has no outstanding liabilities, except (i) liabilities arising in its normal course of business; and (ii) liabilities disclosed to Party A and approved by Party A in writing;</w:t>
            </w:r>
          </w:p>
        </w:tc>
      </w:tr>
    </w:tbl>
    <w:tbl>
      <w:tblPr>
        <w:tblW w:w="7638" w:type="dxa"/>
        <w:jc w:val="left"/>
        <w:tblInd w:w="0" w:type="dxa"/>
        <w:tblLayout w:type="fixed"/>
        <w:tblCellMar>
          <w:top w:w="0" w:type="dxa"/>
          <w:left w:w="0" w:type="dxa"/>
          <w:bottom w:w="0" w:type="dxa"/>
          <w:right w:w="0" w:type="dxa"/>
        </w:tblCellMar>
      </w:tblPr>
      <w:tblGrid>
        <w:gridCol w:w="23"/>
        <w:gridCol w:w="275"/>
        <w:gridCol w:w="734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3.5</w:t>
            </w:r>
          </w:p>
        </w:tc>
        <w:tc>
          <w:tcPr>
            <w:tcW w:w="734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Party C complies with all PRC laws and regulations applicable to the acquisition of assets;</w:t>
            </w:r>
          </w:p>
        </w:tc>
      </w:tr>
    </w:tbl>
    <w:tbl>
      <w:tblPr>
        <w:tblW w:w="10205" w:type="dxa"/>
        <w:jc w:val="left"/>
        <w:tblInd w:w="0" w:type="dxa"/>
        <w:tblLayout w:type="fixed"/>
        <w:tblCellMar>
          <w:top w:w="0" w:type="dxa"/>
          <w:left w:w="0" w:type="dxa"/>
          <w:bottom w:w="0" w:type="dxa"/>
          <w:right w:w="0" w:type="dxa"/>
        </w:tblCellMar>
      </w:tblPr>
      <w:tblGrid>
        <w:gridCol w:w="23"/>
        <w:gridCol w:w="275"/>
        <w:gridCol w:w="9907"/>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3.6</w:t>
            </w:r>
          </w:p>
        </w:tc>
        <w:tc>
          <w:tcPr>
            <w:tcW w:w="990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There are currently no existing, pending or threatened litigation, arbitration or administrative proceedings related to the Equity Interest, Party C’s assets or Party C; and</w:t>
            </w:r>
          </w:p>
        </w:tc>
      </w:tr>
    </w:tbl>
    <w:tbl>
      <w:tblPr>
        <w:tblW w:w="10205" w:type="dxa"/>
        <w:jc w:val="left"/>
        <w:tblInd w:w="0" w:type="dxa"/>
        <w:tblLayout w:type="fixed"/>
        <w:tblCellMar>
          <w:top w:w="0" w:type="dxa"/>
          <w:left w:w="0" w:type="dxa"/>
          <w:bottom w:w="0" w:type="dxa"/>
          <w:right w:w="0" w:type="dxa"/>
        </w:tblCellMar>
      </w:tblPr>
      <w:tblGrid>
        <w:gridCol w:w="23"/>
        <w:gridCol w:w="275"/>
        <w:gridCol w:w="9907"/>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3.7</w:t>
            </w:r>
          </w:p>
        </w:tc>
        <w:tc>
          <w:tcPr>
            <w:tcW w:w="990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Party B has good and marketable ownership interest in the Equity Interest and has not created any Security Interest on such Equity Interest, other than the Security Interest pursuant to the Equity Pledge Agreement.</w:t>
            </w:r>
          </w:p>
        </w:tc>
      </w:tr>
    </w:tbl>
    <w:tbl>
      <w:tblPr>
        <w:tblW w:w="2290" w:type="dxa"/>
        <w:jc w:val="left"/>
        <w:tblInd w:w="0" w:type="dxa"/>
        <w:tblLayout w:type="fixed"/>
        <w:tblCellMar>
          <w:top w:w="0" w:type="dxa"/>
          <w:left w:w="0" w:type="dxa"/>
          <w:bottom w:w="0" w:type="dxa"/>
          <w:right w:w="0" w:type="dxa"/>
        </w:tblCellMar>
      </w:tblPr>
      <w:tblGrid>
        <w:gridCol w:w="170"/>
        <w:gridCol w:w="2120"/>
      </w:tblGrid>
      <w:tr>
        <w:trPr/>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4.</w:t>
            </w:r>
          </w:p>
        </w:tc>
        <w:tc>
          <w:tcPr>
            <w:tcW w:w="2120" w:type="dxa"/>
            <w:tcBorders/>
            <w:vAlign w:val="center"/>
          </w:tcPr>
          <w:p>
            <w:pPr>
              <w:pStyle w:val="TableContents"/>
              <w:bidi w:val="0"/>
              <w:spacing w:before="0" w:after="240"/>
              <w:jc w:val="both"/>
              <w:rPr>
                <w:rFonts w:ascii="Times New Roman;Times;serif" w:hAnsi="Times New Roman;Times;serif"/>
                <w:sz w:val="20"/>
                <w:u w:val="single"/>
              </w:rPr>
            </w:pPr>
            <w:r>
              <w:rPr>
                <w:rFonts w:ascii="Times New Roman;Times;serif" w:hAnsi="Times New Roman;Times;serif"/>
                <w:sz w:val="20"/>
                <w:u w:val="single"/>
              </w:rPr>
              <w:t>Assignment of Agreement</w:t>
            </w:r>
          </w:p>
        </w:tc>
      </w:tr>
    </w:tbl>
    <w:tbl>
      <w:tblPr>
        <w:tblW w:w="10205" w:type="dxa"/>
        <w:jc w:val="left"/>
        <w:tblInd w:w="0" w:type="dxa"/>
        <w:tblLayout w:type="fixed"/>
        <w:tblCellMar>
          <w:top w:w="0" w:type="dxa"/>
          <w:left w:w="0" w:type="dxa"/>
          <w:bottom w:w="0" w:type="dxa"/>
          <w:right w:w="0" w:type="dxa"/>
        </w:tblCellMar>
      </w:tblPr>
      <w:tblGrid>
        <w:gridCol w:w="23"/>
        <w:gridCol w:w="275"/>
        <w:gridCol w:w="9907"/>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4.1</w:t>
            </w:r>
          </w:p>
        </w:tc>
        <w:tc>
          <w:tcPr>
            <w:tcW w:w="990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Party B and Party C shall not assign their rights and obligations under this Agreement to any third party without the prior written consent of Party A.</w:t>
            </w:r>
          </w:p>
        </w:tc>
      </w:tr>
    </w:tbl>
    <w:tbl>
      <w:tblPr>
        <w:tblW w:w="10205" w:type="dxa"/>
        <w:jc w:val="left"/>
        <w:tblInd w:w="0" w:type="dxa"/>
        <w:tblLayout w:type="fixed"/>
        <w:tblCellMar>
          <w:top w:w="0" w:type="dxa"/>
          <w:left w:w="0" w:type="dxa"/>
          <w:bottom w:w="0" w:type="dxa"/>
          <w:right w:w="0" w:type="dxa"/>
        </w:tblCellMar>
      </w:tblPr>
      <w:tblGrid>
        <w:gridCol w:w="23"/>
        <w:gridCol w:w="275"/>
        <w:gridCol w:w="9907"/>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4.2</w:t>
            </w:r>
          </w:p>
        </w:tc>
        <w:tc>
          <w:tcPr>
            <w:tcW w:w="990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Party B and Party C hereby agree that Party A may assign all its rights and obligations under this Agreement to a third party without the consent of Party B and Party C, but such assignment shall be notified in writing to Party B and Party C.</w:t>
            </w:r>
          </w:p>
        </w:tc>
      </w:tr>
    </w:tbl>
    <w:tbl>
      <w:tblPr>
        <w:tblW w:w="2155" w:type="dxa"/>
        <w:jc w:val="left"/>
        <w:tblInd w:w="0" w:type="dxa"/>
        <w:tblLayout w:type="fixed"/>
        <w:tblCellMar>
          <w:top w:w="0" w:type="dxa"/>
          <w:left w:w="0" w:type="dxa"/>
          <w:bottom w:w="0" w:type="dxa"/>
          <w:right w:w="0" w:type="dxa"/>
        </w:tblCellMar>
      </w:tblPr>
      <w:tblGrid>
        <w:gridCol w:w="170"/>
        <w:gridCol w:w="1985"/>
      </w:tblGrid>
      <w:tr>
        <w:trPr/>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5.</w:t>
            </w:r>
          </w:p>
        </w:tc>
        <w:tc>
          <w:tcPr>
            <w:tcW w:w="1985" w:type="dxa"/>
            <w:tcBorders/>
            <w:vAlign w:val="center"/>
          </w:tcPr>
          <w:p>
            <w:pPr>
              <w:pStyle w:val="TableContents"/>
              <w:bidi w:val="0"/>
              <w:spacing w:before="0" w:after="240"/>
              <w:jc w:val="both"/>
              <w:rPr>
                <w:rFonts w:ascii="Times New Roman;Times;serif" w:hAnsi="Times New Roman;Times;serif"/>
                <w:sz w:val="20"/>
                <w:u w:val="single"/>
              </w:rPr>
            </w:pPr>
            <w:r>
              <w:rPr>
                <w:rFonts w:ascii="Times New Roman;Times;serif" w:hAnsi="Times New Roman;Times;serif"/>
                <w:sz w:val="20"/>
                <w:u w:val="single"/>
              </w:rPr>
              <w:t>Effective Date and Term</w:t>
            </w:r>
          </w:p>
        </w:tc>
      </w:tr>
    </w:tbl>
    <w:tbl>
      <w:tblPr>
        <w:tblW w:w="5793" w:type="dxa"/>
        <w:jc w:val="left"/>
        <w:tblInd w:w="0" w:type="dxa"/>
        <w:tblLayout w:type="fixed"/>
        <w:tblCellMar>
          <w:top w:w="0" w:type="dxa"/>
          <w:left w:w="0" w:type="dxa"/>
          <w:bottom w:w="0" w:type="dxa"/>
          <w:right w:w="0" w:type="dxa"/>
        </w:tblCellMar>
      </w:tblPr>
      <w:tblGrid>
        <w:gridCol w:w="23"/>
        <w:gridCol w:w="275"/>
        <w:gridCol w:w="5495"/>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5.1</w:t>
            </w:r>
          </w:p>
        </w:tc>
        <w:tc>
          <w:tcPr>
            <w:tcW w:w="549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This Agreement shall be effective as of the date first set forth above.</w:t>
            </w:r>
          </w:p>
        </w:tc>
      </w:tr>
    </w:tbl>
    <w:tbl>
      <w:tblPr>
        <w:tblW w:w="10205" w:type="dxa"/>
        <w:jc w:val="left"/>
        <w:tblInd w:w="0" w:type="dxa"/>
        <w:tblLayout w:type="fixed"/>
        <w:tblCellMar>
          <w:top w:w="0" w:type="dxa"/>
          <w:left w:w="0" w:type="dxa"/>
          <w:bottom w:w="0" w:type="dxa"/>
          <w:right w:w="0" w:type="dxa"/>
        </w:tblCellMar>
      </w:tblPr>
      <w:tblGrid>
        <w:gridCol w:w="23"/>
        <w:gridCol w:w="275"/>
        <w:gridCol w:w="9907"/>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5.2</w:t>
            </w:r>
          </w:p>
        </w:tc>
        <w:tc>
          <w:tcPr>
            <w:tcW w:w="990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This Agreement shall remain in full force and effect until the earlier of (i) the date on which all of the Equity Interest held by Party B or all of the assets of Party C held by Party C or its subsidiaries have been acquired by Party A directly and/or through its Designated Persons in accordance with this Agreement, (ii) the unilateral termination of this Agreement by Party A at its sole and absolute discretion by giving thirty (30) days prior written notice to the other Parties of its intention to terminate this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r>
        <w:rPr/>
        <w:t>​</w:t>
      </w:r>
    </w:p>
    <w:p>
      <w:pPr>
        <w:pStyle w:val="TextBody"/>
        <w:bidi w:val="0"/>
        <w:spacing w:before="0" w:after="240"/>
        <w:ind w:left="1890" w:right="0" w:hanging="0"/>
        <w:jc w:val="both"/>
        <w:rPr>
          <w:rFonts w:ascii="Times New Roman;Times;serif" w:hAnsi="Times New Roman;Times;serif"/>
          <w:sz w:val="20"/>
        </w:rPr>
      </w:pPr>
      <w:r>
        <w:rPr>
          <w:rFonts w:ascii="Times New Roman;Times;serif" w:hAnsi="Times New Roman;Times;serif"/>
          <w:sz w:val="20"/>
        </w:rPr>
        <w:t>Agreement, and (iii) if the duration of operation (including any extension thereof) of Party A or Party C is expired or terminated, except in the situation where Party A has assigned its rights and obligations in accordance with Article 4.2 hereof.</w:t>
      </w:r>
    </w:p>
    <w:tbl>
      <w:tblPr>
        <w:tblW w:w="3520" w:type="dxa"/>
        <w:jc w:val="left"/>
        <w:tblInd w:w="0" w:type="dxa"/>
        <w:tblLayout w:type="fixed"/>
        <w:tblCellMar>
          <w:top w:w="0" w:type="dxa"/>
          <w:left w:w="0" w:type="dxa"/>
          <w:bottom w:w="0" w:type="dxa"/>
          <w:right w:w="0" w:type="dxa"/>
        </w:tblCellMar>
      </w:tblPr>
      <w:tblGrid>
        <w:gridCol w:w="170"/>
        <w:gridCol w:w="3350"/>
      </w:tblGrid>
      <w:tr>
        <w:trPr/>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6.</w:t>
            </w:r>
          </w:p>
        </w:tc>
        <w:tc>
          <w:tcPr>
            <w:tcW w:w="3350" w:type="dxa"/>
            <w:tcBorders/>
            <w:vAlign w:val="center"/>
          </w:tcPr>
          <w:p>
            <w:pPr>
              <w:pStyle w:val="TableContents"/>
              <w:bidi w:val="0"/>
              <w:spacing w:before="0" w:after="240"/>
              <w:jc w:val="both"/>
              <w:rPr>
                <w:rFonts w:ascii="Times New Roman;Times;serif" w:hAnsi="Times New Roman;Times;serif"/>
                <w:sz w:val="20"/>
                <w:u w:val="single"/>
              </w:rPr>
            </w:pPr>
            <w:r>
              <w:rPr>
                <w:rFonts w:ascii="Times New Roman;Times;serif" w:hAnsi="Times New Roman;Times;serif"/>
                <w:sz w:val="20"/>
                <w:u w:val="single"/>
              </w:rPr>
              <w:t>Applicable Laws and Dispute Resolution</w:t>
            </w:r>
          </w:p>
        </w:tc>
      </w:tr>
    </w:tbl>
    <w:tbl>
      <w:tblPr>
        <w:tblW w:w="1608" w:type="dxa"/>
        <w:jc w:val="left"/>
        <w:tblInd w:w="0" w:type="dxa"/>
        <w:tblLayout w:type="fixed"/>
        <w:tblCellMar>
          <w:top w:w="0" w:type="dxa"/>
          <w:left w:w="0" w:type="dxa"/>
          <w:bottom w:w="0" w:type="dxa"/>
          <w:right w:w="0" w:type="dxa"/>
        </w:tblCellMar>
      </w:tblPr>
      <w:tblGrid>
        <w:gridCol w:w="23"/>
        <w:gridCol w:w="275"/>
        <w:gridCol w:w="131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6.1</w:t>
            </w:r>
          </w:p>
        </w:tc>
        <w:tc>
          <w:tcPr>
            <w:tcW w:w="131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Applicable Law</w:t>
            </w:r>
          </w:p>
        </w:tc>
      </w:tr>
    </w:tbl>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The formation, validity, interpretation and performance of and settlement of disputes under this Agreement shall be governed by the laws of the PRC.</w:t>
      </w:r>
    </w:p>
    <w:tbl>
      <w:tblPr>
        <w:tblW w:w="1893" w:type="dxa"/>
        <w:jc w:val="left"/>
        <w:tblInd w:w="0" w:type="dxa"/>
        <w:tblLayout w:type="fixed"/>
        <w:tblCellMar>
          <w:top w:w="0" w:type="dxa"/>
          <w:left w:w="0" w:type="dxa"/>
          <w:bottom w:w="0" w:type="dxa"/>
          <w:right w:w="0" w:type="dxa"/>
        </w:tblCellMar>
      </w:tblPr>
      <w:tblGrid>
        <w:gridCol w:w="23"/>
        <w:gridCol w:w="275"/>
        <w:gridCol w:w="1595"/>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6.2</w:t>
            </w:r>
          </w:p>
        </w:tc>
        <w:tc>
          <w:tcPr>
            <w:tcW w:w="159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Dispute Resolution</w:t>
            </w:r>
          </w:p>
        </w:tc>
      </w:tr>
    </w:tbl>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Any dispute arising under or in connection with this Agreement shall be settled by the parties through negotiation. If the parties fail to reach an agreement within 30 days after the dispute arises, the dispute shall be submitted to China International Economic and Trade Arbitration Commission for arbitration in Beijing by three arbitrators in accordance with its arbitration rules in force at that time. The party initiating the arbitration and the respondent shall each appoint one arbitrator, and the third arbitrator shall be appointed by China International Economic and Trade Arbitration Commission. If there are more than two persons (natural person or legal person) of the party initiating arbitration or the respondent, one arbitrator shall be appointed by the two persons through written consensus. The arbitration award is final and binding on all parties to the dispute. During the dispute settlement period, except for the matters in dispute, the Parties to this Agreement shall continue to exercise their respective rights and perform their respective obligations under this Agreement.</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The Parties hereby specifically acknowledge and undertake that, subject to the provisions of the PRC law, the arbitrators have the right to make appropriate awards according to the actual situation, so as to give Party A appropriate legal remedies, including but not limited to restricting the Party C's business operation, restricting and / or disposing the Party C's equities or assets (including land assets) (including but not limited to taking them as compensation), or forbidding transfer or dispose, or taking other relevant remedies, or ordering the winding up of the Party C. The Parties shall perform such awards.</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Subject to the provisions of the PRC law, as property preservation or enforcement measures, at the request of one party to the dispute, the court with jurisdiction has the right to make an award or judgment before the formation of the arbitration tribunal or under other appropriate circumstances permitted by law, and to grant interim remedies to the party to the dispute, such as an award or judgment on detaining or freezing the properties or equities of the defaulting party. Such rights of one party to the dispute and the award or judgment made by the court in this regard shall not affect the validity of the above arbitration clause agreed by all Parties.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r>
        <w:rPr/>
        <w:t>​</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After the arbitration award comes into effect, either Party has the right to apply to the court with jurisdiction for enforcement of the arbitration award.</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The Parties agree that: the courts in (i) the Hong Kong Special Administrative Region; (ii) the registered place of Cloud Music Inc.; (iii) the registered place of Party C; and (iv) the place where main assets of Cloud Music Inc. or the Party C are located shall be deemed to have jurisdiction for the purpose of this article.</w:t>
      </w:r>
    </w:p>
    <w:tbl>
      <w:tblPr>
        <w:tblW w:w="1825" w:type="dxa"/>
        <w:jc w:val="left"/>
        <w:tblInd w:w="0" w:type="dxa"/>
        <w:tblLayout w:type="fixed"/>
        <w:tblCellMar>
          <w:top w:w="0" w:type="dxa"/>
          <w:left w:w="0" w:type="dxa"/>
          <w:bottom w:w="0" w:type="dxa"/>
          <w:right w:w="0" w:type="dxa"/>
        </w:tblCellMar>
      </w:tblPr>
      <w:tblGrid>
        <w:gridCol w:w="170"/>
        <w:gridCol w:w="1655"/>
      </w:tblGrid>
      <w:tr>
        <w:trPr/>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7.</w:t>
            </w:r>
          </w:p>
        </w:tc>
        <w:tc>
          <w:tcPr>
            <w:tcW w:w="1655" w:type="dxa"/>
            <w:tcBorders/>
            <w:vAlign w:val="center"/>
          </w:tcPr>
          <w:p>
            <w:pPr>
              <w:pStyle w:val="TableContents"/>
              <w:bidi w:val="0"/>
              <w:spacing w:before="0" w:after="240"/>
              <w:jc w:val="both"/>
              <w:rPr>
                <w:rFonts w:ascii="Times New Roman;Times;serif" w:hAnsi="Times New Roman;Times;serif"/>
                <w:sz w:val="20"/>
                <w:u w:val="single"/>
              </w:rPr>
            </w:pPr>
            <w:r>
              <w:rPr>
                <w:rFonts w:ascii="Times New Roman;Times;serif" w:hAnsi="Times New Roman;Times;serif"/>
                <w:sz w:val="20"/>
                <w:u w:val="single"/>
              </w:rPr>
              <w:t>Taxes and Expenses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Party A shall bear any and all transfer and registration taxes, expenses and charges incurred by or levied on it, Party B or Party C with respect to the preparation and execution of this Agreement and each Transfer Agreement and the consummation of the transactions contemplated under this Agreement and each Transfer Agreement.</w:t>
      </w:r>
    </w:p>
    <w:tbl>
      <w:tblPr>
        <w:tblW w:w="1450" w:type="dxa"/>
        <w:jc w:val="left"/>
        <w:tblInd w:w="0" w:type="dxa"/>
        <w:tblLayout w:type="fixed"/>
        <w:tblCellMar>
          <w:top w:w="0" w:type="dxa"/>
          <w:left w:w="0" w:type="dxa"/>
          <w:bottom w:w="0" w:type="dxa"/>
          <w:right w:w="0" w:type="dxa"/>
        </w:tblCellMar>
      </w:tblPr>
      <w:tblGrid>
        <w:gridCol w:w="170"/>
        <w:gridCol w:w="1280"/>
      </w:tblGrid>
      <w:tr>
        <w:trPr/>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8.</w:t>
            </w:r>
          </w:p>
        </w:tc>
        <w:tc>
          <w:tcPr>
            <w:tcW w:w="1280" w:type="dxa"/>
            <w:tcBorders/>
            <w:vAlign w:val="center"/>
          </w:tcPr>
          <w:p>
            <w:pPr>
              <w:pStyle w:val="TableContents"/>
              <w:bidi w:val="0"/>
              <w:spacing w:before="0" w:after="240"/>
              <w:jc w:val="both"/>
              <w:rPr>
                <w:rFonts w:ascii="Times New Roman;Times;serif" w:hAnsi="Times New Roman;Times;serif"/>
                <w:sz w:val="20"/>
                <w:u w:val="single"/>
              </w:rPr>
            </w:pPr>
            <w:r>
              <w:rPr>
                <w:rFonts w:ascii="Times New Roman;Times;serif" w:hAnsi="Times New Roman;Times;serif"/>
                <w:sz w:val="20"/>
                <w:u w:val="single"/>
              </w:rPr>
              <w:t>Confidentiality</w:t>
            </w:r>
          </w:p>
        </w:tc>
      </w:tr>
    </w:tbl>
    <w:tbl>
      <w:tblPr>
        <w:tblW w:w="10205" w:type="dxa"/>
        <w:jc w:val="left"/>
        <w:tblInd w:w="0" w:type="dxa"/>
        <w:tblLayout w:type="fixed"/>
        <w:tblCellMar>
          <w:top w:w="0" w:type="dxa"/>
          <w:left w:w="0" w:type="dxa"/>
          <w:bottom w:w="0" w:type="dxa"/>
          <w:right w:w="0" w:type="dxa"/>
        </w:tblCellMar>
      </w:tblPr>
      <w:tblGrid>
        <w:gridCol w:w="23"/>
        <w:gridCol w:w="275"/>
        <w:gridCol w:w="9907"/>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8.1</w:t>
            </w:r>
          </w:p>
        </w:tc>
        <w:tc>
          <w:tcPr>
            <w:tcW w:w="990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All parties acknowledge and confirm that any oral or written materials exchanged pursuant to this Agreement are confidential. Each party shall keep confidential all such materials and not disclose any such materials to any third party without the prior written consent from the other parties except in the following situations: (a) such materials are or will become known by the public (through no fault of the receiving party); (b) any materials as required to be disclosed by the applicable laws or rules of any stock exchange or governmental entity; and (c) any materials disclosed by each party to its legal or financial advisors relating to the transactions contemplated by this Agreement, and such legal or financial advisors shall comply with the confidentiality provisions set forth in this Article 8. Any disclosure of confidential information by the personnel of any party or by the institutions engaged by such party shall be deemed as a disclosure by such party, and such party shall be liable for the breach under this Agreement.</w:t>
            </w:r>
          </w:p>
        </w:tc>
      </w:tr>
    </w:tbl>
    <w:tbl>
      <w:tblPr>
        <w:tblW w:w="10205" w:type="dxa"/>
        <w:jc w:val="left"/>
        <w:tblInd w:w="0" w:type="dxa"/>
        <w:tblLayout w:type="fixed"/>
        <w:tblCellMar>
          <w:top w:w="0" w:type="dxa"/>
          <w:left w:w="0" w:type="dxa"/>
          <w:bottom w:w="0" w:type="dxa"/>
          <w:right w:w="0" w:type="dxa"/>
        </w:tblCellMar>
      </w:tblPr>
      <w:tblGrid>
        <w:gridCol w:w="23"/>
        <w:gridCol w:w="275"/>
        <w:gridCol w:w="9907"/>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8.2</w:t>
            </w:r>
          </w:p>
        </w:tc>
        <w:tc>
          <w:tcPr>
            <w:tcW w:w="990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All parties agree that this Article 8 shall survive the invalidity, cancellation, termination or unenforceability of this Agreement.</w:t>
            </w:r>
          </w:p>
        </w:tc>
      </w:tr>
    </w:tbl>
    <w:tbl>
      <w:tblPr>
        <w:tblW w:w="805" w:type="dxa"/>
        <w:jc w:val="left"/>
        <w:tblInd w:w="0" w:type="dxa"/>
        <w:tblLayout w:type="fixed"/>
        <w:tblCellMar>
          <w:top w:w="0" w:type="dxa"/>
          <w:left w:w="0" w:type="dxa"/>
          <w:bottom w:w="0" w:type="dxa"/>
          <w:right w:w="0" w:type="dxa"/>
        </w:tblCellMar>
      </w:tblPr>
      <w:tblGrid>
        <w:gridCol w:w="170"/>
        <w:gridCol w:w="635"/>
      </w:tblGrid>
      <w:tr>
        <w:trPr/>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9.</w:t>
            </w:r>
          </w:p>
        </w:tc>
        <w:tc>
          <w:tcPr>
            <w:tcW w:w="635" w:type="dxa"/>
            <w:tcBorders/>
            <w:vAlign w:val="center"/>
          </w:tcPr>
          <w:p>
            <w:pPr>
              <w:pStyle w:val="TableContents"/>
              <w:bidi w:val="0"/>
              <w:spacing w:before="0" w:after="240"/>
              <w:jc w:val="both"/>
              <w:rPr>
                <w:rFonts w:ascii="Times New Roman;Times;serif" w:hAnsi="Times New Roman;Times;serif"/>
                <w:sz w:val="20"/>
                <w:u w:val="single"/>
              </w:rPr>
            </w:pPr>
            <w:r>
              <w:rPr>
                <w:rFonts w:ascii="Times New Roman;Times;serif" w:hAnsi="Times New Roman;Times;serif"/>
                <w:sz w:val="20"/>
                <w:u w:val="single"/>
              </w:rPr>
              <w:t>Notices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All notices, claims, certificates, requests, demands and other communications under this Agreement shall be made in writing and shall be delivered to either Party hereto by hand, by postage prepaid, or by reputable overnight courier services at the following addresses (or at such other address for such Party as shall be specified by like notice), and shall be deemed given when so delivered by hand, or if sent by postage prepaid or overnight courier, five (5) days after delivery to or pickup by postage prepaid or by the overnight courier service:</w:t>
      </w:r>
    </w:p>
    <w:tbl>
      <w:tblPr>
        <w:tblW w:w="9666" w:type="dxa"/>
        <w:jc w:val="left"/>
        <w:tblInd w:w="0" w:type="dxa"/>
        <w:tblLayout w:type="fixed"/>
        <w:tblCellMar>
          <w:top w:w="0" w:type="dxa"/>
          <w:left w:w="0" w:type="dxa"/>
          <w:bottom w:w="0" w:type="dxa"/>
          <w:right w:w="0" w:type="dxa"/>
        </w:tblCellMar>
      </w:tblPr>
      <w:tblGrid>
        <w:gridCol w:w="826"/>
        <w:gridCol w:w="109"/>
        <w:gridCol w:w="8731"/>
      </w:tblGrid>
      <w:tr>
        <w:trPr/>
        <w:tc>
          <w:tcPr>
            <w:tcW w:w="9666" w:type="dxa"/>
            <w:gridSpan w:val="3"/>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If to Party A:  Hangzhou NetEase Cloud Music Technology Co., Ltd.</w:t>
            </w:r>
          </w:p>
        </w:tc>
      </w:tr>
      <w:tr>
        <w:trPr/>
        <w:tc>
          <w:tcPr>
            <w:tcW w:w="82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8731" w:type="dxa"/>
            <w:tcBorders/>
            <w:vAlign w:val="center"/>
          </w:tcPr>
          <w:p>
            <w:pPr>
              <w:pStyle w:val="TableContents"/>
              <w:bidi w:val="0"/>
              <w:spacing w:before="0" w:after="0"/>
              <w:ind w:left="0" w:right="0" w:hanging="0"/>
              <w:jc w:val="both"/>
              <w:rPr/>
            </w:pPr>
            <w:r>
              <w:rPr/>
              <w:t>​</w:t>
            </w:r>
          </w:p>
        </w:tc>
      </w:tr>
      <w:tr>
        <w:trPr/>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Address:</w:t>
            </w:r>
          </w:p>
        </w:tc>
        <w:tc>
          <w:tcPr>
            <w:tcW w:w="109" w:type="dxa"/>
            <w:tcBorders/>
            <w:vAlign w:val="center"/>
          </w:tcPr>
          <w:p>
            <w:pPr>
              <w:pStyle w:val="TableContents"/>
              <w:bidi w:val="0"/>
              <w:spacing w:before="0" w:after="0"/>
              <w:ind w:left="0" w:right="0" w:hanging="0"/>
              <w:jc w:val="both"/>
              <w:rPr/>
            </w:pPr>
            <w:r>
              <w:rPr/>
              <w:t>​</w:t>
            </w:r>
          </w:p>
        </w:tc>
        <w:tc>
          <w:tcPr>
            <w:tcW w:w="87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Room 1201, Block A, Hangzhou International Expo Center, No. 353 Benjing Avenue, Qianjiang Century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r>
        <w:rPr/>
        <w:t>​</w:t>
      </w:r>
    </w:p>
    <w:tbl>
      <w:tblPr>
        <w:tblW w:w="3999" w:type="dxa"/>
        <w:jc w:val="left"/>
        <w:tblInd w:w="0" w:type="dxa"/>
        <w:tblLayout w:type="fixed"/>
        <w:tblCellMar>
          <w:top w:w="0" w:type="dxa"/>
          <w:left w:w="0" w:type="dxa"/>
          <w:bottom w:w="0" w:type="dxa"/>
          <w:right w:w="0" w:type="dxa"/>
        </w:tblCellMar>
      </w:tblPr>
      <w:tblGrid>
        <w:gridCol w:w="124"/>
        <w:gridCol w:w="109"/>
        <w:gridCol w:w="3766"/>
      </w:tblGrid>
      <w:tr>
        <w:trPr/>
        <w:tc>
          <w:tcPr>
            <w:tcW w:w="12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both"/>
              <w:rPr/>
            </w:pPr>
            <w:r>
              <w:rPr/>
              <w:t>​</w:t>
            </w:r>
          </w:p>
        </w:tc>
        <w:tc>
          <w:tcPr>
            <w:tcW w:w="37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City, Xiaoshan District, Hangzhou, Zhejiang</w:t>
            </w:r>
          </w:p>
        </w:tc>
      </w:tr>
    </w:tbl>
    <w:p>
      <w:pPr>
        <w:pStyle w:val="TextBody"/>
        <w:bidi w:val="0"/>
        <w:spacing w:before="0" w:after="0"/>
        <w:ind w:left="0" w:right="0" w:hanging="0"/>
        <w:jc w:val="left"/>
        <w:rPr/>
      </w:pPr>
      <w:r>
        <w:rPr/>
        <w:t>​</w:t>
      </w:r>
    </w:p>
    <w:tbl>
      <w:tblPr>
        <w:tblW w:w="6936" w:type="dxa"/>
        <w:jc w:val="left"/>
        <w:tblInd w:w="0" w:type="dxa"/>
        <w:tblLayout w:type="fixed"/>
        <w:tblCellMar>
          <w:top w:w="0" w:type="dxa"/>
          <w:left w:w="0" w:type="dxa"/>
          <w:bottom w:w="0" w:type="dxa"/>
          <w:right w:w="0" w:type="dxa"/>
        </w:tblCellMar>
      </w:tblPr>
      <w:tblGrid>
        <w:gridCol w:w="826"/>
        <w:gridCol w:w="109"/>
        <w:gridCol w:w="6001"/>
      </w:tblGrid>
      <w:tr>
        <w:trPr/>
        <w:tc>
          <w:tcPr>
            <w:tcW w:w="6936" w:type="dxa"/>
            <w:gridSpan w:val="3"/>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If to Party B:  Wei Li</w:t>
            </w:r>
          </w:p>
        </w:tc>
      </w:tr>
      <w:tr>
        <w:trPr/>
        <w:tc>
          <w:tcPr>
            <w:tcW w:w="6936" w:type="dxa"/>
            <w:gridSpan w:val="3"/>
            <w:tcBorders/>
            <w:vAlign w:val="center"/>
          </w:tcPr>
          <w:p>
            <w:pPr>
              <w:pStyle w:val="TableContents"/>
              <w:bidi w:val="0"/>
              <w:spacing w:before="0" w:after="0"/>
              <w:ind w:left="0" w:right="0" w:hanging="0"/>
              <w:jc w:val="both"/>
              <w:rPr/>
            </w:pPr>
            <w:r>
              <w:rPr/>
              <w:t>​</w:t>
            </w:r>
          </w:p>
        </w:tc>
      </w:tr>
      <w:tr>
        <w:trPr/>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Address:</w:t>
            </w:r>
          </w:p>
        </w:tc>
        <w:tc>
          <w:tcPr>
            <w:tcW w:w="109" w:type="dxa"/>
            <w:tcBorders/>
            <w:vAlign w:val="center"/>
          </w:tcPr>
          <w:p>
            <w:pPr>
              <w:pStyle w:val="TableContents"/>
              <w:bidi w:val="0"/>
              <w:spacing w:before="0" w:after="0"/>
              <w:ind w:left="0" w:right="0" w:hanging="0"/>
              <w:jc w:val="both"/>
              <w:rPr/>
            </w:pPr>
            <w:r>
              <w:rPr/>
              <w:t>​</w:t>
            </w:r>
          </w:p>
        </w:tc>
        <w:tc>
          <w:tcPr>
            <w:tcW w:w="60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 399 Wangshang Road, Changhe Street, Binjiang District, Hangzhou</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805"/>
        <w:gridCol w:w="109"/>
        <w:gridCol w:w="9291"/>
      </w:tblGrid>
      <w:tr>
        <w:trPr/>
        <w:tc>
          <w:tcPr>
            <w:tcW w:w="10205" w:type="dxa"/>
            <w:gridSpan w:val="3"/>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If to Party C: Hangzhou Yuedu Technology Co., Ltd.</w:t>
            </w:r>
          </w:p>
        </w:tc>
      </w:tr>
      <w:tr>
        <w:trPr/>
        <w:tc>
          <w:tcPr>
            <w:tcW w:w="10205" w:type="dxa"/>
            <w:gridSpan w:val="3"/>
            <w:tcBorders/>
            <w:vAlign w:val="center"/>
          </w:tcPr>
          <w:p>
            <w:pPr>
              <w:pStyle w:val="TableContents"/>
              <w:bidi w:val="0"/>
              <w:spacing w:before="0" w:after="0"/>
              <w:ind w:left="0" w:right="0" w:hanging="0"/>
              <w:jc w:val="both"/>
              <w:rPr/>
            </w:pPr>
            <w:r>
              <w:rPr/>
              <w:t>​</w:t>
            </w:r>
          </w:p>
        </w:tc>
      </w:tr>
      <w:tr>
        <w:trPr/>
        <w:tc>
          <w:tcPr>
            <w:tcW w:w="8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Address:</w:t>
            </w:r>
          </w:p>
        </w:tc>
        <w:tc>
          <w:tcPr>
            <w:tcW w:w="109" w:type="dxa"/>
            <w:tcBorders/>
            <w:vAlign w:val="center"/>
          </w:tcPr>
          <w:p>
            <w:pPr>
              <w:pStyle w:val="TableContents"/>
              <w:bidi w:val="0"/>
              <w:spacing w:before="0" w:after="0"/>
              <w:ind w:left="0" w:right="0" w:hanging="0"/>
              <w:jc w:val="both"/>
              <w:rPr/>
            </w:pPr>
            <w:r>
              <w:rPr/>
              <w:t>​</w:t>
            </w:r>
          </w:p>
        </w:tc>
        <w:tc>
          <w:tcPr>
            <w:tcW w:w="929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Room 1202, Block A, Hangzhou International Expo Center, No. 353 Benjing Avenue, Qianjiang Century City, Ningwei Street, Xiaoshan District, Hangzhou, Zhejiang</w:t>
            </w:r>
          </w:p>
        </w:tc>
      </w:tr>
    </w:tbl>
    <w:p>
      <w:pPr>
        <w:pStyle w:val="TextBody"/>
        <w:bidi w:val="0"/>
        <w:spacing w:before="0" w:after="240"/>
        <w:ind w:left="0" w:right="0" w:hanging="0"/>
        <w:jc w:val="both"/>
        <w:rPr/>
      </w:pPr>
      <w:r>
        <w:rPr/>
        <w:t>​</w:t>
      </w:r>
    </w:p>
    <w:tbl>
      <w:tblPr>
        <w:tblW w:w="1825" w:type="dxa"/>
        <w:jc w:val="left"/>
        <w:tblInd w:w="0" w:type="dxa"/>
        <w:tblLayout w:type="fixed"/>
        <w:tblCellMar>
          <w:top w:w="0" w:type="dxa"/>
          <w:left w:w="0" w:type="dxa"/>
          <w:bottom w:w="0" w:type="dxa"/>
          <w:right w:w="0" w:type="dxa"/>
        </w:tblCellMar>
      </w:tblPr>
      <w:tblGrid>
        <w:gridCol w:w="275"/>
        <w:gridCol w:w="1550"/>
      </w:tblGrid>
      <w:tr>
        <w:trPr/>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10.</w:t>
            </w:r>
          </w:p>
        </w:tc>
        <w:tc>
          <w:tcPr>
            <w:tcW w:w="1550" w:type="dxa"/>
            <w:tcBorders/>
            <w:vAlign w:val="center"/>
          </w:tcPr>
          <w:p>
            <w:pPr>
              <w:pStyle w:val="TableContents"/>
              <w:bidi w:val="0"/>
              <w:spacing w:before="0" w:after="240"/>
              <w:jc w:val="both"/>
              <w:rPr>
                <w:rFonts w:ascii="Times New Roman;Times;serif" w:hAnsi="Times New Roman;Times;serif"/>
                <w:sz w:val="20"/>
                <w:u w:val="single"/>
              </w:rPr>
            </w:pPr>
            <w:r>
              <w:rPr>
                <w:rFonts w:ascii="Times New Roman;Times;serif" w:hAnsi="Times New Roman;Times;serif"/>
                <w:sz w:val="20"/>
                <w:u w:val="single"/>
              </w:rPr>
              <w:t>Further Assurances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Parties agree to promptly execute documents and take further actions that are reasonably required for, or beneficial to, the purpose of performing the provisions and carrying out the intent of this Agreement.</w:t>
      </w:r>
    </w:p>
    <w:tbl>
      <w:tblPr>
        <w:tblW w:w="1480" w:type="dxa"/>
        <w:jc w:val="left"/>
        <w:tblInd w:w="0" w:type="dxa"/>
        <w:tblLayout w:type="fixed"/>
        <w:tblCellMar>
          <w:top w:w="0" w:type="dxa"/>
          <w:left w:w="0" w:type="dxa"/>
          <w:bottom w:w="0" w:type="dxa"/>
          <w:right w:w="0" w:type="dxa"/>
        </w:tblCellMar>
      </w:tblPr>
      <w:tblGrid>
        <w:gridCol w:w="275"/>
        <w:gridCol w:w="1205"/>
      </w:tblGrid>
      <w:tr>
        <w:trPr/>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11.</w:t>
            </w:r>
          </w:p>
        </w:tc>
        <w:tc>
          <w:tcPr>
            <w:tcW w:w="1205" w:type="dxa"/>
            <w:tcBorders/>
            <w:vAlign w:val="center"/>
          </w:tcPr>
          <w:p>
            <w:pPr>
              <w:pStyle w:val="TableContents"/>
              <w:bidi w:val="0"/>
              <w:spacing w:before="0" w:after="240"/>
              <w:jc w:val="both"/>
              <w:rPr>
                <w:rFonts w:ascii="Times New Roman;Times;serif" w:hAnsi="Times New Roman;Times;serif"/>
                <w:sz w:val="20"/>
                <w:u w:val="single"/>
              </w:rPr>
            </w:pPr>
            <w:r>
              <w:rPr>
                <w:rFonts w:ascii="Times New Roman;Times;serif" w:hAnsi="Times New Roman;Times;serif"/>
                <w:sz w:val="20"/>
                <w:u w:val="single"/>
              </w:rPr>
              <w:t>Miscellaneous</w:t>
            </w:r>
          </w:p>
        </w:tc>
      </w:tr>
    </w:tbl>
    <w:tbl>
      <w:tblPr>
        <w:tblW w:w="3813" w:type="dxa"/>
        <w:jc w:val="left"/>
        <w:tblInd w:w="0" w:type="dxa"/>
        <w:tblLayout w:type="fixed"/>
        <w:tblCellMar>
          <w:top w:w="0" w:type="dxa"/>
          <w:left w:w="0" w:type="dxa"/>
          <w:bottom w:w="0" w:type="dxa"/>
          <w:right w:w="0" w:type="dxa"/>
        </w:tblCellMar>
      </w:tblPr>
      <w:tblGrid>
        <w:gridCol w:w="23"/>
        <w:gridCol w:w="380"/>
        <w:gridCol w:w="3410"/>
      </w:tblGrid>
      <w:tr>
        <w:trPr/>
        <w:tc>
          <w:tcPr>
            <w:tcW w:w="2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11.1</w:t>
            </w:r>
          </w:p>
        </w:tc>
        <w:tc>
          <w:tcPr>
            <w:tcW w:w="341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Amendment, Modification or Supplement</w:t>
            </w:r>
          </w:p>
        </w:tc>
      </w:tr>
    </w:tbl>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Any amendment or supplement to this Agreement shall be made by the Parties in writing. The amendments or supplements duly executed by each Party shall be deemed as a part of this Agreement and shall have the same legal effect as this Agreement.</w:t>
      </w:r>
    </w:p>
    <w:tbl>
      <w:tblPr>
        <w:tblW w:w="1848" w:type="dxa"/>
        <w:jc w:val="left"/>
        <w:tblInd w:w="0" w:type="dxa"/>
        <w:tblLayout w:type="fixed"/>
        <w:tblCellMar>
          <w:top w:w="0" w:type="dxa"/>
          <w:left w:w="0" w:type="dxa"/>
          <w:bottom w:w="0" w:type="dxa"/>
          <w:right w:w="0" w:type="dxa"/>
        </w:tblCellMar>
      </w:tblPr>
      <w:tblGrid>
        <w:gridCol w:w="23"/>
        <w:gridCol w:w="380"/>
        <w:gridCol w:w="1445"/>
      </w:tblGrid>
      <w:tr>
        <w:trPr/>
        <w:tc>
          <w:tcPr>
            <w:tcW w:w="2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11.2</w:t>
            </w:r>
          </w:p>
        </w:tc>
        <w:tc>
          <w:tcPr>
            <w:tcW w:w="14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Entire Agreement</w:t>
            </w:r>
          </w:p>
        </w:tc>
      </w:tr>
    </w:tbl>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The Parties acknowledge that once this Agreement becomes effective, it shall constitute the entire agreement of the Parties with respect to the subject matters hereof and shall supersede all prior oral and/or written agreements and understandings by the Parties with respect to the subject matters hereof.</w:t>
      </w:r>
    </w:p>
    <w:tbl>
      <w:tblPr>
        <w:tblW w:w="1413" w:type="dxa"/>
        <w:jc w:val="left"/>
        <w:tblInd w:w="0" w:type="dxa"/>
        <w:tblLayout w:type="fixed"/>
        <w:tblCellMar>
          <w:top w:w="0" w:type="dxa"/>
          <w:left w:w="0" w:type="dxa"/>
          <w:bottom w:w="0" w:type="dxa"/>
          <w:right w:w="0" w:type="dxa"/>
        </w:tblCellMar>
      </w:tblPr>
      <w:tblGrid>
        <w:gridCol w:w="23"/>
        <w:gridCol w:w="380"/>
        <w:gridCol w:w="1010"/>
      </w:tblGrid>
      <w:tr>
        <w:trPr/>
        <w:tc>
          <w:tcPr>
            <w:tcW w:w="2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11.3</w:t>
            </w:r>
          </w:p>
        </w:tc>
        <w:tc>
          <w:tcPr>
            <w:tcW w:w="101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Severability</w:t>
            </w:r>
          </w:p>
        </w:tc>
      </w:tr>
    </w:tbl>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If any provision of this Agreement is judged to be invalid, illegal or unenforceable in any respect according to any applicable law or regulation, the validity, legality and enforceability of the other provisions hereof shall not be affected or impaired in any way. The Parties shall, through good-faith negotiations, replace those invalid, illegal or unenforceable provisions with valid provisions that may bring about economic effects as similar as possible to those from such invalid, illegal or unenforceable provisions.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r>
        <w:rPr/>
        <w:t>​</w:t>
      </w:r>
    </w:p>
    <w:tbl>
      <w:tblPr>
        <w:tblW w:w="1188" w:type="dxa"/>
        <w:jc w:val="left"/>
        <w:tblInd w:w="0" w:type="dxa"/>
        <w:tblLayout w:type="fixed"/>
        <w:tblCellMar>
          <w:top w:w="0" w:type="dxa"/>
          <w:left w:w="0" w:type="dxa"/>
          <w:bottom w:w="0" w:type="dxa"/>
          <w:right w:w="0" w:type="dxa"/>
        </w:tblCellMar>
      </w:tblPr>
      <w:tblGrid>
        <w:gridCol w:w="23"/>
        <w:gridCol w:w="380"/>
        <w:gridCol w:w="785"/>
      </w:tblGrid>
      <w:tr>
        <w:trPr/>
        <w:tc>
          <w:tcPr>
            <w:tcW w:w="2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11.4</w:t>
            </w:r>
          </w:p>
        </w:tc>
        <w:tc>
          <w:tcPr>
            <w:tcW w:w="78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Headings</w:t>
            </w:r>
          </w:p>
        </w:tc>
      </w:tr>
    </w:tbl>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The headings contained in this Agreement are for the convenience of reference only and shall not be used for the interpretation or explanation or otherwise affect the meaning of the provisions of this Agreement.</w:t>
      </w:r>
    </w:p>
    <w:tbl>
      <w:tblPr>
        <w:tblW w:w="1218" w:type="dxa"/>
        <w:jc w:val="left"/>
        <w:tblInd w:w="0" w:type="dxa"/>
        <w:tblLayout w:type="fixed"/>
        <w:tblCellMar>
          <w:top w:w="0" w:type="dxa"/>
          <w:left w:w="0" w:type="dxa"/>
          <w:bottom w:w="0" w:type="dxa"/>
          <w:right w:w="0" w:type="dxa"/>
        </w:tblCellMar>
      </w:tblPr>
      <w:tblGrid>
        <w:gridCol w:w="23"/>
        <w:gridCol w:w="380"/>
        <w:gridCol w:w="815"/>
      </w:tblGrid>
      <w:tr>
        <w:trPr/>
        <w:tc>
          <w:tcPr>
            <w:tcW w:w="2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11.5</w:t>
            </w:r>
          </w:p>
        </w:tc>
        <w:tc>
          <w:tcPr>
            <w:tcW w:w="81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Successor</w:t>
            </w:r>
          </w:p>
        </w:tc>
      </w:tr>
    </w:tbl>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This Agreement shall bind upon and inure to the benefit of the successors and permitted assigns of each Party. In the event of Party B’s death or incapacity, the terms of this Agreement shall be binding upon the executors, administrators, heirs and successors of Party B. Any Equity Interest held by Party B shall not be part of Party B’s estate upon death or incapacity and shall not pass to Party B’s heirs or successors. Upon Party B’s death or incapacity, any Equity Interest held by Party B shall be transferred to Party A or its Designated Persons.</w:t>
      </w:r>
    </w:p>
    <w:tbl>
      <w:tblPr>
        <w:tblW w:w="1113" w:type="dxa"/>
        <w:jc w:val="left"/>
        <w:tblInd w:w="0" w:type="dxa"/>
        <w:tblLayout w:type="fixed"/>
        <w:tblCellMar>
          <w:top w:w="0" w:type="dxa"/>
          <w:left w:w="0" w:type="dxa"/>
          <w:bottom w:w="0" w:type="dxa"/>
          <w:right w:w="0" w:type="dxa"/>
        </w:tblCellMar>
      </w:tblPr>
      <w:tblGrid>
        <w:gridCol w:w="23"/>
        <w:gridCol w:w="380"/>
        <w:gridCol w:w="710"/>
      </w:tblGrid>
      <w:tr>
        <w:trPr/>
        <w:tc>
          <w:tcPr>
            <w:tcW w:w="2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11.6</w:t>
            </w:r>
          </w:p>
        </w:tc>
        <w:tc>
          <w:tcPr>
            <w:tcW w:w="71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Survival</w:t>
            </w:r>
          </w:p>
        </w:tc>
      </w:tr>
    </w:tbl>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Any obligation arising from or becoming due under this Agreement before its expiration or premature termination shall survive such expiration or premature termination. Articles 6, 8, 9 and 10 and this Article 11.6 shall survive the termination of this Agreement.</w:t>
      </w:r>
    </w:p>
    <w:tbl>
      <w:tblPr>
        <w:tblW w:w="1008" w:type="dxa"/>
        <w:jc w:val="left"/>
        <w:tblInd w:w="0" w:type="dxa"/>
        <w:tblLayout w:type="fixed"/>
        <w:tblCellMar>
          <w:top w:w="0" w:type="dxa"/>
          <w:left w:w="0" w:type="dxa"/>
          <w:bottom w:w="0" w:type="dxa"/>
          <w:right w:w="0" w:type="dxa"/>
        </w:tblCellMar>
      </w:tblPr>
      <w:tblGrid>
        <w:gridCol w:w="23"/>
        <w:gridCol w:w="380"/>
        <w:gridCol w:w="605"/>
      </w:tblGrid>
      <w:tr>
        <w:trPr/>
        <w:tc>
          <w:tcPr>
            <w:tcW w:w="2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11.7</w:t>
            </w:r>
          </w:p>
        </w:tc>
        <w:tc>
          <w:tcPr>
            <w:tcW w:w="60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Waiver</w:t>
            </w:r>
          </w:p>
        </w:tc>
      </w:tr>
    </w:tbl>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Any Party may waive the terms and conditions of this Agreement by a written instrument signed by the Parties. Any waiver by a Party to a breach by the other Parties in a specific situation shall not be construed as a waiver to any similar breach by the other Parties in other situations.</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IN WITNESS WHEREOF</w:t>
      </w:r>
      <w:r>
        <w:rPr>
          <w:rFonts w:ascii="Times New Roman;Times;serif" w:hAnsi="Times New Roman;Times;serif"/>
          <w:sz w:val="20"/>
        </w:rPr>
        <w:t>, each Party has caused this Agreement to be executed by himself/herself, its legal representative or its duly authorized representative as of the date first written above.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page follows</w:t>
      </w:r>
      <w:r>
        <w:rPr>
          <w:rFonts w:ascii="Times New Roman;Times;serif" w:hAnsi="Times New Roman;Times;serif"/>
          <w:sz w:val="20"/>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r>
        <w:rPr/>
        <w:t>​</w:t>
      </w:r>
    </w:p>
    <w:tbl>
      <w:tblPr>
        <w:tblW w:w="5459" w:type="dxa"/>
        <w:jc w:val="left"/>
        <w:tblInd w:w="0" w:type="dxa"/>
        <w:tblLayout w:type="fixed"/>
        <w:tblCellMar>
          <w:top w:w="0" w:type="dxa"/>
          <w:left w:w="0" w:type="dxa"/>
          <w:bottom w:w="0" w:type="dxa"/>
          <w:right w:w="0" w:type="dxa"/>
        </w:tblCellMar>
      </w:tblPr>
      <w:tblGrid>
        <w:gridCol w:w="936"/>
        <w:gridCol w:w="4249"/>
        <w:gridCol w:w="274"/>
      </w:tblGrid>
      <w:tr>
        <w:trPr/>
        <w:tc>
          <w:tcPr>
            <w:tcW w:w="936" w:type="dxa"/>
            <w:tcBorders/>
            <w:vAlign w:val="center"/>
          </w:tcPr>
          <w:p>
            <w:pPr>
              <w:pStyle w:val="TableContents"/>
              <w:bidi w:val="0"/>
              <w:spacing w:before="0" w:after="0"/>
              <w:ind w:left="0" w:right="0" w:hanging="0"/>
              <w:jc w:val="left"/>
              <w:rPr/>
            </w:pPr>
            <w:r>
              <w:rPr/>
              <w:t>​</w:t>
            </w:r>
          </w:p>
        </w:tc>
        <w:tc>
          <w:tcPr>
            <w:tcW w:w="4249"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r>
      <w:tr>
        <w:trPr/>
        <w:tc>
          <w:tcPr>
            <w:tcW w:w="5459" w:type="dxa"/>
            <w:gridSpan w:val="3"/>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Party A: Hangzhou NetEase Cloud Music Technology Co., Ltd.</w:t>
            </w:r>
          </w:p>
        </w:tc>
      </w:tr>
      <w:tr>
        <w:trPr/>
        <w:tc>
          <w:tcPr>
            <w:tcW w:w="5459" w:type="dxa"/>
            <w:gridSpan w:val="3"/>
            <w:tcBorders/>
            <w:vAlign w:val="center"/>
          </w:tcPr>
          <w:p>
            <w:pPr>
              <w:pStyle w:val="TableContents"/>
              <w:bidi w:val="0"/>
              <w:spacing w:before="0" w:after="0"/>
              <w:ind w:left="0" w:right="0" w:hanging="0"/>
              <w:jc w:val="left"/>
              <w:rPr/>
            </w:pPr>
            <w:r>
              <w:rPr/>
              <w:t>​</w:t>
            </w:r>
          </w:p>
        </w:tc>
      </w:tr>
      <w:tr>
        <w:trPr/>
        <w:tc>
          <w:tcPr>
            <w:tcW w:w="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Seal:</w:t>
            </w:r>
          </w:p>
        </w:tc>
        <w:tc>
          <w:tcPr>
            <w:tcW w:w="424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Company chop is affixed</w:t>
            </w:r>
          </w:p>
        </w:tc>
        <w:tc>
          <w:tcPr>
            <w:tcW w:w="27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2016" w:type="dxa"/>
        <w:jc w:val="left"/>
        <w:tblInd w:w="0" w:type="dxa"/>
        <w:tblLayout w:type="fixed"/>
        <w:tblCellMar>
          <w:top w:w="0" w:type="dxa"/>
          <w:left w:w="0" w:type="dxa"/>
          <w:bottom w:w="0" w:type="dxa"/>
          <w:right w:w="0" w:type="dxa"/>
        </w:tblCellMar>
      </w:tblPr>
      <w:tblGrid>
        <w:gridCol w:w="961"/>
        <w:gridCol w:w="901"/>
        <w:gridCol w:w="154"/>
      </w:tblGrid>
      <w:tr>
        <w:trPr/>
        <w:tc>
          <w:tcPr>
            <w:tcW w:w="2016" w:type="dxa"/>
            <w:gridSpan w:val="3"/>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Party B: Wei Li</w:t>
            </w:r>
          </w:p>
        </w:tc>
      </w:tr>
      <w:tr>
        <w:trPr/>
        <w:tc>
          <w:tcPr>
            <w:tcW w:w="2016" w:type="dxa"/>
            <w:gridSpan w:val="3"/>
            <w:tcBorders/>
            <w:vAlign w:val="center"/>
          </w:tcPr>
          <w:p>
            <w:pPr>
              <w:pStyle w:val="TableContents"/>
              <w:bidi w:val="0"/>
              <w:spacing w:before="0" w:after="0"/>
              <w:ind w:left="0" w:right="0" w:hanging="0"/>
              <w:jc w:val="left"/>
              <w:rPr/>
            </w:pPr>
            <w:r>
              <w:rPr/>
              <w:t>​</w:t>
            </w:r>
          </w:p>
        </w:tc>
      </w:tr>
      <w:tr>
        <w:trPr/>
        <w:tc>
          <w:tcPr>
            <w:tcW w:w="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Wei Li</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tbl>
      <w:tblPr>
        <w:tblW w:w="4309" w:type="dxa"/>
        <w:jc w:val="left"/>
        <w:tblInd w:w="0" w:type="dxa"/>
        <w:tblLayout w:type="fixed"/>
        <w:tblCellMar>
          <w:top w:w="0" w:type="dxa"/>
          <w:left w:w="0" w:type="dxa"/>
          <w:bottom w:w="0" w:type="dxa"/>
          <w:right w:w="0" w:type="dxa"/>
        </w:tblCellMar>
      </w:tblPr>
      <w:tblGrid>
        <w:gridCol w:w="750"/>
        <w:gridCol w:w="3405"/>
        <w:gridCol w:w="154"/>
      </w:tblGrid>
      <w:tr>
        <w:trPr/>
        <w:tc>
          <w:tcPr>
            <w:tcW w:w="4155" w:type="dxa"/>
            <w:gridSpan w:val="2"/>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Party C: Hangzhou Yuedu Technology Co., Ltd.</w:t>
            </w:r>
          </w:p>
        </w:tc>
        <w:tc>
          <w:tcPr>
            <w:tcW w:w="154" w:type="dxa"/>
            <w:tcBorders/>
            <w:vAlign w:val="center"/>
          </w:tcPr>
          <w:p>
            <w:pPr>
              <w:pStyle w:val="TableContents"/>
              <w:bidi w:val="0"/>
              <w:spacing w:before="0" w:after="0"/>
              <w:ind w:left="0" w:right="0" w:hanging="0"/>
              <w:jc w:val="both"/>
              <w:rPr/>
            </w:pPr>
            <w:r>
              <w:rPr/>
              <w:t>​</w:t>
            </w:r>
          </w:p>
        </w:tc>
      </w:tr>
      <w:tr>
        <w:trPr/>
        <w:tc>
          <w:tcPr>
            <w:tcW w:w="4155" w:type="dxa"/>
            <w:gridSpan w:val="2"/>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75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Seal:</w:t>
            </w:r>
          </w:p>
        </w:tc>
        <w:tc>
          <w:tcPr>
            <w:tcW w:w="3405"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Company chop is affixed</w:t>
            </w:r>
          </w:p>
        </w:tc>
        <w:tc>
          <w:tcPr>
            <w:tcW w:w="154" w:type="dxa"/>
            <w:tcBorders/>
            <w:vAlign w:val="center"/>
          </w:tcPr>
          <w:p>
            <w:pPr>
              <w:pStyle w:val="TableContents"/>
              <w:bidi w:val="0"/>
              <w:spacing w:before="0" w:after="0"/>
              <w:ind w:left="0" w:right="0" w:hanging="0"/>
              <w:jc w:val="both"/>
              <w:rPr/>
            </w:pPr>
            <w:r>
              <w:rPr/>
              <w:t>​</w:t>
            </w:r>
          </w:p>
        </w:tc>
      </w:tr>
    </w:tbl>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A</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Form of Notice</w:t>
      </w:r>
    </w:p>
    <w:tbl>
      <w:tblPr>
        <w:tblW w:w="785" w:type="dxa"/>
        <w:jc w:val="left"/>
        <w:tblInd w:w="0" w:type="dxa"/>
        <w:tblLayout w:type="fixed"/>
        <w:tblCellMar>
          <w:top w:w="0" w:type="dxa"/>
          <w:left w:w="0" w:type="dxa"/>
          <w:bottom w:w="0" w:type="dxa"/>
          <w:right w:w="0" w:type="dxa"/>
        </w:tblCellMar>
      </w:tblPr>
      <w:tblGrid>
        <w:gridCol w:w="124"/>
        <w:gridCol w:w="661"/>
      </w:tblGrid>
      <w:tr>
        <w:trPr/>
        <w:tc>
          <w:tcPr>
            <w:tcW w:w="124"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Date</w:t>
            </w:r>
            <w:r>
              <w:rPr>
                <w:rFonts w:ascii="Times New Roman;Times;serif" w:hAnsi="Times New Roman;Times;serif"/>
                <w:sz w:val="20"/>
              </w:rPr>
              <w:t>]</w:t>
            </w:r>
          </w:p>
        </w:tc>
      </w:tr>
      <w:tr>
        <w:trPr/>
        <w:tc>
          <w:tcPr>
            <w:tcW w:w="124"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Dear Wei Li,</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Exclusive Purchase Option Agreement between us executed on November 2, 2023 (the “</w:t>
      </w:r>
      <w:r>
        <w:rPr>
          <w:rFonts w:ascii="Times New Roman;Times;serif" w:hAnsi="Times New Roman;Times;serif"/>
          <w:b/>
          <w:i/>
          <w:sz w:val="20"/>
        </w:rPr>
        <w:t>Option Agreement</w:t>
      </w:r>
      <w:r>
        <w:rPr>
          <w:rFonts w:ascii="Times New Roman;Times;serif" w:hAnsi="Times New Roman;Times;serif"/>
          <w:sz w:val="20"/>
        </w:rPr>
        <w:t>”), you agreed to transfer to us or our Designated Person(s) certain equity interests or assets upon notice from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letter serves as our notice to you under Article 1.2.1 of the Option Agreement, and we hereby notify you that we wish to purchase from you the following [</w:t>
      </w:r>
      <w:r>
        <w:rPr>
          <w:rFonts w:ascii="Times New Roman;Times;serif" w:hAnsi="Times New Roman;Times;serif"/>
          <w:i/>
          <w:sz w:val="20"/>
        </w:rPr>
        <w:t>equity interests / assets</w:t>
      </w:r>
      <w:r>
        <w:rPr>
          <w:rFonts w:ascii="Times New Roman;Times;serif" w:hAnsi="Times New Roman;Times;serif"/>
          <w:sz w:val="20"/>
        </w:rPr>
        <w:t>], which constitute the Purchased Interest under Article 1.2.1 of the Option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[All / </w:t>
      </w:r>
      <w:r>
        <w:rPr>
          <w:rFonts w:ascii="Times New Roman;Times;serif" w:hAnsi="Times New Roman;Times;serif"/>
          <w:sz w:val="20"/>
          <w:u w:val="single"/>
        </w:rPr>
        <w:t>     </w:t>
      </w:r>
      <w:r>
        <w:rPr>
          <w:rFonts w:ascii="Times New Roman;Times;serif" w:hAnsi="Times New Roman;Times;serif"/>
          <w:sz w:val="20"/>
        </w:rPr>
        <w:t>% of the shares in Hangzhou Yuedu Technology Co., Ltd.]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[All the assets of Hangzhou Yuedu Technology Co., Ltd. / The following assets of Hangzhou Yuedu Technology Co., Ltd.: </w:t>
      </w:r>
      <w:r>
        <w:rPr>
          <w:rFonts w:ascii="Times New Roman;Times;serif" w:hAnsi="Times New Roman;Times;serif"/>
          <w:sz w:val="20"/>
          <w:u w:val="single"/>
        </w:rPr>
        <w:t>                                                                                                                                                                                                                                                                                                                                                 </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consideration for the Purchased Interest, the Purchase Price (as defined in Article 1.3 of the Option Agreement) of the Purchased Interest will be RMB </w:t>
      </w:r>
      <w:r>
        <w:rPr>
          <w:rFonts w:ascii="Times New Roman;Times;serif" w:hAnsi="Times New Roman;Times;serif"/>
          <w:sz w:val="20"/>
          <w:u w:val="single"/>
        </w:rPr>
        <w:t>                 </w:t>
      </w:r>
      <w:r>
        <w:rPr>
          <w:rFonts w:ascii="Times New Roman;Times;serif" w:hAnsi="Times New Roman;Times;serif"/>
          <w:sz w:val="20"/>
        </w:rPr>
        <w:t>.  We shall handle payment of the Purchase Price pursuant to Article 1.5 of the Option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Please assist us in arranging for the transfer of the Purchased Interest to [</w:t>
      </w:r>
      <w:r>
        <w:rPr>
          <w:rFonts w:ascii="Times New Roman;Times;serif" w:hAnsi="Times New Roman;Times;serif"/>
          <w:i/>
          <w:sz w:val="20"/>
        </w:rPr>
        <w:t>us / our Designated Person(s), which is/are</w:t>
      </w:r>
      <w:r>
        <w:rPr>
          <w:rFonts w:ascii="Times New Roman;Times;serif" w:hAnsi="Times New Roman;Times;serif"/>
          <w:sz w:val="20"/>
        </w:rPr>
        <w:t xml:space="preserve"> </w:t>
      </w:r>
      <w:r>
        <w:rPr>
          <w:rFonts w:ascii="Times New Roman;Times;serif" w:hAnsi="Times New Roman;Times;serif"/>
          <w:sz w:val="20"/>
          <w:u w:val="single"/>
        </w:rPr>
        <w:t>                                                              </w:t>
      </w:r>
      <w:r>
        <w:rPr>
          <w:rFonts w:ascii="Times New Roman;Times;serif" w:hAnsi="Times New Roman;Times;serif"/>
          <w:sz w:val="20"/>
        </w:rPr>
        <w:t>].   Such transfer should occur no later than forty-five (45) business days after the date hereof</w:t>
      </w:r>
    </w:p>
    <w:tbl>
      <w:tblPr>
        <w:tblW w:w="2930" w:type="dxa"/>
        <w:jc w:val="left"/>
        <w:tblInd w:w="0" w:type="dxa"/>
        <w:tblLayout w:type="fixed"/>
        <w:tblCellMar>
          <w:top w:w="0" w:type="dxa"/>
          <w:left w:w="0" w:type="dxa"/>
          <w:bottom w:w="0" w:type="dxa"/>
          <w:right w:w="0" w:type="dxa"/>
        </w:tblCellMar>
      </w:tblPr>
      <w:tblGrid>
        <w:gridCol w:w="124"/>
        <w:gridCol w:w="2806"/>
      </w:tblGrid>
      <w:tr>
        <w:trPr/>
        <w:tc>
          <w:tcPr>
            <w:tcW w:w="124" w:type="dxa"/>
            <w:tcBorders/>
            <w:vAlign w:val="center"/>
          </w:tcPr>
          <w:p>
            <w:pPr>
              <w:pStyle w:val="TableContents"/>
              <w:bidi w:val="0"/>
              <w:spacing w:before="0" w:after="0"/>
              <w:ind w:left="0" w:right="0" w:hanging="0"/>
              <w:jc w:val="both"/>
              <w:rPr/>
            </w:pPr>
            <w:r>
              <w:rPr/>
              <w:t>​</w:t>
            </w:r>
          </w:p>
        </w:tc>
        <w:tc>
          <w:tcPr>
            <w:tcW w:w="28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Sincerely,</w:t>
            </w:r>
          </w:p>
        </w:tc>
      </w:tr>
      <w:tr>
        <w:trPr/>
        <w:tc>
          <w:tcPr>
            <w:tcW w:w="124" w:type="dxa"/>
            <w:tcBorders/>
            <w:vAlign w:val="center"/>
          </w:tcPr>
          <w:p>
            <w:pPr>
              <w:pStyle w:val="TableContents"/>
              <w:bidi w:val="0"/>
              <w:spacing w:before="0" w:after="0"/>
              <w:ind w:left="0" w:right="0" w:hanging="0"/>
              <w:jc w:val="both"/>
              <w:rPr/>
            </w:pPr>
            <w:r>
              <w:rPr/>
              <w:t>​</w:t>
            </w:r>
          </w:p>
        </w:tc>
        <w:tc>
          <w:tcPr>
            <w:tcW w:w="2806" w:type="dxa"/>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both"/>
              <w:rPr/>
            </w:pPr>
            <w:r>
              <w:rPr/>
              <w:t>​</w:t>
            </w:r>
          </w:p>
        </w:tc>
        <w:tc>
          <w:tcPr>
            <w:tcW w:w="28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Hangzhou NetEase Cloud Music</w:t>
            </w:r>
          </w:p>
        </w:tc>
      </w:tr>
      <w:tr>
        <w:trPr/>
        <w:tc>
          <w:tcPr>
            <w:tcW w:w="124" w:type="dxa"/>
            <w:tcBorders/>
            <w:vAlign w:val="center"/>
          </w:tcPr>
          <w:p>
            <w:pPr>
              <w:pStyle w:val="TableContents"/>
              <w:bidi w:val="0"/>
              <w:spacing w:before="0" w:after="0"/>
              <w:ind w:left="0" w:right="0" w:hanging="0"/>
              <w:jc w:val="both"/>
              <w:rPr/>
            </w:pPr>
            <w:r>
              <w:rPr/>
              <w:t>​</w:t>
            </w:r>
          </w:p>
        </w:tc>
        <w:tc>
          <w:tcPr>
            <w:tcW w:w="28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Technology Co., Ltd.</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B</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Form of Power of Attorney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 hereby irrevocably appoint the person designated by Hangzhou NetEase Cloud Music Technology Co., Ltd., as my proxy, to sign and deliver any and all legal documents that are necessary or useful to effect any exercise of an option to purchase any equity interests or assets pursuant to the Exclusive Purchase Option Agreement between Hangzhou NetEase Cloud Music Technology Co., Ltd., Wei Li and Hangzhou Yuedu Technology Co., Ltd. executed on November 2, 2023.</w:t>
      </w:r>
    </w:p>
    <w:tbl>
      <w:tblPr>
        <w:tblW w:w="1386" w:type="dxa"/>
        <w:jc w:val="left"/>
        <w:tblInd w:w="0" w:type="dxa"/>
        <w:tblLayout w:type="fixed"/>
        <w:tblCellMar>
          <w:top w:w="0" w:type="dxa"/>
          <w:left w:w="0" w:type="dxa"/>
          <w:bottom w:w="0" w:type="dxa"/>
          <w:right w:w="0" w:type="dxa"/>
        </w:tblCellMar>
      </w:tblPr>
      <w:tblGrid>
        <w:gridCol w:w="124"/>
        <w:gridCol w:w="556"/>
        <w:gridCol w:w="706"/>
      </w:tblGrid>
      <w:tr>
        <w:trPr/>
        <w:tc>
          <w:tcPr>
            <w:tcW w:w="124" w:type="dxa"/>
            <w:vMerge w:val="restart"/>
            <w:tcBorders/>
            <w:vAlign w:val="center"/>
          </w:tcPr>
          <w:p>
            <w:pPr>
              <w:pStyle w:val="TableContents"/>
              <w:bidi w:val="0"/>
              <w:spacing w:before="0" w:after="0"/>
              <w:ind w:left="0" w:right="0" w:hanging="0"/>
              <w:jc w:val="both"/>
              <w:rPr/>
            </w:pPr>
            <w:r>
              <w:rPr/>
              <w:t>​</w:t>
            </w:r>
          </w:p>
        </w:tc>
        <w:tc>
          <w:tcPr>
            <w:tcW w:w="55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70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4" w:type="dxa"/>
            <w:vMerge w:val="continue"/>
            <w:tcBorders/>
            <w:vAlign w:val="center"/>
          </w:tcPr>
          <w:p>
            <w:pPr>
              <w:pStyle w:val="Normal"/>
              <w:bidi w:val="0"/>
              <w:jc w:val="left"/>
              <w:rPr/>
            </w:pPr>
            <w:r>
              <w:rPr/>
            </w:r>
          </w:p>
        </w:tc>
        <w:tc>
          <w:tcPr>
            <w:tcW w:w="556" w:type="dxa"/>
            <w:tcBorders/>
            <w:vAlign w:val="center"/>
          </w:tcPr>
          <w:p>
            <w:pPr>
              <w:pStyle w:val="TableContents"/>
              <w:bidi w:val="0"/>
              <w:spacing w:before="0" w:after="0"/>
              <w:ind w:left="0" w:right="0" w:hanging="0"/>
              <w:jc w:val="both"/>
              <w:rPr/>
            </w:pPr>
            <w:r>
              <w:rPr/>
              <w:t>​</w:t>
            </w:r>
          </w:p>
        </w:tc>
        <w:tc>
          <w:tcPr>
            <w:tcW w:w="706"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Wei Li</w:t>
            </w:r>
          </w:p>
        </w:tc>
      </w:tr>
      <w:tr>
        <w:trPr/>
        <w:tc>
          <w:tcPr>
            <w:tcW w:w="124" w:type="dxa"/>
            <w:tcBorders/>
            <w:vAlign w:val="center"/>
          </w:tcPr>
          <w:p>
            <w:pPr>
              <w:pStyle w:val="TableContents"/>
              <w:bidi w:val="0"/>
              <w:spacing w:before="0" w:after="0"/>
              <w:ind w:left="0" w:right="0" w:hanging="0"/>
              <w:jc w:val="both"/>
              <w:rPr/>
            </w:pPr>
            <w:r>
              <w:rPr/>
              <w:t>​</w:t>
            </w:r>
          </w:p>
        </w:tc>
        <w:tc>
          <w:tcPr>
            <w:tcW w:w="556" w:type="dxa"/>
            <w:tcBorders/>
            <w:vAlign w:val="center"/>
          </w:tcPr>
          <w:p>
            <w:pPr>
              <w:pStyle w:val="TableContents"/>
              <w:bidi w:val="0"/>
              <w:spacing w:before="0" w:after="0"/>
              <w:ind w:left="0" w:right="0" w:hanging="0"/>
              <w:jc w:val="both"/>
              <w:rPr/>
            </w:pPr>
            <w:r>
              <w:rPr/>
              <w:t>​</w:t>
            </w:r>
          </w:p>
        </w:tc>
        <w:tc>
          <w:tcPr>
            <w:tcW w:w="70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both"/>
              <w:rPr/>
            </w:pPr>
            <w:r>
              <w:rPr/>
              <w:t>​</w:t>
            </w:r>
          </w:p>
        </w:tc>
        <w:tc>
          <w:tcPr>
            <w:tcW w:w="55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Date</w:t>
            </w:r>
            <w:r>
              <w:rPr>
                <w:rFonts w:ascii="Times New Roman;Times;serif" w:hAnsi="Times New Roman;Times;serif"/>
                <w:sz w:val="20"/>
              </w:rPr>
              <w:t>:</w:t>
            </w:r>
          </w:p>
        </w:tc>
        <w:tc>
          <w:tcPr>
            <w:tcW w:w="70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both"/>
              <w:rPr/>
            </w:pPr>
            <w:r>
              <w:rPr/>
              <w:t>​</w:t>
            </w:r>
          </w:p>
        </w:tc>
        <w:tc>
          <w:tcPr>
            <w:tcW w:w="556" w:type="dxa"/>
            <w:tcBorders/>
            <w:vAlign w:val="center"/>
          </w:tcPr>
          <w:p>
            <w:pPr>
              <w:pStyle w:val="TableContents"/>
              <w:bidi w:val="0"/>
              <w:spacing w:before="0" w:after="0"/>
              <w:ind w:left="0" w:right="0" w:hanging="0"/>
              <w:jc w:val="both"/>
              <w:rPr/>
            </w:pPr>
            <w:r>
              <w:rPr/>
              <w:t>​</w:t>
            </w:r>
          </w:p>
        </w:tc>
        <w:tc>
          <w:tcPr>
            <w:tcW w:w="70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C</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Form of Transfer Agreement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This Transfer Agreement (this “</w:t>
      </w:r>
      <w:r>
        <w:rPr>
          <w:rFonts w:ascii="Times New Roman;Times;serif" w:hAnsi="Times New Roman;Times;serif"/>
          <w:b/>
          <w:i/>
          <w:sz w:val="20"/>
        </w:rPr>
        <w:t>Agreement</w:t>
      </w:r>
      <w:r>
        <w:rPr>
          <w:rFonts w:ascii="Times New Roman;Times;serif" w:hAnsi="Times New Roman;Times;serif"/>
          <w:sz w:val="20"/>
        </w:rPr>
        <w:t xml:space="preserve">”) is jointly signed by the Parties on </w:t>
      </w:r>
      <w:r>
        <w:rPr>
          <w:rFonts w:ascii="Times New Roman;Times;serif" w:hAnsi="Times New Roman;Times;serif"/>
          <w:sz w:val="20"/>
          <w:u w:val="single"/>
        </w:rPr>
        <w:t>              </w:t>
      </w:r>
      <w:r>
        <w:rPr>
          <w:rFonts w:ascii="Times New Roman;Times;serif" w:hAnsi="Times New Roman;Times;serif"/>
          <w:sz w:val="20"/>
        </w:rPr>
        <w:t>_</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at the offices of Hangzhou Yuedu Technology Co., Ltd. (the “</w:t>
      </w:r>
      <w:r>
        <w:rPr>
          <w:rFonts w:ascii="Times New Roman;Times;serif" w:hAnsi="Times New Roman;Times;serif"/>
          <w:b/>
          <w:i/>
          <w:sz w:val="20"/>
        </w:rPr>
        <w:t>Company</w:t>
      </w:r>
      <w:r>
        <w:rPr>
          <w:rFonts w:ascii="Times New Roman;Times;serif" w:hAnsi="Times New Roman;Times;serif"/>
          <w:sz w:val="20"/>
        </w:rPr>
        <w:t>”).</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Transferor:</w:t>
      </w:r>
      <w:r>
        <w:rPr>
          <w:rFonts w:ascii="Times New Roman;Times;serif" w:hAnsi="Times New Roman;Times;serif"/>
          <w:sz w:val="20"/>
        </w:rPr>
        <w:t>[             ] (“</w:t>
      </w:r>
      <w:r>
        <w:rPr>
          <w:rFonts w:ascii="Times New Roman;Times;serif" w:hAnsi="Times New Roman;Times;serif"/>
          <w:b/>
          <w:i/>
          <w:sz w:val="20"/>
        </w:rPr>
        <w:t>Party A</w:t>
      </w:r>
      <w:r>
        <w:rPr>
          <w:rFonts w:ascii="Times New Roman;Times;serif" w:hAnsi="Times New Roman;Times;serif"/>
          <w:sz w:val="20"/>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Transferee:</w:t>
      </w:r>
      <w:r>
        <w:rPr>
          <w:rFonts w:ascii="Times New Roman;Times;serif" w:hAnsi="Times New Roman;Times;serif"/>
          <w:sz w:val="20"/>
        </w:rPr>
        <w:t xml:space="preserve">[Hangzhou NetEase Cloud Music Technology Co., Ltd. </w:t>
      </w:r>
      <w:r>
        <w:rPr>
          <w:rFonts w:ascii="Times New Roman;Times;serif" w:hAnsi="Times New Roman;Times;serif"/>
          <w:i/>
          <w:sz w:val="20"/>
        </w:rPr>
        <w:t>or designated person(s)</w:t>
      </w:r>
      <w:r>
        <w:rPr>
          <w:rFonts w:ascii="Times New Roman;Times;serif" w:hAnsi="Times New Roman;Times;serif"/>
          <w:sz w:val="20"/>
        </w:rPr>
        <w:t>] (“</w:t>
      </w:r>
      <w:r>
        <w:rPr>
          <w:rFonts w:ascii="Times New Roman;Times;serif" w:hAnsi="Times New Roman;Times;serif"/>
          <w:b/>
          <w:i/>
          <w:sz w:val="20"/>
        </w:rPr>
        <w:t>Party B</w:t>
      </w:r>
      <w:r>
        <w:rPr>
          <w:rFonts w:ascii="Times New Roman;Times;serif" w:hAnsi="Times New Roman;Times;serif"/>
          <w:sz w:val="20"/>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this Agreement, Party A and Party B are called collectively as the “</w:t>
      </w:r>
      <w:r>
        <w:rPr>
          <w:rFonts w:ascii="Times New Roman;Times;serif" w:hAnsi="Times New Roman;Times;serif"/>
          <w:b/>
          <w:i/>
          <w:sz w:val="20"/>
        </w:rPr>
        <w:t>Parties</w:t>
      </w:r>
      <w:r>
        <w:rPr>
          <w:rFonts w:ascii="Times New Roman;Times;serif" w:hAnsi="Times New Roman;Times;serif"/>
          <w:sz w:val="20"/>
        </w:rPr>
        <w:t>” and each of them is a “</w:t>
      </w:r>
      <w:r>
        <w:rPr>
          <w:rFonts w:ascii="Times New Roman;Times;serif" w:hAnsi="Times New Roman;Times;serif"/>
          <w:b/>
          <w:i/>
          <w:sz w:val="20"/>
        </w:rPr>
        <w:t>Party</w:t>
      </w:r>
      <w:r>
        <w:rPr>
          <w:rFonts w:ascii="Times New Roman;Times;serif" w:hAnsi="Times New Roman;Times;serif"/>
          <w:sz w:val="20"/>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[Party A owns 1% of the equity interest of the Company.] According to the relevant laws, rules and regulations, upon friendly negotiations between the Parties, and pursuant to the Exclusive Purchase Option Agreement entered into by the Parties on [</w:t>
      </w:r>
      <w:r>
        <w:rPr>
          <w:rFonts w:ascii="Times New Roman;Times;serif" w:hAnsi="Times New Roman;Times;serif"/>
          <w:i/>
          <w:sz w:val="20"/>
        </w:rPr>
        <w:t>date of agreement</w:t>
      </w:r>
      <w:r>
        <w:rPr>
          <w:rFonts w:ascii="Times New Roman;Times;serif" w:hAnsi="Times New Roman;Times;serif"/>
          <w:sz w:val="20"/>
        </w:rPr>
        <w:t>] (the “</w:t>
      </w:r>
      <w:r>
        <w:rPr>
          <w:rFonts w:ascii="Times New Roman;Times;serif" w:hAnsi="Times New Roman;Times;serif"/>
          <w:b/>
          <w:i/>
          <w:sz w:val="20"/>
        </w:rPr>
        <w:t>Exclusive Purchase Option Agreement</w:t>
      </w:r>
      <w:r>
        <w:rPr>
          <w:rFonts w:ascii="Times New Roman;Times;serif" w:hAnsi="Times New Roman;Times;serif"/>
          <w:sz w:val="20"/>
        </w:rPr>
        <w:t>”), the Parties agree to the following:</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Article 1. Subject of Transfer and Purchase Price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Party A shall transfer to [Party B / Party B’s designated person(s): </w:t>
      </w:r>
      <w:r>
        <w:rPr>
          <w:rFonts w:ascii="Times New Roman;Times;serif" w:hAnsi="Times New Roman;Times;serif"/>
          <w:sz w:val="20"/>
          <w:u w:val="single"/>
        </w:rPr>
        <w:t>                                                </w:t>
      </w:r>
      <w:r>
        <w:rPr>
          <w:rFonts w:ascii="Times New Roman;Times;serif" w:hAnsi="Times New Roman;Times;serif"/>
          <w:sz w:val="20"/>
        </w:rPr>
        <w:t>] [</w:t>
      </w:r>
      <w:r>
        <w:rPr>
          <w:rFonts w:ascii="Times New Roman;Times;serif" w:hAnsi="Times New Roman;Times;serif"/>
          <w:sz w:val="20"/>
          <w:u w:val="single"/>
        </w:rPr>
        <w:t>      </w:t>
      </w:r>
      <w:r>
        <w:rPr>
          <w:rFonts w:ascii="Times New Roman;Times;serif" w:hAnsi="Times New Roman;Times;serif"/>
          <w:sz w:val="20"/>
        </w:rPr>
        <w:t>% equity interest of the Company / the following assets:</w:t>
      </w:r>
      <w:r>
        <w:rPr>
          <w:rFonts w:ascii="Times New Roman;Times;serif" w:hAnsi="Times New Roman;Times;serif"/>
          <w:sz w:val="20"/>
          <w:u w:val="single"/>
        </w:rPr>
        <w:t>                                                                                                                                    </w:t>
      </w:r>
      <w:r>
        <w:rPr>
          <w:rFonts w:ascii="Times New Roman;Times;serif" w:hAnsi="Times New Roman;Times;serif"/>
          <w:sz w:val="20"/>
        </w:rPr>
        <w:t>] (the “</w:t>
      </w:r>
      <w:r>
        <w:rPr>
          <w:rFonts w:ascii="Times New Roman;Times;serif" w:hAnsi="Times New Roman;Times;serif"/>
          <w:b/>
          <w:i/>
          <w:sz w:val="20"/>
        </w:rPr>
        <w:t>Transferred Interest</w:t>
      </w:r>
      <w:r>
        <w:rPr>
          <w:rFonts w:ascii="Times New Roman;Times;serif" w:hAnsi="Times New Roman;Times;serif"/>
          <w:sz w:val="20"/>
        </w:rPr>
        <w:t>”) for the total purchase price of [RMB</w:t>
      </w:r>
      <w:r>
        <w:rPr>
          <w:rFonts w:ascii="Times New Roman;Times;serif" w:hAnsi="Times New Roman;Times;serif"/>
          <w:sz w:val="20"/>
          <w:u w:val="single"/>
        </w:rPr>
        <w:t>                                             </w:t>
      </w:r>
      <w:r>
        <w:rPr>
          <w:rFonts w:ascii="Times New Roman;Times;serif" w:hAnsi="Times New Roman;Times;serif"/>
          <w:sz w:val="20"/>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Article 2. Undertakings and Guarantee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Party A guarantees that the Transferred Interest is legally owned by Party A and that Party A owns the complete, effective right of disposal. Party A guarantees that the Transferred Interest is free of any mortgage or other security and not the subject of claims of any third party. Otherwise, Party A shall undertake all legal liabilities incurred therefrom.  Party A undertakes and guarantees that after this Agreement has become effective, Party B shall have all of Party A’s previous rights in the Transferred Assets.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Article 3. Liabilities for Breach of Contract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any Party to this Agreement fails to, according to the provisions of this Agreement, appropriately and fully perform its obligations, such Party shall be liable for breach of contract. Any damages and costs incurred by the non-breaching Party, due to a breach of contract by the breaching Party, shall be paid by the breaching Party to the non-breaching Party.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Article 4. Method of Dispute Resolutions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This Agreement shall be subject to the relevant laws of the People’s Republic of China and the interpretations thereof. Any dispute arising from or in connection with this Agreement shall be resolved by the dispute resolution mechanism in Article 6.2 of the Exclusive Purchase Option Agreement.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Article 5. Others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Both Parties guarantee that the above agreed contents are the real expression of intention of the Parties, and the legal liabilities for all consequences caused by misstatement shall be borne by the Parties correspondingly. This Agreement shall become effective upon execution by Party A and Party B.</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This Agreement shall be executed in </w:t>
      </w:r>
      <w:r>
        <w:rPr>
          <w:rFonts w:ascii="Times New Roman;Times;serif" w:hAnsi="Times New Roman;Times;serif"/>
          <w:sz w:val="20"/>
          <w:u w:val="single"/>
        </w:rPr>
        <w:t>triplicate</w:t>
      </w:r>
      <w:r>
        <w:rPr>
          <w:rFonts w:ascii="Times New Roman;Times;serif" w:hAnsi="Times New Roman;Times;serif"/>
          <w:sz w:val="20"/>
        </w:rPr>
        <w:t xml:space="preserve">, </w:t>
      </w:r>
      <w:r>
        <w:rPr>
          <w:rFonts w:ascii="Times New Roman;Times;serif" w:hAnsi="Times New Roman;Times;serif"/>
          <w:sz w:val="20"/>
          <w:u w:val="single"/>
        </w:rPr>
        <w:t>one</w:t>
      </w:r>
      <w:r>
        <w:rPr>
          <w:rFonts w:ascii="Times New Roman;Times;serif" w:hAnsi="Times New Roman;Times;serif"/>
          <w:sz w:val="20"/>
        </w:rPr>
        <w:t xml:space="preserve"> for each of the Parties and </w:t>
      </w:r>
      <w:r>
        <w:rPr>
          <w:rFonts w:ascii="Times New Roman;Times;serif" w:hAnsi="Times New Roman;Times;serif"/>
          <w:sz w:val="20"/>
          <w:u w:val="single"/>
        </w:rPr>
        <w:t>one</w:t>
      </w:r>
      <w:r>
        <w:rPr>
          <w:rFonts w:ascii="Times New Roman;Times;serif" w:hAnsi="Times New Roman;Times;serif"/>
          <w:sz w:val="20"/>
        </w:rPr>
        <w:t xml:space="preserve"> for the Company for use in completing the relevant formalities.</w:t>
      </w:r>
    </w:p>
    <w:p>
      <w:pPr>
        <w:pStyle w:val="TextBody"/>
        <w:bidi w:val="0"/>
        <w:spacing w:before="0" w:after="0"/>
        <w:ind w:left="0" w:right="0" w:hanging="0"/>
        <w:jc w:val="both"/>
        <w:rPr/>
      </w:pPr>
      <w:r>
        <w:rPr/>
        <w:t>​</w:t>
      </w:r>
    </w:p>
    <w:tbl>
      <w:tblPr>
        <w:tblW w:w="1269" w:type="dxa"/>
        <w:jc w:val="left"/>
        <w:tblInd w:w="0" w:type="dxa"/>
        <w:tblLayout w:type="fixed"/>
        <w:tblCellMar>
          <w:top w:w="0" w:type="dxa"/>
          <w:left w:w="0" w:type="dxa"/>
          <w:bottom w:w="0" w:type="dxa"/>
          <w:right w:w="0" w:type="dxa"/>
        </w:tblCellMar>
      </w:tblPr>
      <w:tblGrid>
        <w:gridCol w:w="1006"/>
        <w:gridCol w:w="109"/>
        <w:gridCol w:w="154"/>
      </w:tblGrid>
      <w:tr>
        <w:trPr/>
        <w:tc>
          <w:tcPr>
            <w:tcW w:w="1115" w:type="dxa"/>
            <w:gridSpan w:val="2"/>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Party A :</w:t>
            </w:r>
          </w:p>
        </w:tc>
        <w:tc>
          <w:tcPr>
            <w:tcW w:w="154" w:type="dxa"/>
            <w:tcBorders/>
            <w:vAlign w:val="center"/>
          </w:tcPr>
          <w:p>
            <w:pPr>
              <w:pStyle w:val="TableContents"/>
              <w:bidi w:val="0"/>
              <w:spacing w:before="0" w:after="0"/>
              <w:ind w:left="0" w:right="0" w:hanging="0"/>
              <w:jc w:val="both"/>
              <w:rPr/>
            </w:pPr>
            <w:r>
              <w:rPr/>
              <w:t>​</w:t>
            </w:r>
          </w:p>
        </w:tc>
      </w:tr>
      <w:tr>
        <w:trPr/>
        <w:tc>
          <w:tcPr>
            <w:tcW w:w="1115" w:type="dxa"/>
            <w:gridSpan w:val="2"/>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10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Signature: </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tbl>
      <w:tblPr>
        <w:tblW w:w="1224" w:type="dxa"/>
        <w:jc w:val="left"/>
        <w:tblInd w:w="0" w:type="dxa"/>
        <w:tblLayout w:type="fixed"/>
        <w:tblCellMar>
          <w:top w:w="0" w:type="dxa"/>
          <w:left w:w="0" w:type="dxa"/>
          <w:bottom w:w="0" w:type="dxa"/>
          <w:right w:w="0" w:type="dxa"/>
        </w:tblCellMar>
      </w:tblPr>
      <w:tblGrid>
        <w:gridCol w:w="961"/>
        <w:gridCol w:w="109"/>
        <w:gridCol w:w="154"/>
      </w:tblGrid>
      <w:tr>
        <w:trPr/>
        <w:tc>
          <w:tcPr>
            <w:tcW w:w="1070" w:type="dxa"/>
            <w:gridSpan w:val="2"/>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Party B:</w:t>
            </w:r>
          </w:p>
        </w:tc>
        <w:tc>
          <w:tcPr>
            <w:tcW w:w="154" w:type="dxa"/>
            <w:tcBorders/>
            <w:vAlign w:val="center"/>
          </w:tcPr>
          <w:p>
            <w:pPr>
              <w:pStyle w:val="TableContents"/>
              <w:bidi w:val="0"/>
              <w:spacing w:before="0" w:after="0"/>
              <w:ind w:left="0" w:right="0" w:hanging="0"/>
              <w:jc w:val="both"/>
              <w:rPr/>
            </w:pPr>
            <w:r>
              <w:rPr/>
              <w:t>​</w:t>
            </w:r>
          </w:p>
        </w:tc>
      </w:tr>
      <w:tr>
        <w:trPr/>
        <w:tc>
          <w:tcPr>
            <w:tcW w:w="1070" w:type="dxa"/>
            <w:gridSpan w:val="2"/>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9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Signature:</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1070" w:type="dxa"/>
            <w:gridSpan w:val="2"/>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Dated:</w:t>
            </w:r>
          </w:p>
        </w:tc>
        <w:tc>
          <w:tcPr>
            <w:tcW w:w="154"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bookmarkStart w:id="2167" w:name="ntes-20231231xex4d55.htm"/>
      <w:bookmarkStart w:id="2168" w:name="ksntes20231231xex4d55"/>
      <w:bookmarkEnd w:id="2167"/>
      <w:bookmarkEnd w:id="2168"/>
      <w:r>
        <w:rPr/>
        <w:t>​</w:t>
      </w:r>
      <w:r>
        <w:br w:type="page"/>
      </w:r>
    </w:p>
    <w:p>
      <w:pPr>
        <w:pStyle w:val="TextBody"/>
        <w:bidi w:val="0"/>
        <w:spacing w:before="0" w:after="200"/>
        <w:ind w:left="0" w:right="0" w:hanging="0"/>
        <w:jc w:val="right"/>
        <w:rPr>
          <w:rFonts w:ascii="Times New Roman;Times;serif" w:hAnsi="Times New Roman;Times;serif"/>
          <w:b/>
          <w:sz w:val="20"/>
        </w:rPr>
      </w:pPr>
      <w:r>
        <w:rPr>
          <w:rFonts w:ascii="Times New Roman;Times;serif" w:hAnsi="Times New Roman;Times;serif"/>
          <w:b/>
          <w:sz w:val="20"/>
        </w:rPr>
        <w:t>Exhibit 4.55</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SHAREHOLDER VOTING RIGHT TRUST AGREEMENT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This Shareholder Voting Right Trust Agreement (this “</w:t>
      </w:r>
      <w:r>
        <w:rPr>
          <w:rFonts w:ascii="Times New Roman;Times;serif" w:hAnsi="Times New Roman;Times;serif"/>
          <w:b/>
          <w:sz w:val="20"/>
        </w:rPr>
        <w:t>Agreement</w:t>
      </w:r>
      <w:r>
        <w:rPr>
          <w:rFonts w:ascii="Times New Roman;Times;serif" w:hAnsi="Times New Roman;Times;serif"/>
          <w:sz w:val="20"/>
        </w:rPr>
        <w:t>”) is entered into as of November 2, 2023 between the following two parties in Hangzhou.</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sz w:val="20"/>
        </w:rPr>
        <w:t xml:space="preserve">Party A: </w:t>
      </w:r>
      <w:r>
        <w:rPr>
          <w:rFonts w:ascii="Times New Roman;Times;serif" w:hAnsi="Times New Roman;Times;serif"/>
          <w:sz w:val="20"/>
        </w:rPr>
        <w:t>Hangzhou NetEase Cloud Music Technology Co., Ltd., a wholly foreign-owned enterprise registered in Hangzhou, PRC under the laws of the PRC</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sz w:val="20"/>
        </w:rPr>
        <w:t xml:space="preserve">Party B: </w:t>
      </w:r>
      <w:r>
        <w:rPr>
          <w:rFonts w:ascii="Times New Roman;Times;serif" w:hAnsi="Times New Roman;Times;serif"/>
          <w:sz w:val="20"/>
        </w:rPr>
        <w:t>Wei Li, a citizen of the People’s Republic of China (the “</w:t>
      </w:r>
      <w:r>
        <w:rPr>
          <w:rFonts w:ascii="Times New Roman;Times;serif" w:hAnsi="Times New Roman;Times;serif"/>
          <w:b/>
          <w:sz w:val="20"/>
        </w:rPr>
        <w:t>PRC</w:t>
      </w:r>
      <w:r>
        <w:rPr>
          <w:rFonts w:ascii="Times New Roman;Times;serif" w:hAnsi="Times New Roman;Times;serif"/>
          <w:sz w:val="20"/>
        </w:rPr>
        <w:t xml:space="preserve">”) , whose ID number is </w:t>
      </w:r>
      <w:r>
        <w:rPr>
          <w:rFonts w:ascii="Times New Roman;Times;serif" w:hAnsi="Times New Roman;Times;serif"/>
          <w:sz w:val="20"/>
          <w:u w:val="single"/>
        </w:rPr>
        <w:t>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this Agreement, Party A and Party B are called collectively as the “</w:t>
      </w:r>
      <w:r>
        <w:rPr>
          <w:rFonts w:ascii="Times New Roman;Times;serif" w:hAnsi="Times New Roman;Times;serif"/>
          <w:b/>
          <w:sz w:val="20"/>
        </w:rPr>
        <w:t>Parties</w:t>
      </w:r>
      <w:r>
        <w:rPr>
          <w:rFonts w:ascii="Times New Roman;Times;serif" w:hAnsi="Times New Roman;Times;serif"/>
          <w:sz w:val="20"/>
        </w:rPr>
        <w:t>” and each of them is a “</w:t>
      </w:r>
      <w:r>
        <w:rPr>
          <w:rFonts w:ascii="Times New Roman;Times;serif" w:hAnsi="Times New Roman;Times;serif"/>
          <w:b/>
          <w:sz w:val="20"/>
        </w:rPr>
        <w:t>Party</w:t>
      </w:r>
      <w:r>
        <w:rPr>
          <w:rFonts w:ascii="Times New Roman;Times;serif" w:hAnsi="Times New Roman;Times;serif"/>
          <w:sz w:val="20"/>
        </w:rPr>
        <w:t>.” This Agreement is agreed and accepted by Hangzhou Yuedu Technology Co., Ltd..</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WHEREAS</w:t>
      </w:r>
    </w:p>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w:t>
            </w:r>
          </w:p>
        </w:tc>
        <w:tc>
          <w:tcPr>
            <w:tcW w:w="1006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Party B and William Lei Ding  comprise all the shareholders of Hangzhou Yuedu Technology Co., Ltd. (the “</w:t>
            </w:r>
            <w:r>
              <w:rPr>
                <w:rFonts w:ascii="Times New Roman;Times;serif" w:hAnsi="Times New Roman;Times;serif"/>
                <w:b/>
                <w:sz w:val="20"/>
              </w:rPr>
              <w:t>Company</w:t>
            </w:r>
            <w:r>
              <w:rPr>
                <w:rFonts w:ascii="Times New Roman;Times;serif" w:hAnsi="Times New Roman;Times;serif"/>
                <w:sz w:val="20"/>
              </w:rPr>
              <w:t>”) as of the date of this Agreement, in which Party B owns 1% of the equity interests and William Lei Ding  owns 99% of the equity interests.</w:t>
            </w:r>
          </w:p>
        </w:tc>
      </w:tr>
    </w:tbl>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2.</w:t>
            </w:r>
          </w:p>
        </w:tc>
        <w:tc>
          <w:tcPr>
            <w:tcW w:w="10049"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Party B has entrusted Party A and the person designated by Party A with full authority to exercise his shareholder’s voting rights at the Company’s shareholders’ meetings.</w:t>
            </w:r>
          </w:p>
        </w:tc>
      </w:tr>
    </w:tbl>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sz w:val="20"/>
        </w:rPr>
        <w:t>NOW, THEREFORE</w:t>
      </w:r>
      <w:r>
        <w:rPr>
          <w:rFonts w:ascii="Times New Roman;Times;serif" w:hAnsi="Times New Roman;Times;serif"/>
          <w:sz w:val="20"/>
        </w:rPr>
        <w:t>, through negotiations, all parties to this Agreement hereby agree as follows:</w:t>
      </w:r>
    </w:p>
    <w:tbl>
      <w:tblPr>
        <w:tblW w:w="10205" w:type="dxa"/>
        <w:jc w:val="left"/>
        <w:tblInd w:w="0" w:type="dxa"/>
        <w:tblLayout w:type="fixed"/>
        <w:tblCellMar>
          <w:top w:w="0" w:type="dxa"/>
          <w:left w:w="0" w:type="dxa"/>
          <w:bottom w:w="0" w:type="dxa"/>
          <w:right w:w="0" w:type="dxa"/>
        </w:tblCellMar>
      </w:tblPr>
      <w:tblGrid>
        <w:gridCol w:w="133"/>
        <w:gridCol w:w="10072"/>
      </w:tblGrid>
      <w:tr>
        <w:trPr/>
        <w:tc>
          <w:tcPr>
            <w:tcW w:w="133"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w:t>
            </w:r>
          </w:p>
        </w:tc>
        <w:tc>
          <w:tcPr>
            <w:tcW w:w="1007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Party B hereby agrees to irrevocably entrust Party A and the person designated by Party A to exercise on his behalf all shareholder’s voting rights and other shareholder’s rights at the shareholders’ meeting of the Company in accordance with PRC law and the Company’s articles of association, including, but not limited to, with respect to the sale or transfer of all or part of Party B’s equity interests in the Company and the appointment and election of the directors and chairman of the Company. Party B hereby covenants that the entrustment under this Agreement will not give rise to any actual or potential conflict of interest.</w:t>
            </w:r>
          </w:p>
        </w:tc>
      </w:tr>
    </w:tbl>
    <w:tbl>
      <w:tblPr>
        <w:tblW w:w="10205" w:type="dxa"/>
        <w:jc w:val="left"/>
        <w:tblInd w:w="0" w:type="dxa"/>
        <w:tblLayout w:type="fixed"/>
        <w:tblCellMar>
          <w:top w:w="0" w:type="dxa"/>
          <w:left w:w="0" w:type="dxa"/>
          <w:bottom w:w="0" w:type="dxa"/>
          <w:right w:w="0" w:type="dxa"/>
        </w:tblCellMar>
      </w:tblPr>
      <w:tblGrid>
        <w:gridCol w:w="131"/>
        <w:gridCol w:w="10074"/>
      </w:tblGrid>
      <w:tr>
        <w:trPr/>
        <w:tc>
          <w:tcPr>
            <w:tcW w:w="131"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2.</w:t>
            </w:r>
          </w:p>
        </w:tc>
        <w:tc>
          <w:tcPr>
            <w:tcW w:w="10074"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 xml:space="preserve">Party A agrees to designate a person (including but not limited to Party A or a person designated by the Party A director or his successor, including a liquidator replacing the person designated by Party A, but excluding those who may give rise to conflict of interest. If Party B is the officer or director of direct or indirect shareholder of Party A, the powers of attorney shall be granted in favour of other unrelated officer or director of Party A) to accept the entrustment by Party B pursuant to Article 1 of this Agreement. Party B shall sign a Power of Attorney in the form of </w:t>
            </w:r>
            <w:r>
              <w:rPr>
                <w:rFonts w:ascii="Times New Roman;Times;serif" w:hAnsi="Times New Roman;Times;serif"/>
                <w:sz w:val="20"/>
                <w:u w:val="single"/>
              </w:rPr>
              <w:t>Annex 1</w:t>
            </w:r>
            <w:r>
              <w:rPr>
                <w:rFonts w:ascii="Times New Roman;Times;serif" w:hAnsi="Times New Roman;Times;serif"/>
                <w:sz w:val="20"/>
              </w:rPr>
              <w:t xml:space="preserve"> of this Agreement. The person designated by Party A shall represent Party B in the exercise of Party B’s shareholder’s voting rights and other shareholder’s rights pursuant to this Agreement.</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3.</w:t>
            </w:r>
          </w:p>
        </w:tc>
        <w:tc>
          <w:tcPr>
            <w:tcW w:w="1006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Party B hereby acknowledges that, regardless how his equity interests in the Company will change, he shall entrust the person designated by Party A with all of his shareholder’s voting rights and other shareholder’s rights. If Party B transfers his equity interests in the Company to any individual or company, other than Party A or</w:t>
            </w:r>
          </w:p>
        </w:tc>
      </w:tr>
    </w:tbl>
    <w:p>
      <w:pPr>
        <w:pStyle w:val="TextBody"/>
        <w:pBdr/>
        <w:bidi w:val="0"/>
        <w:spacing w:before="0" w:after="200"/>
        <w:ind w:left="0" w:right="0" w:hanging="720"/>
        <w:jc w:val="both"/>
        <w:rPr/>
      </w:pPr>
      <w:r>
        <w:rPr/>
        <w:t>​</w:t>
      </w:r>
    </w:p>
    <w:p>
      <w:pPr>
        <w:pStyle w:val="TextBody"/>
        <w:bidi w:val="0"/>
        <w:spacing w:before="0" w:after="20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r>
        <w:rPr/>
        <w:t>​</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the individuals or entities designated by Party A (each, a “</w:t>
      </w:r>
      <w:r>
        <w:rPr>
          <w:rFonts w:ascii="Times New Roman;Times;serif" w:hAnsi="Times New Roman;Times;serif"/>
          <w:b/>
          <w:sz w:val="20"/>
        </w:rPr>
        <w:t>Transferee</w:t>
      </w:r>
      <w:r>
        <w:rPr>
          <w:rFonts w:ascii="Times New Roman;Times;serif" w:hAnsi="Times New Roman;Times;serif"/>
          <w:sz w:val="20"/>
        </w:rPr>
        <w:t>”), Party B shall cause such Transferee to, concurrently with the execution of the equity transfer documents, sign an agreement with the same terms and conditions as this Agreement to entrust the person designated by Party A with the shareholder’s voting rights and other shareholder’s rights of the Transferee. In the event of Party B’s death or incapacity, the terms of this Agreement shall be binding upon the executors, administrators, heirs and successors of Party B. Any equity interests in the Company held by Party B shall not be part of Party B’s estate upon death or incapacity and shall not pass to Party B’s heirs or successors. Upon Party B’s death or incapacity, any equity interests in the Company held by Party B shall be transferred to Party A or its designated person(s).</w:t>
      </w:r>
    </w:p>
    <w:tbl>
      <w:tblPr>
        <w:tblW w:w="10205" w:type="dxa"/>
        <w:jc w:val="left"/>
        <w:tblInd w:w="0" w:type="dxa"/>
        <w:tblLayout w:type="fixed"/>
        <w:tblCellMar>
          <w:top w:w="0" w:type="dxa"/>
          <w:left w:w="0" w:type="dxa"/>
          <w:bottom w:w="0" w:type="dxa"/>
          <w:right w:w="0" w:type="dxa"/>
        </w:tblCellMar>
      </w:tblPr>
      <w:tblGrid>
        <w:gridCol w:w="137"/>
        <w:gridCol w:w="10068"/>
      </w:tblGrid>
      <w:tr>
        <w:trPr/>
        <w:tc>
          <w:tcPr>
            <w:tcW w:w="13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4.</w:t>
            </w:r>
          </w:p>
        </w:tc>
        <w:tc>
          <w:tcPr>
            <w:tcW w:w="10068"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Party B hereby acknowledges that if Party A withdraws the appointment of the relevant person to whom Party B has entrusted his shareholder’s voting rights and other shareholder’s rights, he will withdraw his authorization for this person and authorize other persons designated by Party A to exercise his shareholder’s voting rights and other shareholder’s rights at the shareholders’ meeting of the Company.</w:t>
            </w:r>
          </w:p>
        </w:tc>
      </w:tr>
    </w:tbl>
    <w:tbl>
      <w:tblPr>
        <w:tblW w:w="9415" w:type="dxa"/>
        <w:jc w:val="left"/>
        <w:tblInd w:w="0" w:type="dxa"/>
        <w:tblLayout w:type="fixed"/>
        <w:tblCellMar>
          <w:top w:w="0" w:type="dxa"/>
          <w:left w:w="0" w:type="dxa"/>
          <w:bottom w:w="0" w:type="dxa"/>
          <w:right w:w="0" w:type="dxa"/>
        </w:tblCellMar>
      </w:tblPr>
      <w:tblGrid>
        <w:gridCol w:w="170"/>
        <w:gridCol w:w="9245"/>
      </w:tblGrid>
      <w:tr>
        <w:trPr/>
        <w:tc>
          <w:tcPr>
            <w:tcW w:w="17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5.</w:t>
            </w:r>
          </w:p>
        </w:tc>
        <w:tc>
          <w:tcPr>
            <w:tcW w:w="924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This Agreement shall become effective as of the date it is duly executed by the Parties’ authorized representatives.</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6.</w:t>
            </w:r>
          </w:p>
        </w:tc>
        <w:tc>
          <w:tcPr>
            <w:tcW w:w="10063"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Notwithstanding Article 5 hereof, once effective, this Agreement shall constitute the entire agreement of the Parties hereto with respect to the subject matters hereof and supersede all prior oral and/or written agreements and understandings by the Parties with respect to the subject matters hereof.</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7.</w:t>
            </w:r>
          </w:p>
        </w:tc>
        <w:tc>
          <w:tcPr>
            <w:tcW w:w="1006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This Agreement shall remain effective for as long as Party B is a shareholder of the Company unless this Agreement is unilaterally terminated by Party A at its sole and absolute discretion by giving thirty (30) days prior written notice to Party B of its intention to terminate this Agreement.</w:t>
            </w:r>
          </w:p>
        </w:tc>
      </w:tr>
    </w:tbl>
    <w:tbl>
      <w:tblPr>
        <w:tblW w:w="8215" w:type="dxa"/>
        <w:jc w:val="left"/>
        <w:tblInd w:w="0" w:type="dxa"/>
        <w:tblLayout w:type="fixed"/>
        <w:tblCellMar>
          <w:top w:w="0" w:type="dxa"/>
          <w:left w:w="0" w:type="dxa"/>
          <w:bottom w:w="0" w:type="dxa"/>
          <w:right w:w="0" w:type="dxa"/>
        </w:tblCellMar>
      </w:tblPr>
      <w:tblGrid>
        <w:gridCol w:w="170"/>
        <w:gridCol w:w="8045"/>
      </w:tblGrid>
      <w:tr>
        <w:trPr/>
        <w:tc>
          <w:tcPr>
            <w:tcW w:w="17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8.</w:t>
            </w:r>
          </w:p>
        </w:tc>
        <w:tc>
          <w:tcPr>
            <w:tcW w:w="804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Any amendment to, and/or cancellation of, this Agreement shall be agreed by the Parties in writing.</w:t>
            </w:r>
          </w:p>
        </w:tc>
      </w:tr>
    </w:tbl>
    <w:tbl>
      <w:tblPr>
        <w:tblW w:w="10205" w:type="dxa"/>
        <w:jc w:val="left"/>
        <w:tblInd w:w="0" w:type="dxa"/>
        <w:tblLayout w:type="fixed"/>
        <w:tblCellMar>
          <w:top w:w="0" w:type="dxa"/>
          <w:left w:w="0" w:type="dxa"/>
          <w:bottom w:w="0" w:type="dxa"/>
          <w:right w:w="0" w:type="dxa"/>
        </w:tblCellMar>
      </w:tblPr>
      <w:tblGrid>
        <w:gridCol w:w="129"/>
        <w:gridCol w:w="10076"/>
      </w:tblGrid>
      <w:tr>
        <w:trPr/>
        <w:tc>
          <w:tcPr>
            <w:tcW w:w="129"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9.</w:t>
            </w:r>
          </w:p>
        </w:tc>
        <w:tc>
          <w:tcPr>
            <w:tcW w:w="10076"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Both Parties acknowledge and confirm that any oral or written materials exchanged pursuant to this Agreement are confidential. Each Party shall keep confidential all such materials and not disclose any such materials to any third Party without the prior written consent from the other Parties except in the following situations: (a) such materials are or will become known by the public (through no fault of the receiving Party); (b) any materials as required to be disclosed by the applicable laws or rules of any stock exchange or governmental entity; and (c) any materials disclosed by each Party to its legal or financial advisors relating to the transactions contemplated by this Agreement, and such legal or financial advisors shall comply with the confidentiality provisions set forth in this Article 9. Any disclosure of confidential information by the personnel of any Party or by the institutions engaged by such Party shall be deemed as a disclosure by such Party, and such Party shall be liable for the breach under this Agreement. Both Parties agree that this Article 9 shall survive the invalidity, cancellation, termination or unenforceability of this Agreement.</w:t>
            </w:r>
          </w:p>
        </w:tc>
      </w:tr>
    </w:tbl>
    <w:tbl>
      <w:tblPr>
        <w:tblW w:w="3625" w:type="dxa"/>
        <w:jc w:val="left"/>
        <w:tblInd w:w="0" w:type="dxa"/>
        <w:tblLayout w:type="fixed"/>
        <w:tblCellMar>
          <w:top w:w="0" w:type="dxa"/>
          <w:left w:w="0" w:type="dxa"/>
          <w:bottom w:w="0" w:type="dxa"/>
          <w:right w:w="0" w:type="dxa"/>
        </w:tblCellMar>
      </w:tblPr>
      <w:tblGrid>
        <w:gridCol w:w="275"/>
        <w:gridCol w:w="3350"/>
      </w:tblGrid>
      <w:tr>
        <w:trPr/>
        <w:tc>
          <w:tcPr>
            <w:tcW w:w="27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10.</w:t>
            </w:r>
          </w:p>
        </w:tc>
        <w:tc>
          <w:tcPr>
            <w:tcW w:w="335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Applicable Laws and Dispute Resolution</w:t>
            </w:r>
          </w:p>
        </w:tc>
      </w:tr>
    </w:tbl>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formation, validity, interpretation and performance of and settlement of disputes under this Agreement shall be governed by the laws of the PRC.</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Any dispute arising under or in connection with this Agreement shall be settled by the parties through negotiation. If the parties fail to reach an agreement within 30 days after the dispute arises, the dispute shall be submitted to China International Economic and Trade Arbitration Commission for arbitration in Beijing by three arbitrators in accordance with its arbitration rules in force at that time. The party initiating the arbitration and the respondent shall each appoint one arbitrator, and the third arbitrator shall be appointed by China International Economic and Trade Arbitration Commission. If there are more than two persons (natural person or legal person) of the party initiating arbitration or the respondent, one arbitrator shall be appointed by the two persons through written consensus. The arbitration award is final and binding on all parties to the dispute. During the dispute settlement period, except for the matters in dispute, the Parties to this Agreement shall continue to exercise their respective rights and perform their respective obligations under this Agreement.</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Parties hereby specifically acknowledge and undertake that, subject to the provisions of the PRC law, the arbitrators have the right to make appropriate awards according to the actual situation, so as to give Party A appropriate legal remedies, including but not limited to restricting the Company's business operation, restricting and / or disposing the Company 's equities or assets (including land assets) (including but not limited to taking them as compensation), or forbidding transfer or dispose, or taking other relevant remedies, or ordering the winding up of the Company. The Parties shall perform such awards.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Subject to the provisions of the PRC law, as property preservation or enforcement measures, at the request of one party to the dispute, the court with jurisdiction has the right to make an award or judgment before the formation of the arbitration tribunal or under other appropriate circumstances permitted by law, and to grant interim remedies to the party to the dispute, such as an award or judgment on detaining or freezing the properties or equities of the defaulting party. Such rights of one party to the dispute and the award or judgment made by the court in this regard shall not affect the validity of the above arbitration clause agreed by both Parties.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e.</w:t>
            </w:r>
          </w:p>
        </w:tc>
        <w:tc>
          <w:tcPr>
            <w:tcW w:w="1002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After the arbitration award comes into effect, either Party has the right to apply to the court with jurisdiction for enforcement of the arbitration award.</w:t>
            </w:r>
          </w:p>
        </w:tc>
      </w:tr>
    </w:tbl>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f.</w:t>
            </w:r>
          </w:p>
        </w:tc>
        <w:tc>
          <w:tcPr>
            <w:tcW w:w="1005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Parties agree that: the courts in (i) the Hong Kong Special Administrative Region; (ii) the registered place of Cloud Music Inc.; (iii) the registered place of the Company; and (iv) the place where main assets of Cloud Music Inc. or the Company are located shall be deemed to have jurisdiction for the purpose of this article.</w:t>
            </w:r>
          </w:p>
        </w:tc>
      </w:tr>
    </w:tbl>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page follows</w:t>
      </w:r>
      <w:r>
        <w:rPr>
          <w:rFonts w:ascii="Times New Roman;Times;serif" w:hAnsi="Times New Roman;Times;serif"/>
          <w:sz w:val="20"/>
        </w:rPr>
        <w:t>]</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r>
        <w:rPr/>
        <w:t>​</w:t>
      </w:r>
    </w:p>
    <w:p>
      <w:pPr>
        <w:pStyle w:val="TextBody"/>
        <w:bidi w:val="0"/>
        <w:spacing w:before="0" w:after="200"/>
        <w:ind w:left="0" w:right="0" w:hanging="0"/>
        <w:jc w:val="left"/>
        <w:rPr/>
      </w:pPr>
      <w:r>
        <w:rPr>
          <w:rFonts w:ascii="Times New Roman;Times;serif" w:hAnsi="Times New Roman;Times;serif"/>
          <w:b/>
          <w:sz w:val="20"/>
        </w:rPr>
        <w:t>Party A</w:t>
      </w:r>
      <w:r>
        <w:rPr>
          <w:rFonts w:eastAsia="Times New Roman;Times;serif"/>
          <w:b/>
          <w:sz w:val="20"/>
        </w:rPr>
        <w:t>：</w:t>
      </w:r>
      <w:r>
        <w:rPr>
          <w:rFonts w:ascii="Times New Roman;Times;serif" w:hAnsi="Times New Roman;Times;serif"/>
          <w:b/>
          <w:sz w:val="20"/>
        </w:rPr>
        <w:t>Hangzhou NetEase Cloud Music Technology Co., Ltd.</w:t>
      </w:r>
    </w:p>
    <w:tbl>
      <w:tblPr>
        <w:tblW w:w="4835" w:type="dxa"/>
        <w:jc w:val="left"/>
        <w:tblInd w:w="0" w:type="dxa"/>
        <w:tblLayout w:type="fixed"/>
        <w:tblCellMar>
          <w:top w:w="0" w:type="dxa"/>
          <w:left w:w="0" w:type="dxa"/>
          <w:bottom w:w="0" w:type="dxa"/>
          <w:right w:w="0" w:type="dxa"/>
        </w:tblCellMar>
      </w:tblPr>
      <w:tblGrid>
        <w:gridCol w:w="2244"/>
        <w:gridCol w:w="111"/>
        <w:gridCol w:w="2326"/>
        <w:gridCol w:w="154"/>
      </w:tblGrid>
      <w:tr>
        <w:trPr/>
        <w:tc>
          <w:tcPr>
            <w:tcW w:w="22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Seal:</w:t>
            </w:r>
          </w:p>
        </w:tc>
        <w:tc>
          <w:tcPr>
            <w:tcW w:w="2437"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Company chop is affixed</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681" w:type="dxa"/>
            <w:gridSpan w:val="3"/>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35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Representative:</w:t>
            </w:r>
          </w:p>
        </w:tc>
        <w:tc>
          <w:tcPr>
            <w:tcW w:w="23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Wei Li</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00"/>
        <w:ind w:left="0" w:right="0" w:hanging="0"/>
        <w:jc w:val="left"/>
        <w:rPr/>
      </w:pPr>
      <w:r>
        <w:rPr>
          <w:rFonts w:ascii="Times New Roman;Times;serif" w:hAnsi="Times New Roman;Times;serif"/>
          <w:b/>
          <w:sz w:val="20"/>
        </w:rPr>
        <w:t xml:space="preserve">Party B </w:t>
      </w:r>
      <w:r>
        <w:rPr>
          <w:rFonts w:eastAsia="Times New Roman;Times;serif"/>
          <w:b/>
          <w:sz w:val="20"/>
        </w:rPr>
        <w:t>：</w:t>
      </w:r>
      <w:r>
        <w:rPr>
          <w:rFonts w:ascii="Times New Roman;Times;serif" w:hAnsi="Times New Roman;Times;serif"/>
          <w:b/>
          <w:sz w:val="20"/>
        </w:rPr>
        <w:t>Wei Li</w:t>
      </w:r>
    </w:p>
    <w:tbl>
      <w:tblPr>
        <w:tblW w:w="3754" w:type="dxa"/>
        <w:jc w:val="left"/>
        <w:tblInd w:w="0" w:type="dxa"/>
        <w:tblLayout w:type="fixed"/>
        <w:tblCellMar>
          <w:top w:w="0" w:type="dxa"/>
          <w:left w:w="0" w:type="dxa"/>
          <w:bottom w:w="0" w:type="dxa"/>
          <w:right w:w="0" w:type="dxa"/>
        </w:tblCellMar>
      </w:tblPr>
      <w:tblGrid>
        <w:gridCol w:w="1858"/>
        <w:gridCol w:w="1742"/>
        <w:gridCol w:w="154"/>
      </w:tblGrid>
      <w:tr>
        <w:trPr/>
        <w:tc>
          <w:tcPr>
            <w:tcW w:w="18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w:t>
            </w:r>
          </w:p>
        </w:tc>
        <w:tc>
          <w:tcPr>
            <w:tcW w:w="174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Wei Li</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600"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60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This Agreement is agreed and accepted by:</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Hangzhou Yuedu Technology Co., Ltd.</w:t>
      </w:r>
    </w:p>
    <w:tbl>
      <w:tblPr>
        <w:tblW w:w="4835" w:type="dxa"/>
        <w:jc w:val="left"/>
        <w:tblInd w:w="0" w:type="dxa"/>
        <w:tblLayout w:type="fixed"/>
        <w:tblCellMar>
          <w:top w:w="0" w:type="dxa"/>
          <w:left w:w="0" w:type="dxa"/>
          <w:bottom w:w="0" w:type="dxa"/>
          <w:right w:w="0" w:type="dxa"/>
        </w:tblCellMar>
      </w:tblPr>
      <w:tblGrid>
        <w:gridCol w:w="2244"/>
        <w:gridCol w:w="111"/>
        <w:gridCol w:w="2326"/>
        <w:gridCol w:w="154"/>
      </w:tblGrid>
      <w:tr>
        <w:trPr/>
        <w:tc>
          <w:tcPr>
            <w:tcW w:w="22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Seal:</w:t>
            </w:r>
          </w:p>
        </w:tc>
        <w:tc>
          <w:tcPr>
            <w:tcW w:w="2437"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Company chop is affixed</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681" w:type="dxa"/>
            <w:gridSpan w:val="3"/>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35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Representative:</w:t>
            </w:r>
          </w:p>
        </w:tc>
        <w:tc>
          <w:tcPr>
            <w:tcW w:w="23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Wei Li</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Annex 1</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Powers of Attorney</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Powers of Attorney (hereinafter referred to as the "</w:t>
      </w:r>
      <w:r>
        <w:rPr>
          <w:rFonts w:ascii="Times New Roman;Times;serif" w:hAnsi="Times New Roman;Times;serif"/>
          <w:b/>
          <w:sz w:val="20"/>
        </w:rPr>
        <w:t>POA</w:t>
      </w:r>
      <w:r>
        <w:rPr>
          <w:rFonts w:ascii="Times New Roman;Times;serif" w:hAnsi="Times New Roman;Times;serif"/>
          <w:sz w:val="20"/>
        </w:rPr>
        <w:t>") is signed by Wei Li on November 2, 2023 and is issued to Hangzhou NetEase Cloud Music Technology Co., Ltd. and the person designated by Hangzhou NetEase Cloud Music Technology Co., Ltd. (hereinafter referred to as the "</w:t>
      </w:r>
      <w:r>
        <w:rPr>
          <w:rFonts w:ascii="Times New Roman;Times;serif" w:hAnsi="Times New Roman;Times;serif"/>
          <w:b/>
          <w:sz w:val="20"/>
        </w:rPr>
        <w:t>Trustee</w:t>
      </w:r>
      <w:r>
        <w:rPr>
          <w:rFonts w:ascii="Times New Roman;Times;serif" w:hAnsi="Times New Roman;Times;serif"/>
          <w:sz w:val="20"/>
        </w:rPr>
        <w:t>").</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I, Wei Li, hereby entrust the Trustee a comprehensive power of agency, authorizing the Trustee to act as my agent, in my name, to exercise the following rights that I enjoy as a shareholder of Hangzhou Yuedu Technology Co., Ltd. (hereinafter referred to as the "</w:t>
      </w:r>
      <w:r>
        <w:rPr>
          <w:rFonts w:ascii="Times New Roman;Times;serif" w:hAnsi="Times New Roman;Times;serif"/>
          <w:b/>
          <w:sz w:val="20"/>
        </w:rPr>
        <w:t>Company</w:t>
      </w:r>
      <w:r>
        <w:rPr>
          <w:rFonts w:ascii="Times New Roman;Times;serif" w:hAnsi="Times New Roman;Times;serif"/>
          <w:sz w:val="20"/>
        </w:rPr>
        <w:t>"):</w:t>
      </w:r>
    </w:p>
    <w:tbl>
      <w:tblPr>
        <w:tblW w:w="10205" w:type="dxa"/>
        <w:jc w:val="left"/>
        <w:tblInd w:w="0" w:type="dxa"/>
        <w:tblLayout w:type="fixed"/>
        <w:tblCellMar>
          <w:top w:w="0" w:type="dxa"/>
          <w:left w:w="0" w:type="dxa"/>
          <w:bottom w:w="0" w:type="dxa"/>
          <w:right w:w="0" w:type="dxa"/>
        </w:tblCellMar>
      </w:tblPr>
      <w:tblGrid>
        <w:gridCol w:w="23"/>
        <w:gridCol w:w="166"/>
        <w:gridCol w:w="10016"/>
      </w:tblGrid>
      <w:tr>
        <w:trPr/>
        <w:tc>
          <w:tcPr>
            <w:tcW w:w="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w:t>
            </w:r>
          </w:p>
        </w:tc>
        <w:tc>
          <w:tcPr>
            <w:tcW w:w="10016"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Propose to convene and attend the shareholders’ meeting of the Company in accordance with the articles of association as my agent;</w:t>
            </w:r>
          </w:p>
        </w:tc>
      </w:tr>
    </w:tbl>
    <w:tbl>
      <w:tblPr>
        <w:tblW w:w="10205" w:type="dxa"/>
        <w:jc w:val="left"/>
        <w:tblInd w:w="0" w:type="dxa"/>
        <w:tblLayout w:type="fixed"/>
        <w:tblCellMar>
          <w:top w:w="0" w:type="dxa"/>
          <w:left w:w="0" w:type="dxa"/>
          <w:bottom w:w="0" w:type="dxa"/>
          <w:right w:w="0" w:type="dxa"/>
        </w:tblCellMar>
      </w:tblPr>
      <w:tblGrid>
        <w:gridCol w:w="23"/>
        <w:gridCol w:w="133"/>
        <w:gridCol w:w="10049"/>
      </w:tblGrid>
      <w:tr>
        <w:trPr/>
        <w:tc>
          <w:tcPr>
            <w:tcW w:w="2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2.</w:t>
            </w:r>
          </w:p>
        </w:tc>
        <w:tc>
          <w:tcPr>
            <w:tcW w:w="10049"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Exercise voting rights on all matters that require discussion and resolution at the shareholders’ meeting, approve and sign resolutions on behalf of me, including but not limited to designating and electing the Company’s directors, supervisors and other senior management personnel who should be appointed and removed by shareholders, disposing the Company’s assets, dissolving or liquidating the Company , joining the liquidation team on behalf of me and exercising the functions and powers of the liquidation team during the liquidation period in accordance with the law;</w:t>
            </w:r>
          </w:p>
        </w:tc>
      </w:tr>
    </w:tbl>
    <w:tbl>
      <w:tblPr>
        <w:tblW w:w="9828" w:type="dxa"/>
        <w:jc w:val="left"/>
        <w:tblInd w:w="0" w:type="dxa"/>
        <w:tblLayout w:type="fixed"/>
        <w:tblCellMar>
          <w:top w:w="0" w:type="dxa"/>
          <w:left w:w="0" w:type="dxa"/>
          <w:bottom w:w="0" w:type="dxa"/>
          <w:right w:w="0" w:type="dxa"/>
        </w:tblCellMar>
      </w:tblPr>
      <w:tblGrid>
        <w:gridCol w:w="23"/>
        <w:gridCol w:w="170"/>
        <w:gridCol w:w="96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3.</w:t>
            </w:r>
          </w:p>
        </w:tc>
        <w:tc>
          <w:tcPr>
            <w:tcW w:w="963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Submit any required documents to the relevant company registration agency or other relevant institutions as my agent;</w:t>
            </w:r>
          </w:p>
        </w:tc>
      </w:tr>
    </w:tbl>
    <w:tbl>
      <w:tblPr>
        <w:tblW w:w="10205" w:type="dxa"/>
        <w:jc w:val="left"/>
        <w:tblInd w:w="0" w:type="dxa"/>
        <w:tblLayout w:type="fixed"/>
        <w:tblCellMar>
          <w:top w:w="0" w:type="dxa"/>
          <w:left w:w="0" w:type="dxa"/>
          <w:bottom w:w="0" w:type="dxa"/>
          <w:right w:w="0" w:type="dxa"/>
        </w:tblCellMar>
      </w:tblPr>
      <w:tblGrid>
        <w:gridCol w:w="23"/>
        <w:gridCol w:w="139"/>
        <w:gridCol w:w="10043"/>
      </w:tblGrid>
      <w:tr>
        <w:trPr/>
        <w:tc>
          <w:tcPr>
            <w:tcW w:w="2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4.</w:t>
            </w:r>
          </w:p>
        </w:tc>
        <w:tc>
          <w:tcPr>
            <w:tcW w:w="10043"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Exercise all shareholder rights and shareholder voting rights under applicable Chinese laws, regulations and articles of association as my agent, including but not limited to selling, transferring, pledging or disposing part or all of my equities (including any other shareholder rights and shareholder voting rights stipulated in the articles of association as amended);</w:t>
            </w:r>
          </w:p>
        </w:tc>
      </w:tr>
    </w:tbl>
    <w:tbl>
      <w:tblPr>
        <w:tblW w:w="10205" w:type="dxa"/>
        <w:jc w:val="left"/>
        <w:tblInd w:w="0" w:type="dxa"/>
        <w:tblLayout w:type="fixed"/>
        <w:tblCellMar>
          <w:top w:w="0" w:type="dxa"/>
          <w:left w:w="0" w:type="dxa"/>
          <w:bottom w:w="0" w:type="dxa"/>
          <w:right w:w="0" w:type="dxa"/>
        </w:tblCellMar>
      </w:tblPr>
      <w:tblGrid>
        <w:gridCol w:w="23"/>
        <w:gridCol w:w="138"/>
        <w:gridCol w:w="10044"/>
      </w:tblGrid>
      <w:tr>
        <w:trPr/>
        <w:tc>
          <w:tcPr>
            <w:tcW w:w="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5.</w:t>
            </w:r>
          </w:p>
        </w:tc>
        <w:tc>
          <w:tcPr>
            <w:tcW w:w="10044"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Sign the relevant equity transfer agreement and other relevant documents on behalf of me, and handle the governmental approval, registration, filing and other procedures required for transfer when the equities of the Company held by me are transferred in accordance with "The Exclusive Purchase Option Agreement" and "The Equity Pledge Agreement" separately signed by all parties;</w:t>
            </w:r>
          </w:p>
        </w:tc>
      </w:tr>
    </w:tbl>
    <w:tbl>
      <w:tblPr>
        <w:tblW w:w="10205" w:type="dxa"/>
        <w:jc w:val="left"/>
        <w:tblInd w:w="0" w:type="dxa"/>
        <w:tblLayout w:type="fixed"/>
        <w:tblCellMar>
          <w:top w:w="0" w:type="dxa"/>
          <w:left w:w="0" w:type="dxa"/>
          <w:bottom w:w="0" w:type="dxa"/>
          <w:right w:w="0" w:type="dxa"/>
        </w:tblCellMar>
      </w:tblPr>
      <w:tblGrid>
        <w:gridCol w:w="23"/>
        <w:gridCol w:w="149"/>
        <w:gridCol w:w="10033"/>
      </w:tblGrid>
      <w:tr>
        <w:trPr/>
        <w:tc>
          <w:tcPr>
            <w:tcW w:w="2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6.</w:t>
            </w:r>
          </w:p>
        </w:tc>
        <w:tc>
          <w:tcPr>
            <w:tcW w:w="10033"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Instruct the directors and senior managers of the Company to act in accordance with the instructions of the trustee company and its designated person without violating the laws, regulations and articles of association.</w:t>
            </w:r>
          </w:p>
        </w:tc>
      </w:tr>
    </w:tbl>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 hereby irrevocably confirm that the validity period of the POA extends to the expiry or early termination of "The Shareholder Voting Right Trust Agreement" signed by Hangzhou NetEase Cloud Music Technology Co., Ltd. and me on November 2, 2023.</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r>
        <w:rPr/>
        <w:t>​</w:t>
      </w:r>
    </w:p>
    <w:p>
      <w:pPr>
        <w:pStyle w:val="TextBody"/>
        <w:bidi w:val="0"/>
        <w:spacing w:before="0" w:after="200"/>
        <w:ind w:left="0" w:right="0" w:hanging="0"/>
        <w:jc w:val="right"/>
        <w:rPr/>
      </w:pPr>
      <w:r>
        <w:rPr/>
        <w:t>​</w:t>
      </w:r>
    </w:p>
    <w:tbl>
      <w:tblPr>
        <w:tblW w:w="2480" w:type="dxa"/>
        <w:jc w:val="left"/>
        <w:tblInd w:w="0" w:type="dxa"/>
        <w:tblLayout w:type="fixed"/>
        <w:tblCellMar>
          <w:top w:w="0" w:type="dxa"/>
          <w:left w:w="0" w:type="dxa"/>
          <w:bottom w:w="0" w:type="dxa"/>
          <w:right w:w="0" w:type="dxa"/>
        </w:tblCellMar>
      </w:tblPr>
      <w:tblGrid>
        <w:gridCol w:w="124"/>
        <w:gridCol w:w="1030"/>
        <w:gridCol w:w="50"/>
        <w:gridCol w:w="1276"/>
      </w:tblGrid>
      <w:tr>
        <w:trPr/>
        <w:tc>
          <w:tcPr>
            <w:tcW w:w="124" w:type="dxa"/>
            <w:tcBorders/>
            <w:vAlign w:val="center"/>
          </w:tcPr>
          <w:p>
            <w:pPr>
              <w:pStyle w:val="TableContents"/>
              <w:bidi w:val="0"/>
              <w:spacing w:before="0" w:after="0"/>
              <w:ind w:left="0" w:right="0" w:hanging="0"/>
              <w:jc w:val="left"/>
              <w:rPr/>
            </w:pPr>
            <w:r>
              <w:rPr/>
              <w:t>​</w:t>
            </w:r>
          </w:p>
        </w:tc>
        <w:tc>
          <w:tcPr>
            <w:tcW w:w="1080" w:type="dxa"/>
            <w:gridSpan w:val="2"/>
            <w:tcBorders/>
            <w:vAlign w:val="center"/>
          </w:tcPr>
          <w:p>
            <w:pPr>
              <w:pStyle w:val="TableContents"/>
              <w:bidi w:val="0"/>
              <w:spacing w:before="0" w:after="0"/>
              <w:ind w:left="0" w:right="0" w:hanging="0"/>
              <w:jc w:val="left"/>
              <w:rPr/>
            </w:pPr>
            <w:r>
              <w:rPr/>
              <w:t>​</w:t>
            </w:r>
          </w:p>
        </w:tc>
        <w:tc>
          <w:tcPr>
            <w:tcW w:w="1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Wei Li</w:t>
            </w:r>
          </w:p>
        </w:tc>
      </w:tr>
      <w:tr>
        <w:trPr/>
        <w:tc>
          <w:tcPr>
            <w:tcW w:w="124" w:type="dxa"/>
            <w:tcBorders/>
            <w:vAlign w:val="center"/>
          </w:tcPr>
          <w:p>
            <w:pPr>
              <w:pStyle w:val="TableContents"/>
              <w:bidi w:val="0"/>
              <w:spacing w:before="0" w:after="0"/>
              <w:ind w:left="0" w:right="0" w:hanging="0"/>
              <w:jc w:val="left"/>
              <w:rPr/>
            </w:pPr>
            <w:r>
              <w:rPr/>
              <w:t>​</w:t>
            </w:r>
          </w:p>
        </w:tc>
        <w:tc>
          <w:tcPr>
            <w:tcW w:w="1080" w:type="dxa"/>
            <w:gridSpan w:val="2"/>
            <w:tcBorders/>
            <w:vAlign w:val="center"/>
          </w:tcPr>
          <w:p>
            <w:pPr>
              <w:pStyle w:val="TableContents"/>
              <w:bidi w:val="0"/>
              <w:spacing w:before="0" w:after="0"/>
              <w:ind w:left="0" w:right="0" w:hanging="0"/>
              <w:jc w:val="left"/>
              <w:rPr/>
            </w:pPr>
            <w:r>
              <w:rPr/>
              <w:t>​</w:t>
            </w:r>
          </w:p>
        </w:tc>
        <w:tc>
          <w:tcPr>
            <w:tcW w:w="127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80" w:type="dxa"/>
            <w:gridSpan w:val="2"/>
            <w:tcBorders/>
            <w:vAlign w:val="center"/>
          </w:tcPr>
          <w:p>
            <w:pPr>
              <w:pStyle w:val="TableContents"/>
              <w:bidi w:val="0"/>
              <w:spacing w:before="0" w:after="0"/>
              <w:ind w:left="0" w:right="0" w:hanging="0"/>
              <w:jc w:val="left"/>
              <w:rPr/>
            </w:pPr>
            <w:r>
              <w:rPr>
                <w:rFonts w:ascii="Times New Roman;Times;serif" w:hAnsi="Times New Roman;Times;serif"/>
                <w:sz w:val="20"/>
              </w:rPr>
              <w:t>Signature</w:t>
            </w:r>
            <w:r>
              <w:rPr>
                <w:rFonts w:eastAsia="Times New Roman;Times;serif"/>
                <w:sz w:val="20"/>
              </w:rPr>
              <w:t>：</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356"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left"/>
              <w:rPr/>
            </w:pPr>
            <w:r>
              <w:rPr>
                <w:rFonts w:ascii="Times New Roman;Times;serif" w:hAnsi="Times New Roman;Times;serif"/>
                <w:sz w:val="20"/>
              </w:rPr>
              <w:t>Date</w:t>
            </w:r>
            <w:r>
              <w:rPr>
                <w:rFonts w:eastAsia="Times New Roman;Times;serif"/>
                <w:sz w:val="20"/>
              </w:rPr>
              <w:t>：</w:t>
            </w:r>
          </w:p>
        </w:tc>
        <w:tc>
          <w:tcPr>
            <w:tcW w:w="1326"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2169" w:name="ntes-20231231xex4d57.htm"/>
      <w:bookmarkStart w:id="2170" w:name="ksntes20231231xex4d57"/>
      <w:bookmarkEnd w:id="2169"/>
      <w:bookmarkEnd w:id="2170"/>
      <w:r>
        <w:rPr/>
        <w:t>​</w:t>
      </w:r>
      <w:r>
        <w:br w:type="page"/>
      </w:r>
    </w:p>
    <w:p>
      <w:pPr>
        <w:pStyle w:val="TextBody"/>
        <w:bidi w:val="0"/>
        <w:spacing w:before="0" w:after="240"/>
        <w:ind w:left="0" w:right="0" w:firstLine="720"/>
        <w:jc w:val="right"/>
        <w:rPr>
          <w:rFonts w:ascii="Times New Roman;Times;serif" w:hAnsi="Times New Roman;Times;serif"/>
          <w:b/>
          <w:sz w:val="20"/>
        </w:rPr>
      </w:pPr>
      <w:r>
        <w:rPr>
          <w:rFonts w:ascii="Times New Roman;Times;serif" w:hAnsi="Times New Roman;Times;serif"/>
          <w:b/>
          <w:sz w:val="20"/>
        </w:rPr>
        <w:t>Exhibit 4.57</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INDEMNIFICATION AGREEMENT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This Indemnification Agreement (this “</w:t>
      </w:r>
      <w:r>
        <w:rPr>
          <w:rFonts w:ascii="Times New Roman;Times;serif" w:hAnsi="Times New Roman;Times;serif"/>
          <w:sz w:val="20"/>
          <w:u w:val="single"/>
        </w:rPr>
        <w:t>Agreement</w:t>
      </w:r>
      <w:r>
        <w:rPr>
          <w:rFonts w:ascii="Times New Roman;Times;serif" w:hAnsi="Times New Roman;Times;serif"/>
          <w:sz w:val="20"/>
        </w:rPr>
        <w:t xml:space="preserve">”) is made as of </w:t>
      </w:r>
      <w:r>
        <w:rPr>
          <w:rFonts w:ascii="Times New Roman;Times;serif" w:hAnsi="Times New Roman;Times;serif"/>
          <w:b/>
          <w:sz w:val="20"/>
        </w:rPr>
        <w:t>________</w:t>
      </w:r>
      <w:r>
        <w:rPr>
          <w:rFonts w:ascii="Times New Roman;Times;serif" w:hAnsi="Times New Roman;Times;serif"/>
          <w:sz w:val="20"/>
        </w:rPr>
        <w:t>, by and among NetEase, Inc., a company organized under the laws of the Cayman Islands (the “</w:t>
      </w:r>
      <w:r>
        <w:rPr>
          <w:rFonts w:ascii="Times New Roman;Times;serif" w:hAnsi="Times New Roman;Times;serif"/>
          <w:sz w:val="20"/>
          <w:u w:val="single"/>
        </w:rPr>
        <w:t>Company</w:t>
      </w:r>
      <w:r>
        <w:rPr>
          <w:rFonts w:ascii="Times New Roman;Times;serif" w:hAnsi="Times New Roman;Times;serif"/>
          <w:sz w:val="20"/>
        </w:rPr>
        <w:t>”), and the indemnitee executing and delivering this agreement (the “</w:t>
      </w:r>
      <w:r>
        <w:rPr>
          <w:rFonts w:ascii="Times New Roman;Times;serif" w:hAnsi="Times New Roman;Times;serif"/>
          <w:sz w:val="20"/>
          <w:u w:val="single"/>
        </w:rPr>
        <w:t>Indemnitee</w:t>
      </w:r>
      <w:r>
        <w:rPr>
          <w:rFonts w:ascii="Times New Roman;Times;serif" w:hAnsi="Times New Roman;Times;serif"/>
          <w:sz w:val="20"/>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RECITALS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and Indemnitee recognize the increasing difficulty in obtaining liability insurance for directors and officers, the significant increases in the cost of such insurance and the general reductions in the coverage of such insurance. The Company and Indemnitee further recognize the substantial increase in corporate litigation in general, subjecting directors and officers to expensive litigation risks at the same time as the availability and coverage of liability insurance has been severely limited. Indemnitee does not regard the current protection available as adequate under the present circumstances, and Indemnitee and agents of the Company may not be willing to continue to serve the Company without additional protection. The Company desires to attract and retain the involvement of highly qualified groups, such as Indemnitee, and to indemnify its directors and officers so as to provide them with the maximum protection permitted by law.</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AGREEMENT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consideration of the mutual promises made in this Agreement, and for other good and valuable consideration, receipt of which is hereby acknowledged, the Company and Indemnitee hereby agree as follows: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1.</w:t>
      </w:r>
      <w:r>
        <w:rPr>
          <w:rFonts w:ascii="Times New Roman;Times;serif" w:hAnsi="Times New Roman;Times;serif"/>
          <w:b/>
          <w:sz w:val="20"/>
        </w:rPr>
        <w:t>Indemnification</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(a)</w:t>
      </w:r>
      <w:r>
        <w:rPr>
          <w:rFonts w:ascii="Times New Roman;Times;serif" w:hAnsi="Times New Roman;Times;serif"/>
          <w:sz w:val="20"/>
          <w:u w:val="single"/>
        </w:rPr>
        <w:t>Third Party Proceedings</w:t>
      </w:r>
      <w:r>
        <w:rPr>
          <w:rFonts w:ascii="Times New Roman;Times;serif" w:hAnsi="Times New Roman;Times;serif"/>
          <w:sz w:val="20"/>
        </w:rPr>
        <w:t>. To the fullest extent permitted by law, the Company shall indemnify Indemnitee if Indemnitee is or was a party or is threatened to be made a party to any threatened, pending or completed action, suit, arbitration or proceeding or alternative dispute resolution mechanism, whether civil, criminal, administrative or investigative (each, a “</w:t>
      </w:r>
      <w:r>
        <w:rPr>
          <w:rFonts w:ascii="Times New Roman;Times;serif" w:hAnsi="Times New Roman;Times;serif"/>
          <w:sz w:val="20"/>
          <w:u w:val="single"/>
        </w:rPr>
        <w:t>Proceeding</w:t>
      </w:r>
      <w:r>
        <w:rPr>
          <w:rFonts w:ascii="Times New Roman;Times;serif" w:hAnsi="Times New Roman;Times;serif"/>
          <w:sz w:val="20"/>
        </w:rPr>
        <w:t>”) (other than an action by or in the right of the Company) by reason of the fact that Indemnitee is or was a director, officer, employee or agent of the Company, or any Related Entity of the Company, or is or was serving at the request of the Company as a director, officer, employee or agent of another corporation, partnership, limited liability company, joint venture, trust or other enterprise, or by reason of any action or inaction on the part of Indemnitee while serving in any such capacity (such reasons, collectively, the “</w:t>
      </w:r>
      <w:r>
        <w:rPr>
          <w:rFonts w:ascii="Times New Roman;Times;serif" w:hAnsi="Times New Roman;Times;serif"/>
          <w:sz w:val="20"/>
          <w:u w:val="single"/>
        </w:rPr>
        <w:t>Corporate Status</w:t>
      </w:r>
      <w:r>
        <w:rPr>
          <w:rFonts w:ascii="Times New Roman;Times;serif" w:hAnsi="Times New Roman;Times;serif"/>
          <w:sz w:val="20"/>
        </w:rPr>
        <w:t>”), against expenses (including attorneys’ fees), judgments, fines, penalties and amounts paid in settlement (if such settlement is approved in advance by the Company, which approval shall not be unreasonably withheld) actually and reasonably incurred by Indemnitee in connection with such Proceeding if Indemnitee acted in good faith and in a manner Indemnitee reasonably believed to be in or not opposed to the best interests of the Company, and, with respect to any criminal Proceeding, had no reasonable cause to believe Indemnitee’s conduct was unlawful. The termination of any Proceeding by judgment, order, settlement, conviction, or upon a plea of nolo</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contendere or its equivalent, shall not, of itself, create a presumption that Indemnitee did not act in good faith and in a manner which Indemnitee reasonably believed to be in or not opposed to the best interests of the Company, or, with respect to any criminal Proceeding, that Indemnitee had reasonable cause to believe that Indemnitee’s conduct was unlawful. For purposes of this Agreement, “</w:t>
      </w:r>
      <w:r>
        <w:rPr>
          <w:rFonts w:ascii="Times New Roman;Times;serif" w:hAnsi="Times New Roman;Times;serif"/>
          <w:sz w:val="20"/>
          <w:u w:val="single"/>
        </w:rPr>
        <w:t>Related Entity</w:t>
      </w:r>
      <w:r>
        <w:rPr>
          <w:rFonts w:ascii="Times New Roman;Times;serif" w:hAnsi="Times New Roman;Times;serif"/>
          <w:sz w:val="20"/>
        </w:rPr>
        <w:t>” means any parent, subsidiary and any other corporation, partnership, limited liability company or other business entity in which the Company, its parent or subsidiary holds, or has the right to acquire, a substantial ownership interest in or control over such entity, either directly or indirectly, including a variable interest entity.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(b)</w:t>
      </w:r>
      <w:r>
        <w:rPr>
          <w:rFonts w:ascii="Times New Roman;Times;serif" w:hAnsi="Times New Roman;Times;serif"/>
          <w:sz w:val="20"/>
          <w:u w:val="single"/>
        </w:rPr>
        <w:t>Proceedings By or in the Right of the Company</w:t>
      </w:r>
      <w:r>
        <w:rPr>
          <w:rFonts w:ascii="Times New Roman;Times;serif" w:hAnsi="Times New Roman;Times;serif"/>
          <w:sz w:val="20"/>
        </w:rPr>
        <w:t>. To the fullest extent permitted by law, the Company shall indemnify Indemnitee if Indemnitee was or is a party or is threatened to be made a party to any Proceeding by or in the right of the Company or any Related Entity of the Company to procure a judgment in its favor by reason of the fact that Indemnitee is or was a director, officer, employee or agent of the Company, or any Related Entity of the Company, or is or was serving at the request of the Company as a director, officer, employee or agent of another corporation, partnership, limited liability company, joint venture, trust or other enterprise, or by reason of any action or inaction on the part of Indemnitee while serving in any such capacity, against expenses (including attorneys’ fees) and, to the fullest extent permitted by law, amounts paid in settlement (if such settlement is approved in advance by the Company, which approval shall not be unreasonably withheld), in each case to the extent actually and reasonably incurred by Indemnitee in connection with the defense or settlement of such Proceeding if Indemnitee acted in good faith and in a manner Indemnitee reasonably believed to be in or not opposed to the best interests of the Company, except that no indemnification shall be made in respect of any claim, issue or matter as to which Indemnitee shall have been finally adjudicated by court order or judgment to be liable to the Company in the performance of Indemnitee’s duty to the Company and its shareholders unless and only to the extent that the court in which such Proceeding is or was brought shall determine upon application that, despite the adjudication of liability but in view of all the circumstances of the case, Indemnitee is fairly and reasonably entitled to indemnity for such expenses which such court shall deem proper.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(c)</w:t>
      </w:r>
      <w:r>
        <w:rPr>
          <w:rFonts w:ascii="Times New Roman;Times;serif" w:hAnsi="Times New Roman;Times;serif"/>
          <w:sz w:val="20"/>
          <w:u w:val="single"/>
        </w:rPr>
        <w:t>Mandatory Payment of Expenses</w:t>
      </w:r>
      <w:r>
        <w:rPr>
          <w:rFonts w:ascii="Times New Roman;Times;serif" w:hAnsi="Times New Roman;Times;serif"/>
          <w:sz w:val="20"/>
        </w:rPr>
        <w:t>. To the extent that Indemnitee has been successful on the merits or otherwise in defense of any Proceeding referred to in Section 1(a) or Section 1(b) or the defense of any claim, issue or matter therein, Indemnitee shall be indemnified against expenses (including attorneys’ fees) actually and reasonably incurred by Indemnitee in connection therewith.</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2.</w:t>
      </w:r>
      <w:r>
        <w:rPr>
          <w:rFonts w:ascii="Times New Roman;Times;serif" w:hAnsi="Times New Roman;Times;serif"/>
          <w:b/>
          <w:sz w:val="20"/>
        </w:rPr>
        <w:t>No Employment Rights</w:t>
      </w:r>
      <w:r>
        <w:rPr>
          <w:rFonts w:ascii="Times New Roman;Times;serif" w:hAnsi="Times New Roman;Times;serif"/>
          <w:sz w:val="20"/>
        </w:rPr>
        <w:t>. Nothing contained in this Agreement is intended to create in Indemnitee any right to continued employment.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3.</w:t>
      </w:r>
      <w:r>
        <w:rPr>
          <w:rFonts w:ascii="Times New Roman;Times;serif" w:hAnsi="Times New Roman;Times;serif"/>
          <w:b/>
          <w:sz w:val="20"/>
        </w:rPr>
        <w:t>Expenses; Indemnification Procedure</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(a)</w:t>
      </w:r>
      <w:r>
        <w:rPr>
          <w:rFonts w:ascii="Times New Roman;Times;serif" w:hAnsi="Times New Roman;Times;serif"/>
          <w:sz w:val="20"/>
          <w:u w:val="single"/>
        </w:rPr>
        <w:t>Advancement of Expenses</w:t>
      </w:r>
      <w:r>
        <w:rPr>
          <w:rFonts w:ascii="Times New Roman;Times;serif" w:hAnsi="Times New Roman;Times;serif"/>
          <w:sz w:val="20"/>
        </w:rPr>
        <w:t>. The Company shall advance all expenses incurred by Indemnitee in connection with the investigation, defense, settlement or appeal of any Proceeding referred to in Section l(a) or Section 1(b) of this Agreement (including amounts actually paid in settlement of any such Proceeding). Indemnitee hereby undertakes to repay such</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amounts advanced only if, and to the extent that, it shall ultimately be determined that Indemnitee is not entitled to be indemnified by the Company as authorized hereby.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(b)</w:t>
      </w:r>
      <w:r>
        <w:rPr>
          <w:rFonts w:ascii="Times New Roman;Times;serif" w:hAnsi="Times New Roman;Times;serif"/>
          <w:sz w:val="20"/>
          <w:u w:val="single"/>
        </w:rPr>
        <w:t>Notice/Cooperation by Indemnitee</w:t>
      </w:r>
      <w:r>
        <w:rPr>
          <w:rFonts w:ascii="Times New Roman;Times;serif" w:hAnsi="Times New Roman;Times;serif"/>
          <w:sz w:val="20"/>
        </w:rPr>
        <w:t>. Indemnitee shall, as a condition precedent to his or her right to be indemnified under this Agreement, give the Company notice in writing as soon as practicable of any Proceeding against Indemnitee for which indemnification will or could be sought under this Agreement. Notice to the Company shall be directed to the Chief Executive Officer of the Company and shall be given in accordance with the provisions of Section 12(d) below. In addition, Indemnitee shall give the Company such information and cooperation as it may reasonably require and as shall be within Indemnitee’s power.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(c)</w:t>
      </w:r>
      <w:r>
        <w:rPr>
          <w:rFonts w:ascii="Times New Roman;Times;serif" w:hAnsi="Times New Roman;Times;serif"/>
          <w:sz w:val="20"/>
          <w:u w:val="single"/>
        </w:rPr>
        <w:t>Procedure</w:t>
      </w:r>
      <w:r>
        <w:rPr>
          <w:rFonts w:ascii="Times New Roman;Times;serif" w:hAnsi="Times New Roman;Times;serif"/>
          <w:sz w:val="20"/>
        </w:rPr>
        <w:t>. Any indemnification and advances provided for in Section 1 and this Section 3 shall be made no later than thirty (30) days after the Company’s receipt of the written request of Indemnitee. If a claim under this Agreement, under any statute, or under any provision of the Company’s Amended and Restated Memorandum and Articles of Association, as may be amended from time to time (the “</w:t>
      </w:r>
      <w:r>
        <w:rPr>
          <w:rFonts w:ascii="Times New Roman;Times;serif" w:hAnsi="Times New Roman;Times;serif"/>
          <w:sz w:val="20"/>
          <w:u w:val="single"/>
        </w:rPr>
        <w:t>Restated Memorandum and Articles</w:t>
      </w:r>
      <w:r>
        <w:rPr>
          <w:rFonts w:ascii="Times New Roman;Times;serif" w:hAnsi="Times New Roman;Times;serif"/>
          <w:sz w:val="20"/>
        </w:rPr>
        <w:t>”) providing for indemnification, is not paid in full by the Company within thirty (30) days after a written request for payment thereof has first been received by the Company, Indemnitee may, but need not, at any time thereafter bring an action against the Company to recover the unpaid amount of the claim and, subject to Section 11 of this Agreement, Indemnitee shall also be entitled to be paid for the expenses (including attorneys’ fees) of bringing such action. It shall be a defense to any such action (other than an action brought to enforce a claim for expenses incurred in connection with any Proceeding in advance of its final disposition) that Indemnitee has not met the standards of conduct which make it permissible under applicable law for the Company to indemnify Indemnitee for the amount claimed, but the burden of proving such defense shall be on the Company and Indemnitee shall be entitled to receive interim payments of expenses pursuant to Section 3 unless and until such defense may be finally adjudicated by court order or judgment from which no further right of appeal exists. It is the parties’ intention that if the Company contests Indemnitee’s right to indemnification, the question of Indemnitee’s right to indemnification shall be for the court to decide, and neither the failure of the Company (including its Board of Directors, any committee or subgroup of the Board of Directors, independent legal counsel, or its shareholders) to have made a determination that indemnification of Indemnitee is proper in the circumstances because Indemnitee has met the applicable standard of conduct required by applicable law, nor an actual determination by the Company (including its Board of Directors, any committee or subgroup of the Board of Directors, independent legal counsel, or its shareholders) that Indemnitee has not met such applicable standard of conduct, shall create a presumption that Indemnitee has or has not met the applicable standard of conduct.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(d)</w:t>
      </w:r>
      <w:r>
        <w:rPr>
          <w:rFonts w:ascii="Times New Roman;Times;serif" w:hAnsi="Times New Roman;Times;serif"/>
          <w:sz w:val="20"/>
          <w:u w:val="single"/>
        </w:rPr>
        <w:t>Notice to Insurers</w:t>
      </w:r>
      <w:r>
        <w:rPr>
          <w:rFonts w:ascii="Times New Roman;Times;serif" w:hAnsi="Times New Roman;Times;serif"/>
          <w:sz w:val="20"/>
        </w:rPr>
        <w:t>. If, at the time of the receipt of a notice of a claim pursuant to Section 3(b) hereof, the Company has liability insurance in effect, the Company shall give prompt notice of the commencement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(e)</w:t>
      </w:r>
      <w:r>
        <w:rPr>
          <w:rFonts w:ascii="Times New Roman;Times;serif" w:hAnsi="Times New Roman;Times;serif"/>
          <w:sz w:val="20"/>
          <w:u w:val="single"/>
        </w:rPr>
        <w:t>Selection of Counsel</w:t>
      </w:r>
      <w:r>
        <w:rPr>
          <w:rFonts w:ascii="Times New Roman;Times;serif" w:hAnsi="Times New Roman;Times;serif"/>
          <w:sz w:val="20"/>
        </w:rPr>
        <w:t>. In the event the Company shall be obligated under Section 3(a) hereof to pay the expenses of any Proceeding against Indemnitee, the Company, if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appropriate, shall be entitled to assume the defense of such Proceeding at its own expense, with counsel approved by Indemnitee, upon the delivery to Indemnitee of written notice of its election so to do. After delivery of such notice, approval of such counsel by Indemnitee and the retention of such counsel by the Company, the Company will not be liable to Indemnitee under this Agreement for any fees of counsel subsequently incurred by Indemnitee with respect to the same Proceeding, provided that (i) Indemnitee shall have the right to employ counsel in any such Proceeding at Indemnitee’s expense; and (ii) if (A) the employment of counsel by Indemnitee has been previously authorized by the Company, (B) Indemnitee shall have reasonably concluded that there may be a conflict of interest between the Company and Indemnitee in the conduct of any such defense or (C) the Company shall not, in fact, have employed counsel to assume the defense of such Proceeding, then the fees and expenses of Indemnitee’s counsel shall be at the expense of the Company. The Company shall not settle any Proceeding in any manner that would impose any penalty or limitation on the Indemnitee without the Indemnitee’s written consent. Neither the Company nor the Indemnitee will unreasonably withhold or delay their consent to any proposed settlement.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4.</w:t>
      </w:r>
      <w:r>
        <w:rPr>
          <w:rFonts w:ascii="Times New Roman;Times;serif" w:hAnsi="Times New Roman;Times;serif"/>
          <w:b/>
          <w:sz w:val="20"/>
        </w:rPr>
        <w:t>Additional Indemnification Rights; Nonexclusivity</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(a)</w:t>
      </w:r>
      <w:r>
        <w:rPr>
          <w:rFonts w:ascii="Times New Roman;Times;serif" w:hAnsi="Times New Roman;Times;serif"/>
          <w:sz w:val="20"/>
          <w:u w:val="single"/>
        </w:rPr>
        <w:t>Scope</w:t>
      </w:r>
      <w:r>
        <w:rPr>
          <w:rFonts w:ascii="Times New Roman;Times;serif" w:hAnsi="Times New Roman;Times;serif"/>
          <w:sz w:val="20"/>
        </w:rPr>
        <w:t>. Notwithstanding any other provision of this Agreement but subject to Section 9 of this Agreement, the Company hereby agrees to indemnify the Indemnitee to the fullest extent permitted by law against all expenses, judgments, fines, penalties and amounts paid in settlement actually and reasonably incurred by him or on his behalf as a result of his Corporate Status, notwithstanding that such indemnification is not specifically authorized by the other provisions of this Agreement, the Company’s Restated Memorandum and Articles, or by statute. In the event of any change, after the date of this Agreement, in any applicable law, statute, or rule which expands the right of a Cayman Islands company to indemnify a member of its board of directors or an officer, such changes shall be deemed to be within the purview of Indemnitee’s rights and the Company’s obligations under this Agreement. In the event of any change in any applicable law, statute or rule which narrows the right of a Cayman Islands company to indemnify a member of its board of directors or an officer, such changes, to the extent not otherwise required by such law, statute or rule to be applied to this Agreement shall have no effect on this Agreement or the parties’ rights and obligations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(b)</w:t>
      </w:r>
      <w:r>
        <w:rPr>
          <w:rFonts w:ascii="Times New Roman;Times;serif" w:hAnsi="Times New Roman;Times;serif"/>
          <w:sz w:val="20"/>
          <w:u w:val="single"/>
        </w:rPr>
        <w:t>Nonexclusivity</w:t>
      </w:r>
      <w:r>
        <w:rPr>
          <w:rFonts w:ascii="Times New Roman;Times;serif" w:hAnsi="Times New Roman;Times;serif"/>
          <w:sz w:val="20"/>
        </w:rPr>
        <w:t>. The indemnification provided by this Agreement shall not be deemed exclusive of any rights to which Indemnitee may be entitled under the Company’s Restated Memorandum and Articles, any agreement, any vote of shareholders or disinterested members of the Company’s Board of Directors, the Companies Law or other laws of the Cayman Islands, as amended from time to time, or otherwise, both as to action in Indemnitee’s official capacity and as to action in another capacity while holding such office. The indemnification provided under this Agreement shall continue as to Indemnitee for any action taken or not taken while serving in an indemnified capacity even though he or she may have ceased to serve in any such capacity at the time of any Proceeding or at the time any liability or expense is incurred for which indemnification can be provided under this Agreement.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5.</w:t>
      </w:r>
      <w:r>
        <w:rPr>
          <w:rFonts w:ascii="Times New Roman;Times;serif" w:hAnsi="Times New Roman;Times;serif"/>
          <w:b/>
          <w:sz w:val="20"/>
        </w:rPr>
        <w:t>Partial Indemnification</w:t>
      </w:r>
      <w:r>
        <w:rPr>
          <w:rFonts w:ascii="Times New Roman;Times;serif" w:hAnsi="Times New Roman;Times;serif"/>
          <w:sz w:val="20"/>
        </w:rPr>
        <w:t>. If Indemnitee is entitled under any provision of this Agreement to indemnification by the Company for some or a portion of the expenses, judgments, fines, penalties or amounts paid in settlement actually or reasonably incurred by Indemnitee in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investigation, defense, appeal or settlement of any Proceeding, but not, however, for the total amount thereof, the Company shall nevertheless indemnify Indemnitee for the portion of such expenses, judgments, fines, penalties or amounts paid in settlement to which Indemnitee is entitled.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6.</w:t>
      </w:r>
      <w:r>
        <w:rPr>
          <w:rFonts w:ascii="Times New Roman;Times;serif" w:hAnsi="Times New Roman;Times;serif"/>
          <w:b/>
          <w:sz w:val="20"/>
        </w:rPr>
        <w:t>Mutual Acknowledgment</w:t>
      </w:r>
      <w:r>
        <w:rPr>
          <w:rFonts w:ascii="Times New Roman;Times;serif" w:hAnsi="Times New Roman;Times;serif"/>
          <w:sz w:val="20"/>
        </w:rPr>
        <w:t>. Both the Company and Indemnitee acknowledge that in certain instances, U.S. federal law or public policy or the laws of the applicable jurisdiction may prohibit the Company from indemnifying its directors and officers under this Agreement or otherwise (and, in the case of U.S. federal law, override applicable U.S. state law). For example, the Company and Indemnitee acknowledge that the U.S. Securities and Exchange Commission (the “</w:t>
      </w:r>
      <w:r>
        <w:rPr>
          <w:rFonts w:ascii="Times New Roman;Times;serif" w:hAnsi="Times New Roman;Times;serif"/>
          <w:sz w:val="20"/>
          <w:u w:val="single"/>
        </w:rPr>
        <w:t>SEC</w:t>
      </w:r>
      <w:r>
        <w:rPr>
          <w:rFonts w:ascii="Times New Roman;Times;serif" w:hAnsi="Times New Roman;Times;serif"/>
          <w:sz w:val="20"/>
        </w:rPr>
        <w:t>”) has taken the position that indemnification is not permissible for liabilities arising under certain U.S. federal securities laws, and U.S. federal legislation prohibits indemnification for certain ERISA violations. Indemnitee understands and acknowledges that the Company has undertaken or may be required in the future to undertake with the SEC to submit the question of indemnification to a court in certain circumstances for a determination of the Company’s right under public policy to indemnify Indemnitee.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7.</w:t>
      </w:r>
      <w:r>
        <w:rPr>
          <w:rFonts w:ascii="Times New Roman;Times;serif" w:hAnsi="Times New Roman;Times;serif"/>
          <w:b/>
          <w:sz w:val="20"/>
        </w:rPr>
        <w:t>Liability Insurance</w:t>
      </w:r>
      <w:r>
        <w:rPr>
          <w:rFonts w:ascii="Times New Roman;Times;serif" w:hAnsi="Times New Roman;Times;serif"/>
          <w:sz w:val="20"/>
        </w:rPr>
        <w:t>. The Company shall, from time to time, make the good faith determination whether or not it is practicable for the Company to obtain and maintain a policy or policies of insurance with reputable insurance companies providing the directors and officers of the Company with coverage for losses from wrongful acts, or to ensure the Company’s performance of its indemnification obligations under this Agreement. Among other considerations, the Company will weigh the costs of obtaining such insurance coverage against the protection afforded by such coverage. In all policies of such liability insurance, Indemnitee shall be named as an insured in such a manner as to provide Indemnitee the same rights and benefits as are accorded to the most favorably insured of the Company’s directors, if Indemnitee is a director; or of the Company’s officers, if Indemnitee is not a director of the Company but is an officer. Notwithstanding the foregoing, the Company shall have no obligation to obtain or maintain such insurance if the Company determines in good faith that such insurance is not reasonably available, if the premium costs for such insurance are disproportionate to the amount of coverage provided, if the coverage provided by such insurance is limited by exclusions so as to provide an insufficient benefit, or if Indemnitee is covered by similar insurance maintained by a Related Entity of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8.</w:t>
      </w:r>
      <w:r>
        <w:rPr>
          <w:rFonts w:ascii="Times New Roman;Times;serif" w:hAnsi="Times New Roman;Times;serif"/>
          <w:b/>
          <w:sz w:val="20"/>
        </w:rPr>
        <w:t>Severability</w:t>
      </w:r>
      <w:r>
        <w:rPr>
          <w:rFonts w:ascii="Times New Roman;Times;serif" w:hAnsi="Times New Roman;Times;serif"/>
          <w:sz w:val="20"/>
        </w:rPr>
        <w:t>. Nothing in this Agreement is intended to require or shall be construed as requiring the Company to do or fail to do any act in violation of applicable law. The Company’s inability, pursuant to court order, to perform its obligations under this Agreement shall not constitute a breach of this Agreement. The provisions of this Agreement shall be severable as provided in this Section 8. If this Agreement or any portion hereof shall be invalidated on any ground by any court of competent jurisdiction, then the Company shall nevertheless indemnify Indemnitee to the full extent permitted by any applicable portion of this Agreement that shall not have been invalidated, and the balance of this Agreement not so invalidated shall be enforceable in accordance with its terms.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9.</w:t>
      </w:r>
      <w:r>
        <w:rPr>
          <w:rFonts w:ascii="Times New Roman;Times;serif" w:hAnsi="Times New Roman;Times;serif"/>
          <w:b/>
          <w:sz w:val="20"/>
        </w:rPr>
        <w:t>Exceptions</w:t>
      </w:r>
      <w:r>
        <w:rPr>
          <w:rFonts w:ascii="Times New Roman;Times;serif" w:hAnsi="Times New Roman;Times;serif"/>
          <w:sz w:val="20"/>
        </w:rPr>
        <w:t>. Any other provision herein to the contrary notwithstanding, the Company shall not be obligated pursuant to the terms of this Agreement: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(a)</w:t>
      </w:r>
      <w:r>
        <w:rPr>
          <w:rFonts w:ascii="Times New Roman;Times;serif" w:hAnsi="Times New Roman;Times;serif"/>
          <w:sz w:val="20"/>
          <w:u w:val="single"/>
        </w:rPr>
        <w:t>Claims Initiated by Indemnitee</w:t>
      </w:r>
      <w:r>
        <w:rPr>
          <w:rFonts w:ascii="Times New Roman;Times;serif" w:hAnsi="Times New Roman;Times;serif"/>
          <w:sz w:val="20"/>
        </w:rPr>
        <w:t>. To indemnify or advance expenses to Indemnitee with respect to Proceedings initiated or brought voluntarily by Indemnitee and not by way of defense, except with respect to Proceedings brought to establish or enforce a right to indemnification under this Agreement or any other statute or law or otherwise as required under applicable laws, but such indemnification or advancement of expenses may be provided by the Company in specific cases if the Board of Directors finds it to be appropriate;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(b)</w:t>
      </w:r>
      <w:r>
        <w:rPr>
          <w:rFonts w:ascii="Times New Roman;Times;serif" w:hAnsi="Times New Roman;Times;serif"/>
          <w:sz w:val="20"/>
          <w:u w:val="single"/>
        </w:rPr>
        <w:t>Lack of Good Faith</w:t>
      </w:r>
      <w:r>
        <w:rPr>
          <w:rFonts w:ascii="Times New Roman;Times;serif" w:hAnsi="Times New Roman;Times;serif"/>
          <w:sz w:val="20"/>
        </w:rPr>
        <w:t>. To indemnify Indemnitee for any expenses incurred by Indemnitee with respect to any Proceeding instituted by Indemnitee to enforce or interpret this Agreement, if a court of competent jurisdiction determines that each of the material assertions made by Indemnitee in such Proceeding was not made in good faith or was frivolous;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(c)</w:t>
      </w:r>
      <w:r>
        <w:rPr>
          <w:rFonts w:ascii="Times New Roman;Times;serif" w:hAnsi="Times New Roman;Times;serif"/>
          <w:sz w:val="20"/>
          <w:u w:val="single"/>
        </w:rPr>
        <w:t>Insured Claims</w:t>
      </w:r>
      <w:r>
        <w:rPr>
          <w:rFonts w:ascii="Times New Roman;Times;serif" w:hAnsi="Times New Roman;Times;serif"/>
          <w:sz w:val="20"/>
        </w:rPr>
        <w:t>. To indemnify Indemnitee for expenses or liabilities of any type whatsoever (including, but not limited to, judgments, fines, ERISA excise taxes or penalties, and amounts paid in settlement) to the extent such expenses or liabilities have been paid directly to Indemnitee by an insurance carrier under a policy of officers’ and directors’ liability insurance maintained by the Company;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(d)</w:t>
      </w:r>
      <w:r>
        <w:rPr>
          <w:rFonts w:ascii="Times New Roman;Times;serif" w:hAnsi="Times New Roman;Times;serif"/>
          <w:sz w:val="20"/>
          <w:u w:val="single"/>
        </w:rPr>
        <w:t>Claims under Section 16(b)</w:t>
      </w:r>
      <w:r>
        <w:rPr>
          <w:rFonts w:ascii="Times New Roman;Times;serif" w:hAnsi="Times New Roman;Times;serif"/>
          <w:sz w:val="20"/>
        </w:rPr>
        <w:t>. To indemnify Indemnitee for expenses or the payment of profits arising from the purchase and sale by Indemnitee of securities in violation of Section 16(b) of the U.S. Securities Exchange Act of 1934, as amended, or any similar successor statute.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10.</w:t>
      </w:r>
      <w:r>
        <w:rPr>
          <w:rFonts w:ascii="Times New Roman;Times;serif" w:hAnsi="Times New Roman;Times;serif"/>
          <w:b/>
          <w:sz w:val="20"/>
        </w:rPr>
        <w:t>Construction of Certain Phrases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(a)</w:t>
      </w:r>
      <w:r>
        <w:rPr>
          <w:rFonts w:ascii="Times New Roman;Times;serif" w:hAnsi="Times New Roman;Times;serif"/>
          <w:sz w:val="20"/>
        </w:rPr>
        <w:t>For purposes of this Agreement, references to the “Company”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employees or agents, so that if Indemnitee is or was a director, officer, employee or agent of such constituent corporation, or is or was serving at the request of such constituent corporation as a director, officer, employee or agent of another corporation, partnership, limited liability company, joint venture, trust or other enterprise, Indemnitee shall stand in the same position under the provisions of this Agreement with respect to the resulting or surviving corporation as Indemnitee would have with respect to such constituent corporation if its separate existence had continued.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(b)</w:t>
      </w:r>
      <w:r>
        <w:rPr>
          <w:rFonts w:ascii="Times New Roman;Times;serif" w:hAnsi="Times New Roman;Times;serif"/>
          <w:sz w:val="20"/>
        </w:rPr>
        <w:t>For purposes of this Agreement, references to “other enterprises” shall include employee benefit plans; references to “fines” shall include any excise taxes assessed on Indemnitee with respect to an employee benefit plan; and references to “serving at the request of the Company” shall include any service as a director, officer, employee or agent of the Company which imposes duties on, or involves services by, such director, officer, employee or agent with respect to an employee benefit plan, its participants, or beneficiaries; and if Indemnitee acted in good faith and in a manner Indemnitee reasonably believed to be in the interest of the participants and beneficiaries of an employee benefit plan, Indemnitee shall be deemed to have acted in a manner “not opposed to the best interests of the Company” as referred to in this Agreement; references to the “expenses” shall include, without limitation, attorneys’ fees,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retainers, court costs, transcript costs, fees and expenses of experts, travel expenses, duplicating costs, printing and binding costs, telephone charges, postage, delivery service fees and other disbursements or expenses of the types customarily incurred in connection with prosecuting, defending, preparing to prosecute or defend, investigating, participating, or being or preparing to be a witness in a Proceeding, or responding to, or objecting to, a request to provide discovery in any Proceeding, and shall also include expenses incurred in connection with any appeal resulting from any Proceeding and any federal, state, local or foreign taxes imposed on Indemnitee as a result of the actual or deemed receipt of any payments under this Agreement, including without limitation the premium, security for, and other costs relating to any cost bond, supersede as bond or other appeal bond or its equivalent, but shall not include the amount of judgments, fines or penalties against Indemnitee or amounts paid in settlement in connection with such matters.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11.</w:t>
      </w:r>
      <w:r>
        <w:rPr>
          <w:rFonts w:ascii="Times New Roman;Times;serif" w:hAnsi="Times New Roman;Times;serif"/>
          <w:b/>
          <w:sz w:val="20"/>
        </w:rPr>
        <w:t>Attorneys’ Fees</w:t>
      </w:r>
      <w:r>
        <w:rPr>
          <w:rFonts w:ascii="Times New Roman;Times;serif" w:hAnsi="Times New Roman;Times;serif"/>
          <w:sz w:val="20"/>
        </w:rPr>
        <w:t>. In the event that any action is instituted by Indemnitee under this Agreement to enforce or interpret any of the terms hereof, Indemnitee shall be entitled to be paid all court costs and expenses, including reasonable attorneys’ fees, incurred by Indemnitee with respect to such action, unless as a part of such action, the court of competent jurisdiction determines that each of the material assertions made by Indemnitee as a basis for such action were not made in good faith or were frivolous. In the event of an action instituted by or in the name of the Company under this Agreement or to enforce or interpret any of the terms of this Agreement, Indemnitee shall be entitled to be paid all court costs and expenses, including attorneys’ fees, incurred by Indemnitee in defense of such action (including with respect to Indemnitee’s counterclaims and cross-claims made in such action), unless as a part of such action the court determines that each of Indemnitee’s material defenses to such action were made in bad faith or were frivolous.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12.</w:t>
      </w:r>
      <w:r>
        <w:rPr>
          <w:rFonts w:ascii="Times New Roman;Times;serif" w:hAnsi="Times New Roman;Times;serif"/>
          <w:b/>
          <w:sz w:val="20"/>
        </w:rPr>
        <w:t>Miscellaneous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(a)</w:t>
      </w:r>
      <w:r>
        <w:rPr>
          <w:rFonts w:ascii="Times New Roman;Times;serif" w:hAnsi="Times New Roman;Times;serif"/>
          <w:sz w:val="20"/>
          <w:u w:val="single"/>
        </w:rPr>
        <w:t>Governing Law</w:t>
      </w:r>
      <w:r>
        <w:rPr>
          <w:rFonts w:ascii="Times New Roman;Times;serif" w:hAnsi="Times New Roman;Times;serif"/>
          <w:sz w:val="20"/>
        </w:rPr>
        <w:t>. This Agreement and all acts and transactions pursuant hereto and the rights and obligations of the parties hereto shall be governed, construed and interpreted in accordance with the laws of the Cayman Islands, without giving effect to principles of conflicts of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(b)</w:t>
      </w:r>
      <w:r>
        <w:rPr>
          <w:rFonts w:ascii="Times New Roman;Times;serif" w:hAnsi="Times New Roman;Times;serif"/>
          <w:sz w:val="20"/>
          <w:u w:val="single"/>
        </w:rPr>
        <w:t>Entire Agreement; Enforcement of Rights</w:t>
      </w:r>
      <w:r>
        <w:rPr>
          <w:rFonts w:ascii="Times New Roman;Times;serif" w:hAnsi="Times New Roman;Times;serif"/>
          <w:sz w:val="20"/>
        </w:rPr>
        <w:t>. This Agreement sets forth the entire agreement and understanding of the parties relating to the subject matter herein and merges all prior discussions between them. No modification of or amendment to this Agreement, nor any waiver of any rights under this Agreement, shall be effective unless in writing signed by the parties to this Agreement. The failure by either party to enforce any rights under this Agreement shall not be construed as a waiver of any rights of such party.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(c)</w:t>
      </w:r>
      <w:r>
        <w:rPr>
          <w:rFonts w:ascii="Times New Roman;Times;serif" w:hAnsi="Times New Roman;Times;serif"/>
          <w:sz w:val="20"/>
          <w:u w:val="single"/>
        </w:rPr>
        <w:t>Construction</w:t>
      </w:r>
      <w:r>
        <w:rPr>
          <w:rFonts w:ascii="Times New Roman;Times;serif" w:hAnsi="Times New Roman;Times;serif"/>
          <w:sz w:val="20"/>
        </w:rPr>
        <w:t>. This Agreement is the result of negotiations between and has been reviewed by each of the parties hereto and their respective counsel, if any; accordingly, this Agreement shall be deemed to be the product of all of the parties hereto, and no ambiguity shall be construed in favor of or against any one of the parties hereto.</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(d)</w:t>
      </w:r>
      <w:r>
        <w:rPr>
          <w:rFonts w:ascii="Times New Roman;Times;serif" w:hAnsi="Times New Roman;Times;serif"/>
          <w:sz w:val="20"/>
          <w:u w:val="single"/>
        </w:rPr>
        <w:t>Notices</w:t>
      </w:r>
      <w:r>
        <w:rPr>
          <w:rFonts w:ascii="Times New Roman;Times;serif" w:hAnsi="Times New Roman;Times;serif"/>
          <w:sz w:val="20"/>
        </w:rPr>
        <w:t>. Any notice, demand or request required or permitted to be given under this Agreement shall be in writing and shall be deemed sufficient when delivered personally or sent by email or 48 hours after being sent by nationally-recognized courier 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deposited in the mail (or the postal service of the applicable jurisdiction), as certified or registered mail, with postage prepaid, and addressed to the party to be notified at such party’s address as set forth below or as subsequently modified by written notice.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(e)</w:t>
      </w:r>
      <w:r>
        <w:rPr>
          <w:rFonts w:ascii="Times New Roman;Times;serif" w:hAnsi="Times New Roman;Times;serif"/>
          <w:sz w:val="20"/>
          <w:u w:val="single"/>
        </w:rPr>
        <w:t>Counterparts</w:t>
      </w:r>
      <w:r>
        <w:rPr>
          <w:rFonts w:ascii="Times New Roman;Times;serif" w:hAnsi="Times New Roman;Times;serif"/>
          <w:sz w:val="20"/>
        </w:rPr>
        <w:t>. This Agreement may be executed in two or more counterparts, each of which shall be deemed an original and all of which together shall constitute one instrument. Either party may execute this Agreement by facsimile or scanned signature, and the other party will be entitled to rely on such facsimile or scanned signature as conclusive evidence that this Agreement has been duly executed by such party.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(f)</w:t>
      </w:r>
      <w:r>
        <w:rPr>
          <w:rFonts w:ascii="Times New Roman;Times;serif" w:hAnsi="Times New Roman;Times;serif"/>
          <w:sz w:val="20"/>
          <w:u w:val="single"/>
        </w:rPr>
        <w:t>Successors and Assigns</w:t>
      </w:r>
      <w:r>
        <w:rPr>
          <w:rFonts w:ascii="Times New Roman;Times;serif" w:hAnsi="Times New Roman;Times;serif"/>
          <w:sz w:val="20"/>
        </w:rPr>
        <w:t>. This Agreement shall be binding upon the Company and its successors and assigns, and inure to the benefit of Indemnitee and Indemnitee’s heirs, legal representatives and assigns.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(g)</w:t>
      </w:r>
      <w:r>
        <w:rPr>
          <w:rFonts w:ascii="Times New Roman;Times;serif" w:hAnsi="Times New Roman;Times;serif"/>
          <w:sz w:val="20"/>
          <w:u w:val="single"/>
        </w:rPr>
        <w:t>Subrogation</w:t>
      </w:r>
      <w:r>
        <w:rPr>
          <w:rFonts w:ascii="Times New Roman;Times;serif" w:hAnsi="Times New Roman;Times;serif"/>
          <w:sz w:val="20"/>
        </w:rPr>
        <w:t>. Except as provided under Section 1(d), in the event of payment to Indemnitee by the Company under this Agreement, the Company shall be subrogated to the extent of such payment to all of the rights of recovery of Indemnitee, who shall execute all documents required and shall do all acts that may be necessary to secure such rights and to enable the Company to effectively bring suit to enforce such rights.</w:t>
      </w:r>
    </w:p>
    <w:p>
      <w:pPr>
        <w:pStyle w:val="TextBody"/>
        <w:bidi w:val="0"/>
        <w:spacing w:before="0" w:after="120"/>
        <w:ind w:left="0" w:right="0" w:firstLine="720"/>
        <w:jc w:val="left"/>
        <w:rPr/>
      </w:pPr>
      <w:r>
        <w:rPr/>
        <w:t>​</w:t>
      </w:r>
    </w:p>
    <w:p>
      <w:pPr>
        <w:pStyle w:val="TextBody"/>
        <w:bidi w:val="0"/>
        <w:spacing w:before="0" w:after="120"/>
        <w:ind w:left="0" w:right="0" w:hanging="0"/>
        <w:jc w:val="center"/>
        <w:rPr>
          <w:rFonts w:ascii="Times New Roman;Times;serif" w:hAnsi="Times New Roman;Times;serif"/>
          <w:i/>
          <w:sz w:val="20"/>
        </w:rPr>
      </w:pPr>
      <w:r>
        <w:rPr>
          <w:rFonts w:ascii="Times New Roman;Times;serif" w:hAnsi="Times New Roman;Times;serif"/>
          <w:i/>
          <w:sz w:val="20"/>
        </w:rPr>
        <w:t>[Signature Pages Follow]</w:t>
      </w:r>
    </w:p>
    <w:p>
      <w:pPr>
        <w:pStyle w:val="TextBody"/>
        <w:bidi w:val="0"/>
        <w:spacing w:before="0" w:after="12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parties have executed this Indemnification Agreement as of the date first set forth above.</w:t>
      </w:r>
    </w:p>
    <w:p>
      <w:pPr>
        <w:pStyle w:val="TextBody"/>
        <w:bidi w:val="0"/>
        <w:spacing w:before="0" w:after="0"/>
        <w:ind w:left="0" w:right="0" w:firstLine="720"/>
        <w:jc w:val="left"/>
        <w:rPr/>
      </w:pPr>
      <w:r>
        <w:rPr/>
        <w:t>​</w:t>
      </w:r>
    </w:p>
    <w:tbl>
      <w:tblPr>
        <w:tblW w:w="1789" w:type="dxa"/>
        <w:jc w:val="left"/>
        <w:tblInd w:w="0" w:type="dxa"/>
        <w:tblLayout w:type="fixed"/>
        <w:tblCellMar>
          <w:top w:w="0" w:type="dxa"/>
          <w:left w:w="0" w:type="dxa"/>
          <w:bottom w:w="0" w:type="dxa"/>
          <w:right w:w="0" w:type="dxa"/>
        </w:tblCellMar>
      </w:tblPr>
      <w:tblGrid>
        <w:gridCol w:w="124"/>
        <w:gridCol w:w="1100"/>
        <w:gridCol w:w="73"/>
        <w:gridCol w:w="492"/>
      </w:tblGrid>
      <w:tr>
        <w:trPr/>
        <w:tc>
          <w:tcPr>
            <w:tcW w:w="124" w:type="dxa"/>
            <w:tcBorders/>
            <w:vAlign w:val="center"/>
          </w:tcPr>
          <w:p>
            <w:pPr>
              <w:pStyle w:val="TableContents"/>
              <w:bidi w:val="0"/>
              <w:spacing w:before="0" w:after="0"/>
              <w:ind w:left="0" w:right="0" w:hanging="0"/>
              <w:jc w:val="left"/>
              <w:rPr/>
            </w:pPr>
            <w:r>
              <w:rPr/>
              <w:t>​</w:t>
            </w:r>
          </w:p>
        </w:tc>
        <w:tc>
          <w:tcPr>
            <w:tcW w:w="166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THE COMPANY</w:t>
            </w:r>
            <w:r>
              <w:rPr>
                <w:rFonts w:ascii="Times New Roman;Times;serif" w:hAnsi="Times New Roman;Times;serif"/>
                <w:sz w:val="20"/>
              </w:rPr>
              <w:t>:</w:t>
            </w:r>
          </w:p>
        </w:tc>
      </w:tr>
      <w:tr>
        <w:trPr/>
        <w:tc>
          <w:tcPr>
            <w:tcW w:w="124" w:type="dxa"/>
            <w:tcBorders/>
            <w:vAlign w:val="center"/>
          </w:tcPr>
          <w:p>
            <w:pPr>
              <w:pStyle w:val="TableContents"/>
              <w:bidi w:val="0"/>
              <w:spacing w:before="0" w:after="0"/>
              <w:ind w:left="0" w:right="0" w:hanging="0"/>
              <w:jc w:val="left"/>
              <w:rPr/>
            </w:pPr>
            <w:r>
              <w:rPr/>
              <w:t>​</w:t>
            </w:r>
          </w:p>
        </w:tc>
        <w:tc>
          <w:tcPr>
            <w:tcW w:w="166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66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NETEASE, INC.</w:t>
            </w:r>
          </w:p>
        </w:tc>
      </w:tr>
      <w:tr>
        <w:trPr/>
        <w:tc>
          <w:tcPr>
            <w:tcW w:w="124" w:type="dxa"/>
            <w:tcBorders/>
            <w:vAlign w:val="center"/>
          </w:tcPr>
          <w:p>
            <w:pPr>
              <w:pStyle w:val="TableContents"/>
              <w:bidi w:val="0"/>
              <w:spacing w:before="0" w:after="0"/>
              <w:ind w:left="0" w:right="0" w:hanging="0"/>
              <w:jc w:val="left"/>
              <w:rPr/>
            </w:pPr>
            <w:r>
              <w:rPr/>
              <w:t>​</w:t>
            </w:r>
          </w:p>
        </w:tc>
        <w:tc>
          <w:tcPr>
            <w:tcW w:w="166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1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65"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173"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92"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66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r>
      <w:tr>
        <w:trPr/>
        <w:tc>
          <w:tcPr>
            <w:tcW w:w="124" w:type="dxa"/>
            <w:tcBorders/>
            <w:vAlign w:val="center"/>
          </w:tcPr>
          <w:p>
            <w:pPr>
              <w:pStyle w:val="TableContents"/>
              <w:bidi w:val="0"/>
              <w:spacing w:before="0" w:after="0"/>
              <w:ind w:left="0" w:right="0" w:hanging="0"/>
              <w:jc w:val="left"/>
              <w:rPr/>
            </w:pPr>
            <w:r>
              <w:rPr/>
              <w:t>​</w:t>
            </w:r>
          </w:p>
        </w:tc>
        <w:tc>
          <w:tcPr>
            <w:tcW w:w="166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66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Address:</w:t>
            </w:r>
          </w:p>
        </w:tc>
      </w:tr>
      <w:tr>
        <w:trPr/>
        <w:tc>
          <w:tcPr>
            <w:tcW w:w="124" w:type="dxa"/>
            <w:tcBorders/>
            <w:vAlign w:val="center"/>
          </w:tcPr>
          <w:p>
            <w:pPr>
              <w:pStyle w:val="TableContents"/>
              <w:bidi w:val="0"/>
              <w:spacing w:before="0" w:after="0"/>
              <w:ind w:left="0" w:right="0" w:hanging="0"/>
              <w:jc w:val="left"/>
              <w:rPr/>
            </w:pPr>
            <w:r>
              <w:rPr/>
              <w:t>​</w:t>
            </w:r>
          </w:p>
        </w:tc>
        <w:tc>
          <w:tcPr>
            <w:tcW w:w="166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66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 Address:</w:t>
            </w:r>
          </w:p>
        </w:tc>
      </w:tr>
    </w:tbl>
    <w:p>
      <w:pPr>
        <w:pStyle w:val="TextBody"/>
        <w:bidi w:val="0"/>
        <w:spacing w:before="0" w:after="0"/>
        <w:ind w:left="432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[Signature Page to Indemnification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parties have executed this Indemnification Agreement as of the date first set forth above.</w:t>
      </w:r>
    </w:p>
    <w:p>
      <w:pPr>
        <w:pStyle w:val="TextBody"/>
        <w:bidi w:val="0"/>
        <w:spacing w:before="0" w:after="0"/>
        <w:ind w:left="0" w:right="0" w:firstLine="720"/>
        <w:jc w:val="left"/>
        <w:rPr/>
      </w:pPr>
      <w:r>
        <w:rPr/>
        <w:t>​</w:t>
      </w:r>
    </w:p>
    <w:tbl>
      <w:tblPr>
        <w:tblW w:w="2075" w:type="dxa"/>
        <w:jc w:val="left"/>
        <w:tblInd w:w="0" w:type="dxa"/>
        <w:tblLayout w:type="fixed"/>
        <w:tblCellMar>
          <w:top w:w="0" w:type="dxa"/>
          <w:left w:w="0" w:type="dxa"/>
          <w:bottom w:w="0" w:type="dxa"/>
          <w:right w:w="0" w:type="dxa"/>
        </w:tblCellMar>
      </w:tblPr>
      <w:tblGrid>
        <w:gridCol w:w="124"/>
        <w:gridCol w:w="1951"/>
      </w:tblGrid>
      <w:tr>
        <w:trPr/>
        <w:tc>
          <w:tcPr>
            <w:tcW w:w="124" w:type="dxa"/>
            <w:tcBorders/>
            <w:vAlign w:val="center"/>
          </w:tcPr>
          <w:p>
            <w:pPr>
              <w:pStyle w:val="TableContents"/>
              <w:bidi w:val="0"/>
              <w:spacing w:before="0" w:after="0"/>
              <w:ind w:left="0" w:right="0" w:hanging="0"/>
              <w:jc w:val="left"/>
              <w:rPr/>
            </w:pPr>
            <w:r>
              <w:rPr/>
              <w:t>​</w:t>
            </w:r>
          </w:p>
        </w:tc>
        <w:tc>
          <w:tcPr>
            <w:tcW w:w="19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THE INDEMNITEE:</w:t>
            </w:r>
          </w:p>
        </w:tc>
      </w:tr>
      <w:tr>
        <w:trPr/>
        <w:tc>
          <w:tcPr>
            <w:tcW w:w="124" w:type="dxa"/>
            <w:tcBorders/>
            <w:vAlign w:val="center"/>
          </w:tcPr>
          <w:p>
            <w:pPr>
              <w:pStyle w:val="TableContents"/>
              <w:bidi w:val="0"/>
              <w:spacing w:before="0" w:after="0"/>
              <w:ind w:left="0" w:right="0" w:hanging="0"/>
              <w:jc w:val="left"/>
              <w:rPr/>
            </w:pPr>
            <w:r>
              <w:rPr/>
              <w:t>​</w:t>
            </w:r>
          </w:p>
        </w:tc>
        <w:tc>
          <w:tcPr>
            <w:tcW w:w="195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95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95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r>
      <w:tr>
        <w:trPr/>
        <w:tc>
          <w:tcPr>
            <w:tcW w:w="124" w:type="dxa"/>
            <w:tcBorders/>
            <w:vAlign w:val="center"/>
          </w:tcPr>
          <w:p>
            <w:pPr>
              <w:pStyle w:val="TableContents"/>
              <w:bidi w:val="0"/>
              <w:spacing w:before="0" w:after="0"/>
              <w:ind w:left="0" w:right="0" w:hanging="0"/>
              <w:jc w:val="left"/>
              <w:rPr/>
            </w:pPr>
            <w:r>
              <w:rPr/>
              <w:t>​</w:t>
            </w:r>
          </w:p>
        </w:tc>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r>
      <w:tr>
        <w:trPr/>
        <w:tc>
          <w:tcPr>
            <w:tcW w:w="124" w:type="dxa"/>
            <w:tcBorders/>
            <w:vAlign w:val="center"/>
          </w:tcPr>
          <w:p>
            <w:pPr>
              <w:pStyle w:val="TableContents"/>
              <w:bidi w:val="0"/>
              <w:spacing w:before="0" w:after="0"/>
              <w:ind w:left="0" w:right="0" w:hanging="0"/>
              <w:jc w:val="left"/>
              <w:rPr/>
            </w:pPr>
            <w:r>
              <w:rPr/>
              <w:t>​</w:t>
            </w:r>
          </w:p>
        </w:tc>
        <w:tc>
          <w:tcPr>
            <w:tcW w:w="195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Address:</w:t>
            </w:r>
          </w:p>
        </w:tc>
      </w:tr>
      <w:tr>
        <w:trPr/>
        <w:tc>
          <w:tcPr>
            <w:tcW w:w="124" w:type="dxa"/>
            <w:tcBorders/>
            <w:vAlign w:val="center"/>
          </w:tcPr>
          <w:p>
            <w:pPr>
              <w:pStyle w:val="TableContents"/>
              <w:bidi w:val="0"/>
              <w:spacing w:before="0" w:after="0"/>
              <w:ind w:left="0" w:right="0" w:hanging="0"/>
              <w:jc w:val="left"/>
              <w:rPr/>
            </w:pPr>
            <w:r>
              <w:rPr/>
              <w:t>​</w:t>
            </w:r>
          </w:p>
        </w:tc>
        <w:tc>
          <w:tcPr>
            <w:tcW w:w="195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 Address: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[Signature Page to Indemnification Agreement]</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z w:val="20"/>
        </w:rPr>
      </w:pPr>
      <w:bookmarkStart w:id="2171" w:name="ntes-20231231xex11d1.htm"/>
      <w:bookmarkStart w:id="2172" w:name="ksntes20231231xex11d1"/>
      <w:bookmarkEnd w:id="2171"/>
      <w:bookmarkEnd w:id="2172"/>
      <w:r>
        <w:rPr>
          <w:rFonts w:ascii="Times New Roman" w:hAnsi="Times New Roman"/>
          <w:b/>
          <w:sz w:val="20"/>
        </w:rPr>
        <w:t>Exhibit 11.1</w:t>
      </w:r>
      <w:r>
        <w:br w:type="page"/>
      </w:r>
    </w:p>
    <w:tbl>
      <w:tblPr>
        <w:tblW w:w="12860" w:type="dxa"/>
        <w:jc w:val="center"/>
        <w:tblInd w:w="0" w:type="dxa"/>
        <w:tblLayout w:type="fixed"/>
        <w:tblCellMar>
          <w:top w:w="0" w:type="dxa"/>
          <w:left w:w="0" w:type="dxa"/>
          <w:bottom w:w="0" w:type="dxa"/>
          <w:right w:w="0" w:type="dxa"/>
        </w:tblCellMar>
      </w:tblPr>
      <w:tblGrid>
        <w:gridCol w:w="12735"/>
        <w:gridCol w:w="125"/>
      </w:tblGrid>
      <w:tr>
        <w:trPr/>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0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 name="Image2" descr=""/>
                          <pic:cNvPicPr>
                            <a:picLocks noChangeAspect="1" noChangeArrowheads="1"/>
                          </pic:cNvPicPr>
                        </pic:nvPicPr>
                        <pic:blipFill>
                          <a:blip r:embed="rId51"/>
                          <a:stretch>
                            <a:fillRect/>
                          </a:stretch>
                        </pic:blipFill>
                        <pic:spPr bwMode="auto">
                          <a:xfrm>
                            <a:off x="0" y="0"/>
                            <a:ext cx="8086725" cy="10477500"/>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NetEase, Inc. Code of Business Conduct March 2024</w:t>
            </w:r>
          </w:p>
        </w:tc>
      </w:tr>
    </w:tbl>
    <w:tbl>
      <w:tblPr>
        <w:tblW w:w="12950" w:type="dxa"/>
        <w:jc w:val="center"/>
        <w:tblInd w:w="0" w:type="dxa"/>
        <w:tblLayout w:type="fixed"/>
        <w:tblCellMar>
          <w:top w:w="0" w:type="dxa"/>
          <w:left w:w="0" w:type="dxa"/>
          <w:bottom w:w="0" w:type="dxa"/>
          <w:right w:w="0" w:type="dxa"/>
        </w:tblCellMar>
      </w:tblPr>
      <w:tblGrid>
        <w:gridCol w:w="12735"/>
        <w:gridCol w:w="215"/>
      </w:tblGrid>
      <w:tr>
        <w:trPr/>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0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 name="Image3" descr=""/>
                          <pic:cNvPicPr>
                            <a:picLocks noChangeAspect="1" noChangeArrowheads="1"/>
                          </pic:cNvPicPr>
                        </pic:nvPicPr>
                        <pic:blipFill>
                          <a:blip r:embed="rId52"/>
                          <a:stretch>
                            <a:fillRect/>
                          </a:stretch>
                        </pic:blipFill>
                        <pic:spPr bwMode="auto">
                          <a:xfrm>
                            <a:off x="0" y="0"/>
                            <a:ext cx="8086725" cy="1047750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 1. Message from the CEO ........................................................................................... 3 2. Overview and Applicability of the Code............................................................... 4 3. Making Ethical Decisions ....................................................................................... 5 4. Complying with Applicable Laws and Regulations............................................ 6 5. Complying with Our Policies &amp; Procedures........................................................ 6 6. Fair Business Practices.......................................................................................... 7 7. Protecting our Assets and Resources ................................................................. 8 8. Protecting our Information..................................................................................... 8 9. Conflict of Interest ................................................................................................. 11 10. Discrimination and Harassment.......................................................................... 13 11. Health, Safety and Environment ......................................................................... 14 12. Anti-Bribery, Anti-Corruption and Anti-Fraud .................................................. 15 13. Political and Charitable Contributions............................................................... 16 14. Accurate Books &amp; Records.................................................................................. 16 15. External Communications.................................................................................... 17 16. Raising Questions and Concerns....................................................................... 17 17. Dealing with Non-Compliant Behavior............................................................... 18 18. Approvals and Waivers......................................................................................... 19 19. Acknowledgement &amp; Certification ...................................................................... 19 Table of Contents</w:t>
            </w:r>
          </w:p>
        </w:tc>
      </w:tr>
    </w:tbl>
    <w:tbl>
      <w:tblPr>
        <w:tblW w:w="12905" w:type="dxa"/>
        <w:jc w:val="center"/>
        <w:tblInd w:w="0" w:type="dxa"/>
        <w:tblLayout w:type="fixed"/>
        <w:tblCellMar>
          <w:top w:w="0" w:type="dxa"/>
          <w:left w:w="0" w:type="dxa"/>
          <w:bottom w:w="0" w:type="dxa"/>
          <w:right w:w="0" w:type="dxa"/>
        </w:tblCellMar>
      </w:tblPr>
      <w:tblGrid>
        <w:gridCol w:w="12735"/>
        <w:gridCol w:w="170"/>
      </w:tblGrid>
      <w:tr>
        <w:trPr/>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0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 name="Image4" descr=""/>
                          <pic:cNvPicPr>
                            <a:picLocks noChangeAspect="1" noChangeArrowheads="1"/>
                          </pic:cNvPicPr>
                        </pic:nvPicPr>
                        <pic:blipFill>
                          <a:blip r:embed="rId53"/>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3 1. Message from the CEO NetEase, Inc. was founded in 1997 with the simple goal of allowing people to access the internet with ease. Today, NetEase is a leading internet technology company with diverse offerings across gaming, intelligent learning, cloud music, e-commerce and other innovative businesses. Our achievements are made possible by our commitment to maintaining a culture that values curiosity, innovation, honesty, integrity and respect. This Code of Business Conduct sets forth the fundamental principles of how we conduct our business. It is a key Company resource designed to direct us in making ethical decisions in everything we do, however big or small. Adhering to this Code will also help us strengthen our relationships with users, stakeholders and business partners, as well as help us ensure that we are in compliance with applicable legal, regulatory and contractual obligations. Please familiarize yourself with the content of this Code and the underlying corporate policies and procedures. If you have questions, would like to seek guidance or need to report any compliance issue, please contact the appropriate resources for assistance. I look forward to continuing our exciting journey with you. </w:t>
            </w:r>
            <w:r>
              <w:rPr>
                <w:rFonts w:eastAsia="Arial"/>
                <w:color w:val="FFFFFF"/>
                <w:sz w:val="2"/>
              </w:rPr>
              <w:t xml:space="preserve">、 </w:t>
            </w:r>
            <w:r>
              <w:rPr>
                <w:rFonts w:ascii="Arial" w:hAnsi="Arial"/>
                <w:color w:val="FFFFFF"/>
                <w:sz w:val="2"/>
              </w:rPr>
              <w:t>William Ding Chief Executive Officer, NetEase, Inc. Utilize Technological Innovation To Enrich People’s Lives</w:t>
            </w:r>
          </w:p>
        </w:tc>
      </w:tr>
    </w:tbl>
    <w:tbl>
      <w:tblPr>
        <w:tblW w:w="12905" w:type="dxa"/>
        <w:jc w:val="center"/>
        <w:tblInd w:w="0" w:type="dxa"/>
        <w:tblLayout w:type="fixed"/>
        <w:tblCellMar>
          <w:top w:w="0" w:type="dxa"/>
          <w:left w:w="0" w:type="dxa"/>
          <w:bottom w:w="0" w:type="dxa"/>
          <w:right w:w="0" w:type="dxa"/>
        </w:tblCellMar>
      </w:tblPr>
      <w:tblGrid>
        <w:gridCol w:w="12735"/>
        <w:gridCol w:w="170"/>
      </w:tblGrid>
      <w:tr>
        <w:trPr/>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0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 name="Image5" descr=""/>
                          <pic:cNvPicPr>
                            <a:picLocks noChangeAspect="1" noChangeArrowheads="1"/>
                          </pic:cNvPicPr>
                        </pic:nvPicPr>
                        <pic:blipFill>
                          <a:blip r:embed="rId54"/>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4 2. Overview and Applicability of the Code At NetEase, we are committed to conducting all of our activities in a legal and ethical manner. This Code of Business Conduct (“Code”) is designed to help you make the right choices in all your activities, from routine daily tasks to pivotal key decisions. It contains fundamental principles across a wide range of topics, all of which promote (i) honest and ethical conduct, (ii) compliance with applicable laws and regulations, (iii) appropriate recordkeeping practices and (iv) speaking up when something does not seem right. This Code applies to all directors, officers and employees, including employees working on a part-time or temporary basis (collectively, “colleague,” “you,” or “your”) of NetEase, Inc. and its subsidiaries and controlled affiliates (collectively, “NetEase,” the “Company,” “we,” “us,” or “our”). This Code may also apply on a contractual basis to other persons (e.g., third party contractors, consultants, vendors or distributors) that provide goods or services to, or act on behalf of, NetEase. In certain circumstances, action by your Related Parties, including your family members or your close friends (see Section 9 of this Code for more information on “Related Parties”), may create potential legal or ethical issues for NetEase. For example, a family member’s acceptance of unlawful kickbacks or inappropriate gifts could be attributed to you and ultimately result in a violation of this Code. Similarly, you may not knowingly engage in any activity that the Code prohibits by proxy or through a third party in an attempt to circumvent the Code. We are Committed to Conducting all Activities in a Legal and Ethical Manner</w:t>
            </w:r>
          </w:p>
        </w:tc>
      </w:tr>
    </w:tbl>
    <w:tbl>
      <w:tblPr>
        <w:tblW w:w="13010" w:type="dxa"/>
        <w:jc w:val="center"/>
        <w:tblInd w:w="0" w:type="dxa"/>
        <w:tblLayout w:type="fixed"/>
        <w:tblCellMar>
          <w:top w:w="0" w:type="dxa"/>
          <w:left w:w="0" w:type="dxa"/>
          <w:bottom w:w="0" w:type="dxa"/>
          <w:right w:w="0" w:type="dxa"/>
        </w:tblCellMar>
      </w:tblPr>
      <w:tblGrid>
        <w:gridCol w:w="12735"/>
        <w:gridCol w:w="275"/>
      </w:tblGrid>
      <w:tr>
        <w:trPr/>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0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 name="Image6" descr=""/>
                          <pic:cNvPicPr>
                            <a:picLocks noChangeAspect="1" noChangeArrowheads="1"/>
                          </pic:cNvPicPr>
                        </pic:nvPicPr>
                        <pic:blipFill>
                          <a:blip r:embed="rId55"/>
                          <a:stretch>
                            <a:fillRect/>
                          </a:stretch>
                        </pic:blipFill>
                        <pic:spPr bwMode="auto">
                          <a:xfrm>
                            <a:off x="0" y="0"/>
                            <a:ext cx="8086725" cy="10477500"/>
                          </a:xfrm>
                          <a:prstGeom prst="rect">
                            <a:avLst/>
                          </a:prstGeom>
                        </pic:spPr>
                      </pic:pic>
                    </a:graphicData>
                  </a:graphic>
                </wp:inline>
              </w:drawing>
            </w:r>
          </w:p>
        </w:tc>
        <w:tc>
          <w:tcPr>
            <w:tcW w:w="27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5 3. Making Ethical Decisions NetEase is committed to conducting business ethically and with integrity. We must always make choices in line with our values and principles set forth in this Code. Among other things, this means: If you have any questions, need additional guidance to determine what is the best path forward or need to report any concerns related to the topics covered in this Code, you can always ask: • Your manager; • A member of Human Resources; • A member of the Group International Legal Department or your business unit’s legal group (collectively, “Legal”); • the Ethics &amp; Compliance Committee (jubao@corp.netease.com within Mainland China; ECCOO@service.netease.com outside of Mainland China) (collectively, “ECC”); or • Through our available “Speak Up” channels, including anonymously if preferred (See Section 16 - Raising Questions and Concerns below). We Must Always Make Ethical Decisions Never compromising our values to achieve business objectives. Understanding and following our Code, policies &amp; procedures, and all laws &amp; regulations that apply to our work. Promptly speaking up when we see or suspect someone is not following the Code. Asking for help when it’s not clear what you should do. NetEase will never ask anyone to engage in any unethical behavior. If you think someone is requesting you to do something that may be illegal or unethical, please promptly report it.</w:t>
            </w:r>
          </w:p>
        </w:tc>
      </w:tr>
    </w:tbl>
    <w:tbl>
      <w:tblPr>
        <w:tblW w:w="12890" w:type="dxa"/>
        <w:jc w:val="center"/>
        <w:tblInd w:w="0" w:type="dxa"/>
        <w:tblLayout w:type="fixed"/>
        <w:tblCellMar>
          <w:top w:w="0" w:type="dxa"/>
          <w:left w:w="0" w:type="dxa"/>
          <w:bottom w:w="0" w:type="dxa"/>
          <w:right w:w="0" w:type="dxa"/>
        </w:tblCellMar>
      </w:tblPr>
      <w:tblGrid>
        <w:gridCol w:w="12735"/>
        <w:gridCol w:w="155"/>
      </w:tblGrid>
      <w:tr>
        <w:trPr/>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0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 name="Image7" descr=""/>
                          <pic:cNvPicPr>
                            <a:picLocks noChangeAspect="1" noChangeArrowheads="1"/>
                          </pic:cNvPicPr>
                        </pic:nvPicPr>
                        <pic:blipFill>
                          <a:blip r:embed="rId56"/>
                          <a:stretch>
                            <a:fillRect/>
                          </a:stretch>
                        </pic:blipFill>
                        <pic:spPr bwMode="auto">
                          <a:xfrm>
                            <a:off x="0" y="0"/>
                            <a:ext cx="8086725" cy="10477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6 4. Complying with Applicable Laws and Regulations NetEase is committed to complying with applicable laws and regulations in the countries or jurisdictions where we do business. You are prohibited from engaging in, or attempting to engage in, any conduct that may violate such laws or regulations. NetEase will never ask you to violate the law or this Code on its behalf or to benefit the Company. There are numerous laws and regulations out there, and many are subject to change and/or open to interpretation. You are not expected to be an expert on all laws and regulations that apply to NetEase. You should, however, be reasonably familiar with those that directly relate to your responsibilities at the Company. You should also know when and who to ask for help when facing uncertainties, such as if or how a law or regulation might apply (See Section 16 - Raising Questions and Concerns below). 5. Complying with Our Policies &amp; Procedures In addition to this Code, which provides us with fundamental principles, we have various policies and procedures (including guidelines and FAQs) that outline the steps we need to follow to do what is right. The specific rules that are applicable to you may vary depending on jurisdiction and relevant legal requirements. You are expected to be familiar with and fully comply with all policies and procedures that apply to your duties and responsibilities. NetEase requires you to apply the “most rigorous standard” when there are differences between the requirements under applicable laws or regulations, this Code and/or other NetEase policies and procedures. For example, if our Code sets out a higher standard regarding anti-bribery than a particular jurisdiction’s minimum legal requirements, you are expected to follow our Code. Conversely, if our rules regarding conflicts of interest are less restrictive than your jurisdiction’s relevant regulations, you should follow those regulations. Always remember – if you are unsure of what to do, ask questions and seek guidance from Legal before taking action. We Comply with Applicable Laws &amp; Regulations</w:t>
            </w:r>
          </w:p>
        </w:tc>
      </w:tr>
    </w:tbl>
    <w:tbl>
      <w:tblPr>
        <w:tblW w:w="12935" w:type="dxa"/>
        <w:jc w:val="center"/>
        <w:tblInd w:w="0" w:type="dxa"/>
        <w:tblLayout w:type="fixed"/>
        <w:tblCellMar>
          <w:top w:w="0" w:type="dxa"/>
          <w:left w:w="0" w:type="dxa"/>
          <w:bottom w:w="0" w:type="dxa"/>
          <w:right w:w="0" w:type="dxa"/>
        </w:tblCellMar>
      </w:tblPr>
      <w:tblGrid>
        <w:gridCol w:w="12735"/>
        <w:gridCol w:w="200"/>
      </w:tblGrid>
      <w:tr>
        <w:trPr/>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0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 name="Image8" descr=""/>
                          <pic:cNvPicPr>
                            <a:picLocks noChangeAspect="1" noChangeArrowheads="1"/>
                          </pic:cNvPicPr>
                        </pic:nvPicPr>
                        <pic:blipFill>
                          <a:blip r:embed="rId57"/>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7 6. Fair Business Practices We are fair and honest in the way we do business. Whether it’s competing for new business, retaining our users, making procurement decisions or expanding our footprint, we always act fairly and in compliance with applicable laws and regulations. A. Compliance with Applicable Antitrust and Competition Laws Antitrust and competition laws are designed to promote fair and ethical competition, so that businesses or their actions do not violate the principles of a free and open market. This means we may not do certain things which illegally restrict competition and/or give us an unfair advantage, including: • Collude with competitors to fix prices or to divide markets, territories or customers; • Illegally obtain confidential information on competitors; • Rig tendering processes to win contracts; or • Use our position in a market in an illegal or unethical manner to reduce, prevent or eliminate competition. B. Fair Business Dealings We compete in the market based on the high quality of our products and services. You are expected to be fair and ethical in your dealings with competitors, customers, suppliers or business partners. Certain jurisdictions also have separate anti-unfair competition laws or fair business regulations, in addition to antitrust laws, to which we are subject. To help NetEase comply with those laws and regulations, you should: • Avoid making false remarks that unfairly disparage competitors, their products or services; • Avoid making misrepresentations about NetEase, its products or services; • Avoid obtaining and/or using information belonging to others through unlawful channels; • Respect the trade secrets and non-public information belonging to others; and • Avoid otherwise engaging in deceptive, unfair or unethical business practices. Because the laws and regulations on competition can vary from jurisdiction to jurisdiction, you should consult a member of Legal or team(s) recommended by Legal when you are unsure about the right way to conduct our business. If your role involves dealing with external parties such as vendors, customers, business partners or competitors, it is especially important for you to be familiar with the boundaries of fair competition and to ensure compliance with relevant laws and regulations. We act Fairly in Everything we do</w:t>
            </w:r>
          </w:p>
        </w:tc>
      </w:tr>
    </w:tbl>
    <w:tbl>
      <w:tblPr>
        <w:tblW w:w="12905" w:type="dxa"/>
        <w:jc w:val="center"/>
        <w:tblInd w:w="0" w:type="dxa"/>
        <w:tblLayout w:type="fixed"/>
        <w:tblCellMar>
          <w:top w:w="0" w:type="dxa"/>
          <w:left w:w="0" w:type="dxa"/>
          <w:bottom w:w="0" w:type="dxa"/>
          <w:right w:w="0" w:type="dxa"/>
        </w:tblCellMar>
      </w:tblPr>
      <w:tblGrid>
        <w:gridCol w:w="12735"/>
        <w:gridCol w:w="170"/>
      </w:tblGrid>
      <w:tr>
        <w:trPr/>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0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 name="Image9" descr=""/>
                          <pic:cNvPicPr>
                            <a:picLocks noChangeAspect="1" noChangeArrowheads="1"/>
                          </pic:cNvPicPr>
                        </pic:nvPicPr>
                        <pic:blipFill>
                          <a:blip r:embed="rId58"/>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8 7. Protecting our Assets and Resources We are committed to providing you with the assets and resources you need to succeed at NetEase. These assets and resources include, but are not limited to, office space, monetary resources, office equipment, electronic software and hardware, intellectual property, consumable goods and the goodwill of NetEase and our subsidiaries’ brands. In return, we expect you to use our assets and resources legally, reasonably, efficiently and for the legitimate benefit of NetEase. You are prohibited from engaging in any dishonest or illegal behavior involving Company assets or resources. Prohibited behaviors include, but are not limited to, theft, fraud, causing intentional or reckless damage, misappropriation, defamation or advancing unapproved personal or conflicting interests. Please refer to your Employee Handbook and relevant NetEase policies and procedures for further details on how you should protect our assets and resources. 8. Protecting our Information A. Confidential Information In the course of our work, we handle a large amount of confidential and sensitive information. This includes information generated by NetEase colleagues (including intellectual property subject to legal and contractual protections), information regarding the Company’s financial and business strategies, the Company’s trade secrets and confidential information sourced from third parties such as our business partners. You are required to have a clear understanding of what is considered confidential information and/or sensitive information at NetEase. Unless specified in Company policies or guidance, you should assume that any information which the Company has not made public (e.g., in a press release or public market disclosure) is likely considered confidential. You must protect confidential information by acting in accordance with relevant information handling and management policies and procedures. Your confidentiality obligations extend beyond your employment or engagement with NetEase, to the extent permitted by laws applicable to you. We Protect all our Assets, Resources and Information </w:t>
            </w:r>
          </w:p>
        </w:tc>
      </w:tr>
    </w:tbl>
    <w:tbl>
      <w:tblPr>
        <w:tblW w:w="12920" w:type="dxa"/>
        <w:jc w:val="center"/>
        <w:tblInd w:w="0" w:type="dxa"/>
        <w:tblLayout w:type="fixed"/>
        <w:tblCellMar>
          <w:top w:w="0" w:type="dxa"/>
          <w:left w:w="0" w:type="dxa"/>
          <w:bottom w:w="0" w:type="dxa"/>
          <w:right w:w="0" w:type="dxa"/>
        </w:tblCellMar>
      </w:tblPr>
      <w:tblGrid>
        <w:gridCol w:w="12735"/>
        <w:gridCol w:w="185"/>
      </w:tblGrid>
      <w:tr>
        <w:trPr/>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 name="Image10" descr=""/>
                          <pic:cNvPicPr>
                            <a:picLocks noChangeAspect="1" noChangeArrowheads="1"/>
                          </pic:cNvPicPr>
                        </pic:nvPicPr>
                        <pic:blipFill>
                          <a:blip r:embed="rId59"/>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9 B. MNPI and Insider Trading I. Material Non-Public Information As NetEase and several of its subsidiaries are publicly listed companies, some of our information is considered “material non-public information” (“MNPI”) in certain jurisdictions. Mishandling of MNPI may result in serious legal liability, including criminal insider trading charges and civil penalties. In general, MNPI encompasses any non-public information that, if publicly known, could reasonably be expected to (i) impact the market price of listed securities, and/or (ii) influence a reasonable investor in executing transactions to buy, sell or hold securities in a company. II. Insider Trading Whenever you trade in the securities of NetEase or its publicly traded subsidiaries, you must make sure that your trades are consistent with the processes and guidance outlined in NetEase’s Insider Trading Policy. Applicable laws and our Insider Trading Policy strictly prohibit using (or attempting to use) MNPI to make or influence trades in the securities of NetEase or its publicly traded subsidiaries. Specifically, you are prohibited from: • Trading in Company securities while in possession of MNPI; • Disclosing MNPI to others who may buy or sell securities because of the information; • Using MNPI illegally for personal advantage or the personal advantage of others; or • Otherwise using MNPI in a manner that violates our Insider Trading Policy. If you are unsure whether certain information you possess qualifies as MNPI or whether you are permitted to trade in listed securities of NetEase or its publicly traded subsidiaries, you must contact Legal to obtain guidance before you engage in any trade. “Material” Information Examples • Financial results or projections • Change in financial condition or asset value • Significant new contracts or the loss of a contract • Significant pricing changes • Significant new products or services • Significant product or service defects or modifications • Significant marketing plans, capital investment plans or changes to such plans • Material litigation, administrative actions or governmental investigations or inquiries • Major financing or borrowings • New equity or debt offerings • Significant personnel changes • Change in accounting methods and write-offs • Substantial change in industry circumstances or competitive conditions We Avoid Misusing Material Non-Public Information and Insider Trading</w:t>
            </w:r>
          </w:p>
        </w:tc>
      </w:tr>
    </w:tbl>
    <w:tbl>
      <w:tblPr>
        <w:tblW w:w="12890" w:type="dxa"/>
        <w:jc w:val="center"/>
        <w:tblInd w:w="0" w:type="dxa"/>
        <w:tblLayout w:type="fixed"/>
        <w:tblCellMar>
          <w:top w:w="0" w:type="dxa"/>
          <w:left w:w="0" w:type="dxa"/>
          <w:bottom w:w="0" w:type="dxa"/>
          <w:right w:w="0" w:type="dxa"/>
        </w:tblCellMar>
      </w:tblPr>
      <w:tblGrid>
        <w:gridCol w:w="12735"/>
        <w:gridCol w:w="155"/>
      </w:tblGrid>
      <w:tr>
        <w:trPr/>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 name="Image11" descr=""/>
                          <pic:cNvPicPr>
                            <a:picLocks noChangeAspect="1" noChangeArrowheads="1"/>
                          </pic:cNvPicPr>
                        </pic:nvPicPr>
                        <pic:blipFill>
                          <a:blip r:embed="rId60"/>
                          <a:stretch>
                            <a:fillRect/>
                          </a:stretch>
                        </pic:blipFill>
                        <pic:spPr bwMode="auto">
                          <a:xfrm>
                            <a:off x="0" y="0"/>
                            <a:ext cx="8086725" cy="10477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10 C. Personal Data “Personal data” is any information which relates to an individual and which identifies or could be used to identify them such as their name, address or bank account details. There may be overlap between personal data and confidential or sensitive information, but personal data is subject to additional legal and compliance requirements. Ensuring the privacy and security of customer and employee personal data is key not only to achieving legal compliance, but also to building a trusted brand in the market. If you are required to handle personal data, you must only collect, use, process, transfer, share or modify personal data if you have legitimate business purposes and in accordance with applicable laws and regulations. If in doubt, you should consult with Legal. You are expected to handle all personal data with care and comply with all applicable privacy policies and procedures. You must also promptly report any suspected security incidents involving personal information to Legal and NetEase’s Technical Support Department for further handling. D. Data Security It is critically important to protect and prevent our data – including confidential, sensitive and personal data – and IT network from cybersecurity or data security incidents. You should not knowingly or recklessly engage in any activity that will likely expose NetEase to potential data breaches, ransomware, malware, spyware, phishing or other types of cyberattacks. If you become aware of any actual or potential cyberattacks or data breaches involving NetEase, its data or its networks, please contact NetEase’s Technical Support Department immediately. E. Intellectual Property NetEase’s intellectual property – including our patents, trademarks, copyrights, designs and other creative works – are our valuable assets. All NetEase employees are required to protect NetEase’s intellectual property against loss, damage, theft, misappropriation or other misuse. We also respect the intellectual property of others, including our competitors, business partners and vendors. In your work for NetEase, you are only permitted to use the intellectual property of others after obtaining permission to do so (e.g., by purchasing a license from others through NetEase’s Procurement Department). You should also remember that, unless otherwise specified in writing (e.g., in an employment agreement or service contract) or required by applicable law, any intellectual property created by you or other employees in the course of your work belongs to NetEase. You are not permitted to use, copy or transfer NetEase intellectual property for personal use or for the benefit of a third party without the express written pre-approval of authorized personnel. We Handle Personal Data and Intellectual Property with Care</w:t>
            </w:r>
          </w:p>
        </w:tc>
      </w:tr>
    </w:tbl>
    <w:tbl>
      <w:tblPr>
        <w:tblW w:w="12920" w:type="dxa"/>
        <w:jc w:val="center"/>
        <w:tblInd w:w="0" w:type="dxa"/>
        <w:tblLayout w:type="fixed"/>
        <w:tblCellMar>
          <w:top w:w="0" w:type="dxa"/>
          <w:left w:w="0" w:type="dxa"/>
          <w:bottom w:w="0" w:type="dxa"/>
          <w:right w:w="0" w:type="dxa"/>
        </w:tblCellMar>
      </w:tblPr>
      <w:tblGrid>
        <w:gridCol w:w="12735"/>
        <w:gridCol w:w="185"/>
      </w:tblGrid>
      <w:tr>
        <w:trPr/>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 name="Image12" descr=""/>
                          <pic:cNvPicPr>
                            <a:picLocks noChangeAspect="1" noChangeArrowheads="1"/>
                          </pic:cNvPicPr>
                        </pic:nvPicPr>
                        <pic:blipFill>
                          <a:blip r:embed="rId61"/>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11 9. Conflict of Interest As a NetEase colleague, you are required to carry out your duties and responsibilities in the best interests of NetEase at all times. A potential conflict of interest arises when your personal interests or the interests of your “Related Party” interfere with your ability act in NetEase’s best interests, particularly with respect to a “Relevant Business.” When an actual or potential conflict of interest situation arises, you should remember three important steps: (1) assess the situation, (2) disclose the conflict and (3) comply with all instructions received. Below are some examples of situations with elevated conflict of interest risk of which you should be aware. If any of the following applies to you, you must promptly report them and comply with the instructions given. •Assess the situation using our internal guidance materials to determine whether it falls under a specificially articulated conflict of interest scenario •If you are still unsure, promptly contact an appropriate resource (e.g. ECC) for help Assess •If you believe the situation will or may create a conflict of interest, promptly, accurately and fully disclose the situation using the appropriate channel (e.g., our internal conflicts of interest reporting platform) and wait for further instructions Disclose •Once you receive a decision on the disclosed situation, you must fully comply with the decision and accompanying instructions •For situations where it is dificult or impracticable to resolve the conflict, you may be asked to give up the competing interest Comply Who is a “Related Party” and What is a “Relevant Business”? The specific policies and procedures that define “Related Party” and “Relevant Business” may differ depending on the jurisdiction. In general: • “Related Party” refers to anyone with whom you have a close personal, romantic and/or financial relationship, including your immediate family members, your partner and your close personal friends. • “Relevant Business” refers to the business activities and operations you support at NetEase. For example, if you are a gameplay designer, your Relevant Business includes our video games business. We Advance the Company’s Best Interests and Avoid Actual &amp; Potential Conflicts of Interest</w:t>
            </w:r>
          </w:p>
        </w:tc>
      </w:tr>
    </w:tbl>
    <w:tbl>
      <w:tblPr>
        <w:tblW w:w="12890" w:type="dxa"/>
        <w:jc w:val="center"/>
        <w:tblInd w:w="0" w:type="dxa"/>
        <w:tblLayout w:type="fixed"/>
        <w:tblCellMar>
          <w:top w:w="0" w:type="dxa"/>
          <w:left w:w="0" w:type="dxa"/>
          <w:bottom w:w="0" w:type="dxa"/>
          <w:right w:w="0" w:type="dxa"/>
        </w:tblCellMar>
      </w:tblPr>
      <w:tblGrid>
        <w:gridCol w:w="12735"/>
        <w:gridCol w:w="155"/>
      </w:tblGrid>
      <w:tr>
        <w:trPr/>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 name="Image13" descr=""/>
                          <pic:cNvPicPr>
                            <a:picLocks noChangeAspect="1" noChangeArrowheads="1"/>
                          </pic:cNvPicPr>
                        </pic:nvPicPr>
                        <pic:blipFill>
                          <a:blip r:embed="rId62"/>
                          <a:stretch>
                            <a:fillRect/>
                          </a:stretch>
                        </pic:blipFill>
                        <pic:spPr bwMode="auto">
                          <a:xfrm>
                            <a:off x="0" y="0"/>
                            <a:ext cx="8086725" cy="10477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12 A. Personal Relationships A conflict of interest may arise if one of your Related Parties works for NetEase, its competitor, business partner or a vendor. Depending on the factual circumstance, the conflict of interest risk may be resolved through appropriate disclosures and risk mitigation measures or may require more drastic measures. It Is important that you disclose such personal relationships to us immediately after you become aware of the potential conflict, so we can identify the best path forward for both you and NetEase. B. Corporate Opportunities You have a duty to advance NetEase’s interests when any business, commercial or investment opportunity (“Corporate Opportunity”) potentially appropriate for the Company arises. In general, you are prohibited from using NetEase property, information, resources or your position at the Company for personal gain (other than remuneration and benefits under your employment or engagement terms) without the express written pre-approval of authorized personnel. Specifically, you are prohibited from advancing, or directing a third party to advance, your personal interests or the interests of a Related Party, by pursuing any Corporate Opportunity that is discovered using Company property, information, resources or your position at the Company, unless NetEase has already been offered the Corporate Opportunity and someone at NetEase with appropriate authorization expressly turned it down in writing. It is sometimes difficult to determine what Corporate Opportunity may be considered as potentially appropriate for the Company or what constitutes a permissible or impermissible use of Company resources. If you are unsure, you should contact the appropriate resource such as Legal or ECC to seek guidance and any required approvals before you engage in further action. We Stay Mindful about Areas with Heightened Conflicts of Interest Risk </w:t>
            </w:r>
          </w:p>
        </w:tc>
      </w:tr>
    </w:tbl>
    <w:tbl>
      <w:tblPr>
        <w:tblW w:w="12890" w:type="dxa"/>
        <w:jc w:val="center"/>
        <w:tblInd w:w="0" w:type="dxa"/>
        <w:tblLayout w:type="fixed"/>
        <w:tblCellMar>
          <w:top w:w="0" w:type="dxa"/>
          <w:left w:w="0" w:type="dxa"/>
          <w:bottom w:w="0" w:type="dxa"/>
          <w:right w:w="0" w:type="dxa"/>
        </w:tblCellMar>
      </w:tblPr>
      <w:tblGrid>
        <w:gridCol w:w="12735"/>
        <w:gridCol w:w="155"/>
      </w:tblGrid>
      <w:tr>
        <w:trPr/>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 name="Image14" descr=""/>
                          <pic:cNvPicPr>
                            <a:picLocks noChangeAspect="1" noChangeArrowheads="1"/>
                          </pic:cNvPicPr>
                        </pic:nvPicPr>
                        <pic:blipFill>
                          <a:blip r:embed="rId63"/>
                          <a:stretch>
                            <a:fillRect/>
                          </a:stretch>
                        </pic:blipFill>
                        <pic:spPr bwMode="auto">
                          <a:xfrm>
                            <a:off x="0" y="0"/>
                            <a:ext cx="8086725" cy="10477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13 C. Outside Activities NetEase does not generally prevent colleagues from engaging in outside activities during non-working hours that are lawful and do not violate relevant Company policies and procedures. However, you must make sure that your outside activities, whether paid or unpaid, do not conflict or interfere with your duties and responsibilities at NetEase. Be particularly mindful of: • You may not engage in any paid or unpaid work which competes with NetEase’s businesses, in particular those that you cover as part of your duties and responsibilities at NetEase; • You may not be concurrently employed by or provide any services in your personal capacity to a competitor, business partner, customer or vendor of NetEase without express written pre-approval of authorized personnel; • If you would like to serve in a leadership, executive or board position with any outside organization (including non-profit, public service and charitable organizations), you must disclose your intentions and receive pre-approval from authorized personnel at NetEase; and • With limited exceptions (e.g., purchasing a small volume of publicly traded securities), you and your Related Parties cannot have a financial interest (ownership or otherwise) in an organization that seeks to do business with NetEase without express written pre-approval of authorized personnel. 10. Discrimination and Harassment NetEase strives to build and maintain a positive, inclusive and respectful environment where all of us can thrive. We believe that our colleagues perform at their best when everyone feels respected and accepted. We are committed to fostering diversity, inclusion and equal treatment of all colleagues and external parties with which we interact. We do not tolerate any unlawful discrimination based on protected categories under applicable laws, rules or regulations. NetEase also prohibits harassment of any kind, including workplace bullying or sexual harassment and will take appropriate action to address such violations. For more information on our commitment to diversity and inclusion and our policy against discrimination and harassment, please refer to the relevant sections in your Employee Handbook. If you need to speak with someone about harassment, discrimination or disrespectful behavior, please contact one of the resources listed in the Employee Handbook or through our “Speak Up” channels. We Strive to Build and Maintain a Safe, Healthy, Positive, Inclusive and Respectful Environment </w:t>
            </w:r>
          </w:p>
        </w:tc>
      </w:tr>
    </w:tbl>
    <w:tbl>
      <w:tblPr>
        <w:tblW w:w="12905" w:type="dxa"/>
        <w:jc w:val="center"/>
        <w:tblInd w:w="0" w:type="dxa"/>
        <w:tblLayout w:type="fixed"/>
        <w:tblCellMar>
          <w:top w:w="0" w:type="dxa"/>
          <w:left w:w="0" w:type="dxa"/>
          <w:bottom w:w="0" w:type="dxa"/>
          <w:right w:w="0" w:type="dxa"/>
        </w:tblCellMar>
      </w:tblPr>
      <w:tblGrid>
        <w:gridCol w:w="12735"/>
        <w:gridCol w:w="170"/>
      </w:tblGrid>
      <w:tr>
        <w:trPr/>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 name="Image15" descr=""/>
                          <pic:cNvPicPr>
                            <a:picLocks noChangeAspect="1" noChangeArrowheads="1"/>
                          </pic:cNvPicPr>
                        </pic:nvPicPr>
                        <pic:blipFill>
                          <a:blip r:embed="rId64"/>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14 11. Health, Safety and Environment A. Health and Safety We want to ensure that everyone at NetEase has a safe and healthy work environment, no matter where you are and what you do. Each of us at NetEase has a collective and individual responsibility to follow our internal policies and procedures related to health and safety (including your Employee Handbook) and applicable health and safety laws and regulations in the jurisdiction where you work. You should also promptly report any accidents, injuries or unsafe practices or conditions so we can address these issues appropriately. We do not tolerate any violence or threats of violence, whether it’s against our colleagues or other individuals with which we interact. If you become aware of a violence-related incident or a security threat, please report it to your local HR Business Partner, site manager and/or through our “Speak Up” channels. If the situation is urgent, please immediately contact local emergency services for help. You are expected to perform your duties free from the influence of alcohol, illegal drugs or other controlled substances. The use of illegal drugs or other controlled substances on any NetEase premise – including co-working spaces rented by NetEase – is strictly prohibited. B. Our Commitment to Protecting the Environment NetEase complies with applicable environmental laws and regulations. NetEase also recognizes that each of us has a responsibility in preserving the environment and combating climate change. All NetEase colleagues are strongly encouraged to look to conduct business in an environmentally responsible and sustainable manner, which includes, among others: • Using energy-efficient and environmentally friendly technologies and reducing waste and emissions to air, water and soil; • Minimizing the negative environmental impact of business operations whenever practicable, including but not limited to air pollution, greenhouse gas emissions and water discharges; and • Being proactive in identifying, reducing or avoiding risks to the environment and people. We are Committed to Protecting Your Health &amp; Safety and Our Environment</w:t>
            </w:r>
          </w:p>
        </w:tc>
      </w:tr>
    </w:tbl>
    <w:tbl>
      <w:tblPr>
        <w:tblW w:w="12935" w:type="dxa"/>
        <w:jc w:val="center"/>
        <w:tblInd w:w="0" w:type="dxa"/>
        <w:tblLayout w:type="fixed"/>
        <w:tblCellMar>
          <w:top w:w="0" w:type="dxa"/>
          <w:left w:w="0" w:type="dxa"/>
          <w:bottom w:w="0" w:type="dxa"/>
          <w:right w:w="0" w:type="dxa"/>
        </w:tblCellMar>
      </w:tblPr>
      <w:tblGrid>
        <w:gridCol w:w="12735"/>
        <w:gridCol w:w="200"/>
      </w:tblGrid>
      <w:tr>
        <w:trPr/>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 name="Image16" descr=""/>
                          <pic:cNvPicPr>
                            <a:picLocks noChangeAspect="1" noChangeArrowheads="1"/>
                          </pic:cNvPicPr>
                        </pic:nvPicPr>
                        <pic:blipFill>
                          <a:blip r:embed="rId65"/>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15 12. Anti-Bribery, Anti-Corruption and Anti-Fraud NetEase does not accept, offer, seek or approve bribes of any kind, regardless of who they are intended to benefit. We also do not tolerate any corrupt or fraudulent practices. While each jurisdiction we operate in has specific definitions regarding bribery, corruption and fraud, in general: • “Bribery”: refers to the giving, offering, authorizing or receiving anything of value, to any person, in an effort to obtain an improper advantage. You should think of “anything of value” in broad terms to include, for example: cash or cash equivalents; gifts; entertainment, hospitality or meals; travel expenses; services; offers of a job or educational opportunities; loans or cash advances; grants, donations or contributions; free-of-charge products; and any other transfer of value, including favors for family members. Similarly, “improper advantage” can include many things, including but not limited to obtaining or retaining business, promotions or raises, kickbacks or off-book payments, release from legal or tax liabilities, securing licenses or approvals, etc. The beneficiaries of improper advantages could be an organization, its employees and/or their Related Parties. • “Corruption”: refers to abusing one’s power or authority for unlawful gain. Paying, asking for or demanding bribes or unlawful kickbacks is a common type of corruption. • “Fraud”: refers to engaging in deceptions or misrepresentations for an unlawful gain, including falsification of documents, data or records, misuse of company information or assets, misappropriation of company resources, tax evasion and engaging in phishing or other fraudulent transactions. For additional rules and guidance, please see our jurisdiction-specific policies and procedures that apply to you. NetEase also has specific policies and processes on gifts and hospitality. You are required to become familiar with the specific applicable policies and fully comply with them at all times. Examples of Prohibited Conduct • Offering money, gift cards or other cash equivalents to government officials as “facilitation payments” • Using a vendor, consultant, agent or any other third party to make illegal payments indirectly • Sponsoring unreasonable entertainment to government officials or employees of state-owned enterprises • Accepting bribes or kickbacks from a vendor in exchange for a procurement contract • Facilitating the use of fake accounts, bots or other cheating behavior in video game products • Engaging in fraudulent credit card transactions • Using company funds for personal purchases We do not Tolerate any Bribery, Corrupt or Fraudulent Practices</w:t>
            </w:r>
          </w:p>
        </w:tc>
      </w:tr>
    </w:tbl>
    <w:tbl>
      <w:tblPr>
        <w:tblW w:w="12905" w:type="dxa"/>
        <w:jc w:val="center"/>
        <w:tblInd w:w="0" w:type="dxa"/>
        <w:tblLayout w:type="fixed"/>
        <w:tblCellMar>
          <w:top w:w="0" w:type="dxa"/>
          <w:left w:w="0" w:type="dxa"/>
          <w:bottom w:w="0" w:type="dxa"/>
          <w:right w:w="0" w:type="dxa"/>
        </w:tblCellMar>
      </w:tblPr>
      <w:tblGrid>
        <w:gridCol w:w="12735"/>
        <w:gridCol w:w="170"/>
      </w:tblGrid>
      <w:tr>
        <w:trPr/>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 name="Image17" descr=""/>
                          <pic:cNvPicPr>
                            <a:picLocks noChangeAspect="1" noChangeArrowheads="1"/>
                          </pic:cNvPicPr>
                        </pic:nvPicPr>
                        <pic:blipFill>
                          <a:blip r:embed="rId66"/>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16 13. Political and Charitable Contributions NetEase will not interfere with your right as a private citizen to participate in political and charitable activities that are lawful in the jurisdiction(s) where you work and/or live. This includes your right to make legitimate donations and contributions to political candidates, political parties, non-profit organizations and charities. Your decision regarding such donations and contributions (including the decision to not make them) will not affect your compensation, job security or opportunities for advancement at NetEase. Please note, however, that there are strict rules on political and charitable activities involving NetEase, our assets or our funds. You may not, without the express written pre-approval from NetEase’s authorized personnel: • Use NetEase’s assets or funds to make political or charitable donations or contributions, whether on behalf of yourself or NetEase; • Use your position at NetEase to request our competitors, business partners or vendors to make political or charitable donations or contributions, whether on behalf of yourself or NetEase; or • Engage in any lobbying activities or otherwise participate in any political or charitable activities as a representative of NetEase. 14. Accurate Books &amp; Records Each of us plays a role in helping NetEase maintain fair and accurate books, records, accounts and financial statements. This includes doing your part to ensure that our financial records, expense records, work logs and other documents and records that the Company is obligated to maintain are kept current, contain reasonable detail and accurately and truthfully reflect our state of affairs. If you are involved in the preparation of NetEase’s public disclosure, you are required to be familiar with NetEase’s business and financial operations, as well as the disclosure requirements applicable to NetEase. You are required to comply with NetEase’s policies and processes related to its books, records, accounts and financial statements. You should never falsify, omit or misrepresent information or make unauthorized modifications to our books and records. If you become aware of a potential issue with our books and records, please promptly report it to a member of Legal or the Finance Department, or through our “Speak Up” channels. We Always Maintain Fair and Accurate Books &amp; Records</w:t>
            </w:r>
          </w:p>
        </w:tc>
      </w:tr>
    </w:tbl>
    <w:tbl>
      <w:tblPr>
        <w:tblW w:w="13055" w:type="dxa"/>
        <w:jc w:val="center"/>
        <w:tblInd w:w="0" w:type="dxa"/>
        <w:tblLayout w:type="fixed"/>
        <w:tblCellMar>
          <w:top w:w="0" w:type="dxa"/>
          <w:left w:w="0" w:type="dxa"/>
          <w:bottom w:w="0" w:type="dxa"/>
          <w:right w:w="0" w:type="dxa"/>
        </w:tblCellMar>
      </w:tblPr>
      <w:tblGrid>
        <w:gridCol w:w="12735"/>
        <w:gridCol w:w="320"/>
      </w:tblGrid>
      <w:tr>
        <w:trPr/>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 name="Image18" descr=""/>
                          <pic:cNvPicPr>
                            <a:picLocks noChangeAspect="1" noChangeArrowheads="1"/>
                          </pic:cNvPicPr>
                        </pic:nvPicPr>
                        <pic:blipFill>
                          <a:blip r:embed="rId67"/>
                          <a:stretch>
                            <a:fillRect/>
                          </a:stretch>
                        </pic:blipFill>
                        <pic:spPr bwMode="auto">
                          <a:xfrm>
                            <a:off x="0" y="0"/>
                            <a:ext cx="8086725" cy="10477500"/>
                          </a:xfrm>
                          <a:prstGeom prst="rect">
                            <a:avLst/>
                          </a:prstGeom>
                        </pic:spPr>
                      </pic:pic>
                    </a:graphicData>
                  </a:graphic>
                </wp:inline>
              </w:drawing>
            </w:r>
          </w:p>
        </w:tc>
        <w:tc>
          <w:tcPr>
            <w:tcW w:w="32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17 15. External Communications You must be very careful when discussing anything about NetEase with external parties, whether it’s with family and friends, on social media or in more formal settings such as business meetings and industry conferences. It’s important to remember that you may not represent or appear to represent NetEase in any external setting without the express written pre-approval of NetEase’s authorized personnel (e.g., a member of our Global Communications Team, the public relations team of your business unit or an authorized spokesperson of the Company). Your choice to participate in social media or any other form of online publishing or discussion is your own. If, however, you choose to talk about NetEase, our subsidiaries, our products, business partners or any other information related to our business on your personal social media or online publishing platforms, you will need to abide by NetEase’s policies and procedures. Importantly, you may never share NetEase’s confidential information, including MNPI, on any online social media platform or in other public settings. For additional information regarding external communications, please refer to the relevant communications policies and procedures applicable to you. 16. Raising Questions and Concerns If you have questions or would like to seek guidance about this Code, you may contact your manager, your assigned Human Resources Business Partner, a member of Legal or the Ethics &amp; Compliance Committee (jubao@corp.netease.com within Mainland China; ECCOO@service.netease.com outside of Mainland China). If you experience or become aware of something that doesn’t seem right, please tell us as soon as possible. We cannot address or fix something if we don’t know about it. We have many “Speak Up” channels available to you, including online platforms which permit anonymous reporting, and you can choose the channel and method you are most comfortable with. For details regarding these channels, please refer to the whistleblowing policies and procedures applicable to your jurisdiction (available on our intranet or you can request a copy at jubao@corp.netease.com or ECCOO@service.netease.com). Our External Communications Must go Through Appropriate Channels</w:t>
            </w:r>
          </w:p>
        </w:tc>
      </w:tr>
    </w:tbl>
    <w:tbl>
      <w:tblPr>
        <w:tblW w:w="12905" w:type="dxa"/>
        <w:jc w:val="center"/>
        <w:tblInd w:w="0" w:type="dxa"/>
        <w:tblLayout w:type="fixed"/>
        <w:tblCellMar>
          <w:top w:w="0" w:type="dxa"/>
          <w:left w:w="0" w:type="dxa"/>
          <w:bottom w:w="0" w:type="dxa"/>
          <w:right w:w="0" w:type="dxa"/>
        </w:tblCellMar>
      </w:tblPr>
      <w:tblGrid>
        <w:gridCol w:w="12735"/>
        <w:gridCol w:w="170"/>
      </w:tblGrid>
      <w:tr>
        <w:trPr/>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 name="Image19" descr=""/>
                          <pic:cNvPicPr>
                            <a:picLocks noChangeAspect="1" noChangeArrowheads="1"/>
                          </pic:cNvPicPr>
                        </pic:nvPicPr>
                        <pic:blipFill>
                          <a:blip r:embed="rId68"/>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18 NetEase will treat each question and concern raised in good faith seriously and endeavor to address them in a timely and appropriate manner. We may contact you for additional information, unless you asked us not to do so. No matter what and how you report, we’ll keep everything confidential to the fullest extent possible. During an investigation, NetEase may find it necessary to share information with certain individuals on a “need to know” basis. If we conclude that there has been misconduct which violated our policies and procedures and/or applicable laws and regulations, we’ll take appropriate steps to correct and remedy the violation(s). NetEase does not tolerate retaliation or reprisal in any form against anyone that raises a good-faith question or concern or for cooperating truthfully with an investigation. We will take appropriate corrective action against anyone who engages or attempts to engage in retaliation or reprisal, including termination of employment with NetEase where appropriate. If you feel you are being treated unfairly as a result of raising a concern in good faith or for cooperating with an investigation, please promptly inform the investigator responsible for your case or file a new complaint to tell us about your experience. 17. Dealing with Non-Compliant Behavior Anyone who violates this Code, applicable internal policies and procedures or applicable laws and regulations will be subject to investigation and disciplinary action as appropriate. Disciplinary measures may include, but are not limited to: • Written or verbal warning, coaching and/or training • Negative impact to performance rating and/or compensation • Termination of employment or relationship with NetEase For egregious violations, NetEase may take legal action and/or refer the matter to appropriate law enforcement authorities For additional information regarding the Company’s handling of non-complaint behavior, please refer to your Employee Handbook or other applicable internal policies or consult Legal or ECC. We are Encouraged to Raise Questions and Concerns</w:t>
            </w:r>
          </w:p>
        </w:tc>
      </w:tr>
    </w:tbl>
    <w:tbl>
      <w:tblPr>
        <w:tblW w:w="12950" w:type="dxa"/>
        <w:jc w:val="center"/>
        <w:tblInd w:w="0" w:type="dxa"/>
        <w:tblLayout w:type="fixed"/>
        <w:tblCellMar>
          <w:top w:w="0" w:type="dxa"/>
          <w:left w:w="0" w:type="dxa"/>
          <w:bottom w:w="0" w:type="dxa"/>
          <w:right w:w="0" w:type="dxa"/>
        </w:tblCellMar>
      </w:tblPr>
      <w:tblGrid>
        <w:gridCol w:w="12735"/>
        <w:gridCol w:w="215"/>
      </w:tblGrid>
      <w:tr>
        <w:trPr/>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 name="Image20" descr=""/>
                          <pic:cNvPicPr>
                            <a:picLocks noChangeAspect="1" noChangeArrowheads="1"/>
                          </pic:cNvPicPr>
                        </pic:nvPicPr>
                        <pic:blipFill>
                          <a:blip r:embed="rId69"/>
                          <a:stretch>
                            <a:fillRect/>
                          </a:stretch>
                        </pic:blipFill>
                        <pic:spPr bwMode="auto">
                          <a:xfrm>
                            <a:off x="0" y="0"/>
                            <a:ext cx="8086725" cy="1047750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19 18. Approvals and Waivers Certain provisions of this Code require you to act, or refrain from acting, unless you receive express written pre-approval from NetEase’s authorized personnel. If you would like to request such pre-approval, you must do so in writing to the competent person(s) or function(s) to which our Chief Executive Officer (“CEO”) has delegated authority (e.g., person(s) / function(s) specified in an internal policy or procedure). Approvals sought by the Company’s executive officers and directors must be obtained from the Company’s Audit Committee of the Board of Directors; if approved, such waivers must be publicly disclosed if and to the extent required by applicable law. Other provisions of this Code require you to act, or refrain from acting, and do not permit exceptions (i.e., it’s not possible to deviate from the requirements through pre-approval). A waiver of these provisions may only be granted by the Audit Committee of NetEase’s Board of Directors on a case-by-case basis. Any amendments to this Code must be approved by NetEase’s Board of Directors and must be publicly disclosed if and to the extent required by applicable law. 19. Acknowledgement &amp; Certification You are required to acknowledge that: • You have received, read and understood this Code; and • You agree to carry out all duties and responsibilities in compliance with the Code and other applicable NetEase policies and procedures. You are expected to periodically refresh your understanding of this Code and certify your ongoing compliance with its requirements by participating in mandatory training and certification activities. We Certify that we will Always Abide by Our Code </w:t>
            </w:r>
          </w:p>
        </w:tc>
      </w:tr>
    </w:tbl>
    <w:p>
      <w:pPr>
        <w:pStyle w:val="TextBody"/>
        <w:bidi w:val="0"/>
        <w:spacing w:before="0" w:after="0"/>
        <w:ind w:left="0" w:right="0" w:hanging="0"/>
        <w:jc w:val="right"/>
        <w:rPr>
          <w:rFonts w:ascii="Times New Roman;Times;serif" w:hAnsi="Times New Roman;Times;serif"/>
          <w:b/>
          <w:sz w:val="20"/>
        </w:rPr>
      </w:pPr>
      <w:bookmarkStart w:id="2173" w:name="ntes-20231231xex12d1.htm"/>
      <w:bookmarkStart w:id="2174" w:name="ksntes20231231xex12d1"/>
      <w:bookmarkEnd w:id="2173"/>
      <w:bookmarkEnd w:id="2174"/>
      <w:r>
        <w:rPr>
          <w:rFonts w:ascii="Times New Roman;Times;serif" w:hAnsi="Times New Roman;Times;serif"/>
          <w:b/>
          <w:sz w:val="20"/>
        </w:rPr>
        <w:t>Exhibit 12.1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William Lei Ding, certify that: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1.I have reviewed this annual report on Form 20-F of NetEase, Inc.;</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3.Based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4.The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5.The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(b)Any fraud, whether or not material, that involves management or other employees who have a significant role in the company’s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April 25, 2024</w:t>
      </w:r>
    </w:p>
    <w:p>
      <w:pPr>
        <w:pStyle w:val="TextBody"/>
        <w:bidi w:val="0"/>
        <w:spacing w:before="0" w:after="0"/>
        <w:ind w:left="0" w:right="0" w:hanging="0"/>
        <w:jc w:val="left"/>
        <w:rPr/>
      </w:pPr>
      <w:r>
        <w:rPr/>
        <w:t>​</w:t>
      </w:r>
    </w:p>
    <w:tbl>
      <w:tblPr>
        <w:tblW w:w="3186" w:type="dxa"/>
        <w:jc w:val="left"/>
        <w:tblInd w:w="0" w:type="dxa"/>
        <w:tblLayout w:type="fixed"/>
        <w:tblCellMar>
          <w:top w:w="0" w:type="dxa"/>
          <w:left w:w="0" w:type="dxa"/>
          <w:bottom w:w="0" w:type="dxa"/>
          <w:right w:w="0" w:type="dxa"/>
        </w:tblCellMar>
      </w:tblPr>
      <w:tblGrid>
        <w:gridCol w:w="646"/>
        <w:gridCol w:w="2386"/>
        <w:gridCol w:w="154"/>
      </w:tblGrid>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3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William Lei Ding</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38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William Lei Ding</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pPr>
            <w:r>
              <w:rPr/>
              <w:t>​</w:t>
            </w:r>
          </w:p>
        </w:tc>
        <w:tc>
          <w:tcPr>
            <w:tcW w:w="2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principal executive officer</w:t>
            </w: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175" w:name="ntes-20231231xex12d2.htm"/>
      <w:bookmarkStart w:id="2176" w:name="ksntes20231231xex12d2"/>
      <w:bookmarkEnd w:id="2175"/>
      <w:bookmarkEnd w:id="2176"/>
      <w:r>
        <w:rPr>
          <w:rFonts w:ascii="Times New Roman;Times;serif" w:hAnsi="Times New Roman;Times;serif"/>
          <w:b/>
          <w:sz w:val="20"/>
        </w:rPr>
        <w:t>Exhibit 12.2</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Sarah Ying Li, certify that: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1.I have reviewed this annual report on Form 20-F of NetEase, Inc.;</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3.Based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4.The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5.The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(b)Any fraud, whether or not material, that involves management or other employees who have a significant role in the company’s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April 25, 2024</w:t>
      </w:r>
    </w:p>
    <w:p>
      <w:pPr>
        <w:pStyle w:val="TextBody"/>
        <w:bidi w:val="0"/>
        <w:spacing w:before="0" w:after="0"/>
        <w:ind w:left="0" w:right="0" w:hanging="0"/>
        <w:jc w:val="left"/>
        <w:rPr/>
      </w:pPr>
      <w:r>
        <w:rPr/>
        <w:t>​</w:t>
      </w:r>
    </w:p>
    <w:tbl>
      <w:tblPr>
        <w:tblW w:w="3216" w:type="dxa"/>
        <w:jc w:val="left"/>
        <w:tblInd w:w="0" w:type="dxa"/>
        <w:tblLayout w:type="fixed"/>
        <w:tblCellMar>
          <w:top w:w="0" w:type="dxa"/>
          <w:left w:w="0" w:type="dxa"/>
          <w:bottom w:w="0" w:type="dxa"/>
          <w:right w:w="0" w:type="dxa"/>
        </w:tblCellMar>
      </w:tblPr>
      <w:tblGrid>
        <w:gridCol w:w="646"/>
        <w:gridCol w:w="2416"/>
        <w:gridCol w:w="154"/>
      </w:tblGrid>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Sarah Ying Li</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41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Sarah Ying Li</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Head of Financial Reporting</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principal financial officer</w:t>
            </w: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177" w:name="ntes-20231231xex13d1.htm"/>
      <w:bookmarkStart w:id="2178" w:name="ksntes20231231xex13d1"/>
      <w:bookmarkEnd w:id="2177"/>
      <w:bookmarkEnd w:id="2178"/>
      <w:r>
        <w:rPr>
          <w:rFonts w:ascii="Times New Roman;Times;serif" w:hAnsi="Times New Roman;Times;serif"/>
          <w:b/>
          <w:sz w:val="20"/>
        </w:rPr>
        <w:t>Exhibit 13.1</w:t>
      </w:r>
      <w:r>
        <w:br w:type="page"/>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906 Certification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Securities and Exchange Commission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100 F Street, N.E.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Washington, D.C. 20549</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Ladies and Gentlemen: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connection with the annual report of NetEase, Inc. (the “Company”) on Form 20-F for the year ended December 31, 2023 as filed with the Securities and Exchange Commission (the “Report”), I, William Lei Ding, the Chief Executive Officer of the Company, hereby certify as of the date hereof, solely for purposes of Title 18, Chapter 63, Section 1350 of the United States Code, that to the best of my knowledge: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1.The Report fully complies with the requirements of Section 13(a) or 15(d), as applicable, of the Securities Exchange Act of 1934; and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2.The information contained in the Report fairly presents, in all material respects, the financial condition and results of operations of the Company at the dates and for the periods indicated.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This Certificate has not been, and shall not be deemed, “filed” with the Securities and Exchange Commission.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April 25, 2024</w:t>
      </w:r>
    </w:p>
    <w:p>
      <w:pPr>
        <w:pStyle w:val="TextBody"/>
        <w:bidi w:val="0"/>
        <w:spacing w:before="0" w:after="0"/>
        <w:ind w:left="0" w:right="0" w:hanging="0"/>
        <w:jc w:val="both"/>
        <w:rPr/>
      </w:pPr>
      <w:r>
        <w:rPr/>
        <w:t>​</w:t>
      </w:r>
    </w:p>
    <w:tbl>
      <w:tblPr>
        <w:tblW w:w="3186" w:type="dxa"/>
        <w:jc w:val="left"/>
        <w:tblInd w:w="0" w:type="dxa"/>
        <w:tblLayout w:type="fixed"/>
        <w:tblCellMar>
          <w:top w:w="0" w:type="dxa"/>
          <w:left w:w="0" w:type="dxa"/>
          <w:bottom w:w="0" w:type="dxa"/>
          <w:right w:w="0" w:type="dxa"/>
        </w:tblCellMar>
      </w:tblPr>
      <w:tblGrid>
        <w:gridCol w:w="646"/>
        <w:gridCol w:w="2386"/>
        <w:gridCol w:w="154"/>
      </w:tblGrid>
      <w:tr>
        <w:trPr/>
        <w:tc>
          <w:tcPr>
            <w:tcW w:w="6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238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William Lei Ding</w:t>
            </w:r>
          </w:p>
        </w:tc>
        <w:tc>
          <w:tcPr>
            <w:tcW w:w="154" w:type="dxa"/>
            <w:tcBorders/>
            <w:vAlign w:val="center"/>
          </w:tcPr>
          <w:p>
            <w:pPr>
              <w:pStyle w:val="TableContents"/>
              <w:bidi w:val="0"/>
              <w:spacing w:before="0" w:after="0"/>
              <w:ind w:left="0" w:right="0" w:hanging="0"/>
              <w:jc w:val="both"/>
              <w:rPr/>
            </w:pPr>
            <w:r>
              <w:rPr/>
              <w:t>​</w:t>
            </w:r>
          </w:p>
        </w:tc>
      </w:tr>
      <w:tr>
        <w:trPr/>
        <w:tc>
          <w:tcPr>
            <w:tcW w:w="6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Name:</w:t>
            </w:r>
          </w:p>
        </w:tc>
        <w:tc>
          <w:tcPr>
            <w:tcW w:w="2386"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William Lei Ding</w:t>
            </w:r>
          </w:p>
        </w:tc>
        <w:tc>
          <w:tcPr>
            <w:tcW w:w="154" w:type="dxa"/>
            <w:tcBorders/>
            <w:vAlign w:val="center"/>
          </w:tcPr>
          <w:p>
            <w:pPr>
              <w:pStyle w:val="TableContents"/>
              <w:bidi w:val="0"/>
              <w:spacing w:before="0" w:after="0"/>
              <w:ind w:left="0" w:right="0" w:hanging="0"/>
              <w:jc w:val="both"/>
              <w:rPr/>
            </w:pPr>
            <w:r>
              <w:rPr/>
              <w:t>​</w:t>
            </w:r>
          </w:p>
        </w:tc>
      </w:tr>
      <w:tr>
        <w:trPr/>
        <w:tc>
          <w:tcPr>
            <w:tcW w:w="6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Title:</w:t>
            </w:r>
          </w:p>
        </w:tc>
        <w:tc>
          <w:tcPr>
            <w:tcW w:w="238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Chief Executive Officer</w:t>
            </w:r>
          </w:p>
        </w:tc>
        <w:tc>
          <w:tcPr>
            <w:tcW w:w="154" w:type="dxa"/>
            <w:tcBorders/>
            <w:vAlign w:val="center"/>
          </w:tcPr>
          <w:p>
            <w:pPr>
              <w:pStyle w:val="TableContents"/>
              <w:bidi w:val="0"/>
              <w:spacing w:before="0" w:after="0"/>
              <w:ind w:left="0" w:right="0" w:hanging="0"/>
              <w:jc w:val="both"/>
              <w:rPr/>
            </w:pPr>
            <w:r>
              <w:rPr/>
              <w:t>​</w:t>
            </w:r>
          </w:p>
        </w:tc>
      </w:tr>
      <w:tr>
        <w:trPr/>
        <w:tc>
          <w:tcPr>
            <w:tcW w:w="646" w:type="dxa"/>
            <w:tcBorders/>
            <w:vAlign w:val="center"/>
          </w:tcPr>
          <w:p>
            <w:pPr>
              <w:pStyle w:val="TableContents"/>
              <w:bidi w:val="0"/>
              <w:spacing w:before="0" w:after="0"/>
              <w:ind w:left="0" w:right="0" w:hanging="0"/>
              <w:jc w:val="both"/>
              <w:rPr/>
            </w:pPr>
            <w:r>
              <w:rPr/>
              <w:t>​</w:t>
            </w:r>
          </w:p>
        </w:tc>
        <w:tc>
          <w:tcPr>
            <w:tcW w:w="238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principal executive officer</w:t>
            </w: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179" w:name="ntes-20231231xex13d2.htm"/>
      <w:bookmarkStart w:id="2180" w:name="ksntes20231231xex13d2"/>
      <w:bookmarkEnd w:id="2179"/>
      <w:bookmarkEnd w:id="2180"/>
      <w:r>
        <w:rPr>
          <w:rFonts w:ascii="Times New Roman;Times;serif" w:hAnsi="Times New Roman;Times;serif"/>
          <w:b/>
          <w:sz w:val="20"/>
        </w:rPr>
        <w:t>Exhibit 13.2</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906 Certification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and Exchange Commission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 F Street, N.E.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Washington, D.C. 20549</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Ladies and Gentlemen: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connection with the annual report of NetEase, Inc. (the “Company”) on Form 20-F for the year ended December 31, 2023 as filed with the Securities and Exchange Commission (the “Report”), I, Sarah Ying Li, the Head of Financial Reporting of the Company, hereby certify as of the date hereof, solely for purposes of Title 18, Chapter 63, Section 1350 of the United States Code, that to the best of my knowledge: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1.The Report fully complies with the requirements of Section 13(a) or 15(d), as applicable, of the Securities Exchange Act of 1934; and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2.The information contained in the Report fairly presents, in all material respects, the financial condition and results of operations of the Company at the dates and for the periods indicated.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This Certificate has not been, and shall not be deemed, “filed” with the Securities and Exchange Commission.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April 25, 2024</w:t>
      </w:r>
    </w:p>
    <w:p>
      <w:pPr>
        <w:pStyle w:val="TextBody"/>
        <w:bidi w:val="0"/>
        <w:spacing w:before="0" w:after="0"/>
        <w:ind w:left="0" w:right="0" w:hanging="0"/>
        <w:jc w:val="left"/>
        <w:rPr/>
      </w:pPr>
      <w:r>
        <w:rPr/>
        <w:t>​</w:t>
      </w:r>
    </w:p>
    <w:tbl>
      <w:tblPr>
        <w:tblW w:w="3216" w:type="dxa"/>
        <w:jc w:val="left"/>
        <w:tblInd w:w="0" w:type="dxa"/>
        <w:tblLayout w:type="fixed"/>
        <w:tblCellMar>
          <w:top w:w="0" w:type="dxa"/>
          <w:left w:w="0" w:type="dxa"/>
          <w:bottom w:w="0" w:type="dxa"/>
          <w:right w:w="0" w:type="dxa"/>
        </w:tblCellMar>
      </w:tblPr>
      <w:tblGrid>
        <w:gridCol w:w="646"/>
        <w:gridCol w:w="2416"/>
        <w:gridCol w:w="154"/>
      </w:tblGrid>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Sarah Ying Li</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41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Sarah Ying Li</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Head of Financial Reporting</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principal financial officer</w:t>
            </w: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2181" w:name="ntes-20231231xex15d1.htm"/>
      <w:bookmarkStart w:id="2182" w:name="ksntes20231231xex15d1"/>
      <w:bookmarkEnd w:id="2181"/>
      <w:bookmarkEnd w:id="2182"/>
      <w:r>
        <w:rPr/>
        <w:t>​</w:t>
      </w:r>
      <w:r>
        <w:br w:type="page"/>
      </w:r>
    </w:p>
    <w:p>
      <w:pPr>
        <w:pStyle w:val="TextBody"/>
        <w:bidi w:val="0"/>
        <w:spacing w:before="0" w:after="240"/>
        <w:ind w:left="1843" w:right="0" w:hanging="0"/>
        <w:jc w:val="right"/>
        <w:rPr>
          <w:rFonts w:ascii="Times New Roman;Times;serif" w:hAnsi="Times New Roman;Times;serif"/>
          <w:b/>
          <w:sz w:val="20"/>
        </w:rPr>
      </w:pPr>
      <w:r>
        <w:rPr>
          <w:rFonts w:ascii="Times New Roman;Times;serif" w:hAnsi="Times New Roman;Times;serif"/>
          <w:b/>
          <w:sz w:val="20"/>
        </w:rPr>
        <w:t>Exhibit 15.1</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NETEASE, INC.</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AUDIT COMMITTEE CHARTER</w:t>
      </w:r>
    </w:p>
    <w:p>
      <w:pPr>
        <w:pStyle w:val="TextBody"/>
        <w:bidi w:val="0"/>
        <w:spacing w:before="0" w:after="0"/>
        <w:ind w:left="0" w:right="0" w:hanging="0"/>
        <w:jc w:val="center"/>
        <w:rPr/>
      </w:pPr>
      <w:r>
        <w:rPr/>
        <w:t>​</w:t>
      </w:r>
    </w:p>
    <w:p>
      <w:pPr>
        <w:pStyle w:val="TextBody"/>
        <w:bidi w:val="0"/>
        <w:spacing w:before="0" w:after="9"/>
        <w:ind w:left="0" w:right="0" w:hanging="0"/>
        <w:jc w:val="center"/>
        <w:rPr>
          <w:rFonts w:ascii="Times New Roman;Times;serif" w:hAnsi="Times New Roman;Times;serif"/>
          <w:b/>
          <w:sz w:val="20"/>
        </w:rPr>
      </w:pPr>
      <w:r>
        <w:rPr>
          <w:rFonts w:ascii="Times New Roman;Times;serif" w:hAnsi="Times New Roman;Times;serif"/>
          <w:b/>
          <w:sz w:val="20"/>
        </w:rPr>
        <w:t>AUTHORITY AND PURPOSE</w:t>
      </w:r>
    </w:p>
    <w:p>
      <w:pPr>
        <w:pStyle w:val="TextBody"/>
        <w:bidi w:val="0"/>
        <w:spacing w:before="0" w:after="1"/>
        <w:ind w:left="0" w:right="0" w:hanging="0"/>
        <w:jc w:val="left"/>
        <w:rPr/>
      </w:pPr>
      <w:r>
        <w:rPr/>
        <w:t>​</w:t>
      </w:r>
    </w:p>
    <w:p>
      <w:pPr>
        <w:pStyle w:val="TextBody"/>
        <w:bidi w:val="0"/>
        <w:spacing w:before="0" w:after="0"/>
        <w:ind w:left="222" w:right="0" w:firstLine="719"/>
        <w:jc w:val="left"/>
        <w:rPr>
          <w:rFonts w:ascii="Times New Roman;Times;serif" w:hAnsi="Times New Roman;Times;serif"/>
          <w:sz w:val="20"/>
        </w:rPr>
      </w:pPr>
      <w:r>
        <w:rPr>
          <w:rFonts w:ascii="Times New Roman;Times;serif" w:hAnsi="Times New Roman;Times;serif"/>
          <w:sz w:val="20"/>
        </w:rPr>
        <w:t>The Audit Committee (the “</w:t>
      </w:r>
      <w:r>
        <w:rPr>
          <w:rFonts w:ascii="Times New Roman;Times;serif" w:hAnsi="Times New Roman;Times;serif"/>
          <w:sz w:val="20"/>
          <w:u w:val="single"/>
        </w:rPr>
        <w:t>Committee</w:t>
      </w:r>
      <w:r>
        <w:rPr>
          <w:rFonts w:ascii="Times New Roman;Times;serif" w:hAnsi="Times New Roman;Times;serif"/>
          <w:sz w:val="20"/>
        </w:rPr>
        <w:t>”) of NetEase, Inc. (the “</w:t>
      </w:r>
      <w:r>
        <w:rPr>
          <w:rFonts w:ascii="Times New Roman;Times;serif" w:hAnsi="Times New Roman;Times;serif"/>
          <w:sz w:val="20"/>
          <w:u w:val="single"/>
        </w:rPr>
        <w:t>Company</w:t>
      </w:r>
      <w:r>
        <w:rPr>
          <w:rFonts w:ascii="Times New Roman;Times;serif" w:hAnsi="Times New Roman;Times;serif"/>
          <w:sz w:val="20"/>
        </w:rPr>
        <w:t>”) is appointed by the Company’s Board of Directors (the “</w:t>
      </w:r>
      <w:r>
        <w:rPr>
          <w:rFonts w:ascii="Times New Roman;Times;serif" w:hAnsi="Times New Roman;Times;serif"/>
          <w:sz w:val="20"/>
          <w:u w:val="single"/>
        </w:rPr>
        <w:t>Board</w:t>
      </w:r>
      <w:r>
        <w:rPr>
          <w:rFonts w:ascii="Times New Roman;Times;serif" w:hAnsi="Times New Roman;Times;serif"/>
          <w:sz w:val="20"/>
        </w:rPr>
        <w:t>”) to oversee the accounting and financial reporting processes, internal controls over financial reporting and audits of the financial statements of the Company and the Company’s compliance with related legal and regulatory requirements. The Committee shall undertake those specific duties and responsibilities listed below and such other duties as the Board may from time to time prescribe. All powers of the Committee are subject to the restrictions designated in the Company’s Amended and Restated Memorandum and Articles of Association and by applicable law.</w:t>
      </w:r>
    </w:p>
    <w:p>
      <w:pPr>
        <w:pStyle w:val="TextBody"/>
        <w:bidi w:val="0"/>
        <w:spacing w:before="0" w:after="0"/>
        <w:ind w:left="0" w:right="0" w:hanging="0"/>
        <w:jc w:val="left"/>
        <w:rPr/>
      </w:pPr>
      <w:r>
        <w:rPr/>
        <w:t>​</w:t>
      </w:r>
    </w:p>
    <w:p>
      <w:pPr>
        <w:pStyle w:val="TextBody"/>
        <w:bidi w:val="0"/>
        <w:spacing w:before="0" w:after="240"/>
        <w:ind w:left="216" w:right="0" w:firstLine="720"/>
        <w:jc w:val="left"/>
        <w:rPr>
          <w:rFonts w:ascii="Times New Roman;Times;serif" w:hAnsi="Times New Roman;Times;serif"/>
          <w:sz w:val="20"/>
        </w:rPr>
      </w:pPr>
      <w:r>
        <w:rPr>
          <w:rFonts w:ascii="Times New Roman;Times;serif" w:hAnsi="Times New Roman;Times;serif"/>
          <w:sz w:val="20"/>
        </w:rPr>
        <w:t>The Company shall provide the Committee with appropriate funding, as determined by the Committee in its capacity as a committee of the Board, for the payments of: (i) compensation to any registered public accounting firm engaged for the purpose of preparing or issuing an audit report or performing other audit, review or attest services for the Company; (ii) compensation to any independent advisers retained by the Committee in carrying out its duties as it determines appropriate; and (iii) ordinary administrative expenses of the Committee that are necessary or appropriate in carrying out its duties.</w:t>
      </w:r>
    </w:p>
    <w:p>
      <w:pPr>
        <w:pStyle w:val="TextBody"/>
        <w:bidi w:val="0"/>
        <w:spacing w:before="0" w:after="9"/>
        <w:ind w:left="0" w:right="0" w:hanging="0"/>
        <w:jc w:val="center"/>
        <w:rPr>
          <w:rFonts w:ascii="Times New Roman;Times;serif" w:hAnsi="Times New Roman;Times;serif"/>
          <w:b/>
          <w:sz w:val="20"/>
        </w:rPr>
      </w:pPr>
      <w:r>
        <w:rPr>
          <w:rFonts w:ascii="Times New Roman;Times;serif" w:hAnsi="Times New Roman;Times;serif"/>
          <w:b/>
          <w:sz w:val="20"/>
        </w:rPr>
        <w:t>STATEMENT OF POLICY</w:t>
      </w:r>
    </w:p>
    <w:p>
      <w:pPr>
        <w:pStyle w:val="TextBody"/>
        <w:bidi w:val="0"/>
        <w:spacing w:before="0" w:after="1"/>
        <w:ind w:left="0" w:right="0" w:hanging="0"/>
        <w:jc w:val="left"/>
        <w:rPr/>
      </w:pPr>
      <w:r>
        <w:rPr/>
        <w:t>​</w:t>
      </w:r>
    </w:p>
    <w:p>
      <w:pPr>
        <w:pStyle w:val="TextBody"/>
        <w:bidi w:val="0"/>
        <w:spacing w:before="0" w:after="240"/>
        <w:ind w:left="216" w:right="0" w:firstLine="720"/>
        <w:jc w:val="left"/>
        <w:rPr>
          <w:rFonts w:ascii="Times New Roman;Times;serif" w:hAnsi="Times New Roman;Times;serif"/>
          <w:sz w:val="20"/>
        </w:rPr>
      </w:pPr>
      <w:r>
        <w:rPr>
          <w:rFonts w:ascii="Times New Roman;Times;serif" w:hAnsi="Times New Roman;Times;serif"/>
          <w:sz w:val="20"/>
        </w:rPr>
        <w:t>The Committee shall oversee the accounting and financial reporting processes, internal controls over financial reporting and audits of the financial statements of the Company. In so doing, the Committee shall endeavor to maintain free and open means of communication among the directors, the independent auditors and the financial management of the Company. In addition, the Committee shall review the policies and procedures adopted by the Company to fulfill its responsibilities regarding the fair and accurate presentation of financial statements in accordance with generally accepted accounting principles and applicable rules and regulations of the Securities and Exchange Commission and the Financial Industry Regulatory Authority (“</w:t>
      </w:r>
      <w:r>
        <w:rPr>
          <w:rFonts w:ascii="Times New Roman;Times;serif" w:hAnsi="Times New Roman;Times;serif"/>
          <w:sz w:val="20"/>
          <w:u w:val="single"/>
        </w:rPr>
        <w:t>FINRA</w:t>
      </w:r>
      <w:r>
        <w:rPr>
          <w:rFonts w:ascii="Times New Roman;Times;serif" w:hAnsi="Times New Roman;Times;serif"/>
          <w:sz w:val="20"/>
        </w:rPr>
        <w:t>”) applicable to a Nasdaq listed issuer, as well as the Listing Rules of The Stock Exchange of Hong Kong Limited.</w:t>
      </w:r>
    </w:p>
    <w:p>
      <w:pPr>
        <w:pStyle w:val="TextBody"/>
        <w:bidi w:val="0"/>
        <w:spacing w:before="0" w:after="10"/>
        <w:ind w:left="0" w:right="0" w:hanging="0"/>
        <w:jc w:val="center"/>
        <w:rPr>
          <w:rFonts w:ascii="Times New Roman;Times;serif" w:hAnsi="Times New Roman;Times;serif"/>
          <w:b/>
          <w:sz w:val="20"/>
        </w:rPr>
      </w:pPr>
      <w:r>
        <w:rPr>
          <w:rFonts w:ascii="Times New Roman;Times;serif" w:hAnsi="Times New Roman;Times;serif"/>
          <w:b/>
          <w:sz w:val="20"/>
        </w:rPr>
        <w:t>COMMITTEE STRUCTURE AND MEMBERSHIP</w:t>
      </w:r>
    </w:p>
    <w:p>
      <w:pPr>
        <w:pStyle w:val="TextBody"/>
        <w:bidi w:val="0"/>
        <w:spacing w:before="0" w:after="0"/>
        <w:ind w:left="0" w:right="0" w:hanging="0"/>
        <w:jc w:val="left"/>
        <w:rPr/>
      </w:pPr>
      <w:r>
        <w:rPr/>
        <w:t>​</w:t>
      </w:r>
    </w:p>
    <w:p>
      <w:pPr>
        <w:pStyle w:val="TextBody"/>
        <w:bidi w:val="0"/>
        <w:spacing w:before="0" w:after="0"/>
        <w:ind w:left="220" w:right="0" w:firstLine="719"/>
        <w:jc w:val="left"/>
        <w:rPr>
          <w:rFonts w:ascii="Times New Roman;Times;serif" w:hAnsi="Times New Roman;Times;serif"/>
          <w:sz w:val="20"/>
        </w:rPr>
      </w:pPr>
      <w:r>
        <w:rPr>
          <w:rFonts w:ascii="Times New Roman;Times;serif" w:hAnsi="Times New Roman;Times;serif"/>
          <w:sz w:val="20"/>
        </w:rPr>
        <w:t>The Committee shall be comprised of three or more directors, as determined by a majority of the Board. The Committee members shall be designated by the Board and shall each serve until such member ceases to be a member of the Board, until their successors shall be duly elected and qualified or until their earlier removal, resignation or death. Any director of the Board may summon a meeting and nominate a member for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0"/>
        <w:ind w:left="220" w:right="0" w:hanging="0"/>
        <w:jc w:val="left"/>
        <w:rPr>
          <w:rFonts w:ascii="Times New Roman;Times;serif" w:hAnsi="Times New Roman;Times;serif"/>
          <w:sz w:val="20"/>
        </w:rPr>
      </w:pPr>
      <w:r>
        <w:rPr>
          <w:rFonts w:ascii="Times New Roman;Times;serif" w:hAnsi="Times New Roman;Times;serif"/>
          <w:sz w:val="20"/>
        </w:rPr>
        <w:t>Committee, subject to the provisions of the Company’s Amended and Restated Memorandum and Articles of Association. If a vacancy on the Committee arises, such vacancy shall be filled by majority vote of the Board or by action taken by unanimous written consent of the Board. The Board shall use its best efforts to fill any such vacancy within three months of the date the vacancy arises, or the Board may reduce the size of the Committee (but not less than three). The members of the Committee may be removed by a majority vote of the Board.</w:t>
      </w:r>
    </w:p>
    <w:p>
      <w:pPr>
        <w:pStyle w:val="TextBody"/>
        <w:bidi w:val="0"/>
        <w:spacing w:before="0" w:after="1"/>
        <w:ind w:left="0" w:right="0" w:hanging="0"/>
        <w:jc w:val="left"/>
        <w:rPr/>
      </w:pPr>
      <w:r>
        <w:rPr/>
        <w:t>​</w:t>
      </w:r>
    </w:p>
    <w:p>
      <w:pPr>
        <w:pStyle w:val="TextBody"/>
        <w:bidi w:val="0"/>
        <w:spacing w:before="0" w:after="9"/>
        <w:ind w:left="220" w:right="0" w:firstLine="719"/>
        <w:jc w:val="left"/>
        <w:rPr>
          <w:rFonts w:ascii="Times New Roman;Times;serif" w:hAnsi="Times New Roman;Times;serif"/>
          <w:sz w:val="20"/>
        </w:rPr>
      </w:pPr>
      <w:r>
        <w:rPr>
          <w:rFonts w:ascii="Times New Roman;Times;serif" w:hAnsi="Times New Roman;Times;serif"/>
          <w:sz w:val="20"/>
        </w:rPr>
        <w:t>Each member of the Committee shall be an independent director. For purposes hereof, an “independent director” shall be one:</w:t>
      </w:r>
    </w:p>
    <w:p>
      <w:pPr>
        <w:pStyle w:val="TextBody"/>
        <w:bidi w:val="0"/>
        <w:spacing w:before="0" w:after="1"/>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6"/>
        <w:gridCol w:w="10036"/>
      </w:tblGrid>
      <w:tr>
        <w:trPr/>
        <w:tc>
          <w:tcPr>
            <w:tcW w:w="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9"/>
              <w:jc w:val="left"/>
              <w:rPr>
                <w:rFonts w:ascii="Times New Roman;Times;serif" w:hAnsi="Times New Roman;Times;serif"/>
                <w:sz w:val="20"/>
              </w:rPr>
            </w:pPr>
            <w:r>
              <w:rPr>
                <w:rFonts w:ascii="Times New Roman;Times;serif" w:hAnsi="Times New Roman;Times;serif"/>
                <w:sz w:val="20"/>
              </w:rPr>
              <w:t>1.</w:t>
            </w:r>
          </w:p>
        </w:tc>
        <w:tc>
          <w:tcPr>
            <w:tcW w:w="10036" w:type="dxa"/>
            <w:tcBorders/>
            <w:vAlign w:val="center"/>
          </w:tcPr>
          <w:p>
            <w:pPr>
              <w:pStyle w:val="TableContents"/>
              <w:bidi w:val="0"/>
              <w:spacing w:before="0" w:after="9"/>
              <w:jc w:val="left"/>
              <w:rPr>
                <w:rFonts w:ascii="Times New Roman;Times;serif" w:hAnsi="Times New Roman;Times;serif"/>
                <w:sz w:val="20"/>
              </w:rPr>
            </w:pPr>
            <w:r>
              <w:rPr>
                <w:rFonts w:ascii="Times New Roman;Times;serif" w:hAnsi="Times New Roman;Times;serif"/>
                <w:sz w:val="20"/>
              </w:rPr>
              <w:t>who accepts no consulting, advisory or other compensatory fee from the Company other than in his or her capacity as a member of the Committee, the Board or any other committee of the Board or is not otherwise an affiliated person of the Company,</w:t>
            </w:r>
          </w:p>
        </w:tc>
      </w:tr>
    </w:tbl>
    <w:p>
      <w:pPr>
        <w:pStyle w:val="TextBody"/>
        <w:bidi w:val="0"/>
        <w:spacing w:before="0" w:after="1"/>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4"/>
        <w:gridCol w:w="10028"/>
      </w:tblGrid>
      <w:tr>
        <w:trPr/>
        <w:tc>
          <w:tcPr>
            <w:tcW w:w="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10"/>
              <w:jc w:val="both"/>
              <w:rPr>
                <w:rFonts w:ascii="Times New Roman;Times;serif" w:hAnsi="Times New Roman;Times;serif"/>
                <w:sz w:val="20"/>
              </w:rPr>
            </w:pPr>
            <w:r>
              <w:rPr>
                <w:rFonts w:ascii="Times New Roman;Times;serif" w:hAnsi="Times New Roman;Times;serif"/>
                <w:sz w:val="20"/>
              </w:rPr>
              <w:t>2.</w:t>
            </w:r>
          </w:p>
        </w:tc>
        <w:tc>
          <w:tcPr>
            <w:tcW w:w="10028" w:type="dxa"/>
            <w:tcBorders/>
            <w:vAlign w:val="center"/>
          </w:tcPr>
          <w:p>
            <w:pPr>
              <w:pStyle w:val="TableContents"/>
              <w:bidi w:val="0"/>
              <w:spacing w:before="0" w:after="10"/>
              <w:jc w:val="both"/>
              <w:rPr>
                <w:rFonts w:ascii="Times New Roman;Times;serif" w:hAnsi="Times New Roman;Times;serif"/>
                <w:sz w:val="20"/>
              </w:rPr>
            </w:pPr>
            <w:r>
              <w:rPr>
                <w:rFonts w:ascii="Times New Roman;Times;serif" w:hAnsi="Times New Roman;Times;serif"/>
                <w:sz w:val="20"/>
              </w:rPr>
              <w:t>who is free from any relationship that, in the opinion of the Board, would interfere with the exercise of his or her independent judgment in carrying out the responsibilities of a director,</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6"/>
        <w:gridCol w:w="10026"/>
      </w:tblGrid>
      <w:tr>
        <w:trPr/>
        <w:tc>
          <w:tcPr>
            <w:tcW w:w="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10"/>
              <w:jc w:val="both"/>
              <w:rPr>
                <w:rFonts w:ascii="Times New Roman;Times;serif" w:hAnsi="Times New Roman;Times;serif"/>
                <w:sz w:val="20"/>
              </w:rPr>
            </w:pPr>
            <w:r>
              <w:rPr>
                <w:rFonts w:ascii="Times New Roman;Times;serif" w:hAnsi="Times New Roman;Times;serif"/>
                <w:sz w:val="20"/>
              </w:rPr>
              <w:t>3.</w:t>
            </w:r>
          </w:p>
        </w:tc>
        <w:tc>
          <w:tcPr>
            <w:tcW w:w="10026" w:type="dxa"/>
            <w:tcBorders/>
            <w:vAlign w:val="center"/>
          </w:tcPr>
          <w:p>
            <w:pPr>
              <w:pStyle w:val="TableContents"/>
              <w:bidi w:val="0"/>
              <w:spacing w:before="0" w:after="10"/>
              <w:jc w:val="both"/>
              <w:rPr>
                <w:rFonts w:ascii="Times New Roman;Times;serif" w:hAnsi="Times New Roman;Times;serif"/>
                <w:sz w:val="20"/>
              </w:rPr>
            </w:pPr>
            <w:r>
              <w:rPr>
                <w:rFonts w:ascii="Times New Roman;Times;serif" w:hAnsi="Times New Roman;Times;serif"/>
                <w:sz w:val="20"/>
              </w:rPr>
              <w:t>who has not participated in the preparation of the financial statements of the Company or any current subsidiary of the Company at any time during the past three years,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11"/>
              <w:jc w:val="left"/>
              <w:rPr>
                <w:rFonts w:ascii="Times New Roman;Times;serif" w:hAnsi="Times New Roman;Times;serif"/>
                <w:sz w:val="20"/>
              </w:rPr>
            </w:pPr>
            <w:r>
              <w:rPr>
                <w:rFonts w:ascii="Times New Roman;Times;serif" w:hAnsi="Times New Roman;Times;serif"/>
                <w:sz w:val="20"/>
              </w:rPr>
              <w:t>4.</w:t>
            </w:r>
          </w:p>
        </w:tc>
        <w:tc>
          <w:tcPr>
            <w:tcW w:w="10047" w:type="dxa"/>
            <w:tcBorders/>
            <w:vAlign w:val="center"/>
          </w:tcPr>
          <w:p>
            <w:pPr>
              <w:pStyle w:val="TableContents"/>
              <w:bidi w:val="0"/>
              <w:spacing w:before="0" w:after="11"/>
              <w:jc w:val="left"/>
              <w:rPr>
                <w:rFonts w:ascii="Times New Roman;Times;serif" w:hAnsi="Times New Roman;Times;serif"/>
                <w:sz w:val="20"/>
              </w:rPr>
            </w:pPr>
            <w:r>
              <w:rPr>
                <w:rFonts w:ascii="Times New Roman;Times;serif" w:hAnsi="Times New Roman;Times;serif"/>
                <w:sz w:val="20"/>
              </w:rPr>
              <w:t>who otherwise satisfies the then current laws applicable to members of the audit committee of the Company and the listing rules of any securities exchange or securities quotation system on which any of the Company's securities are listed, including, without limitation, the criteria for independence set forth in Rule 10A-3(b)(1) promulgated under the Securities and Exchange Act of 1934, as amended, subject to the exemptions provided in Rule 10A-3(c) under the Act, and the FINRA Marketplace Rules.</w:t>
            </w:r>
          </w:p>
        </w:tc>
      </w:tr>
    </w:tbl>
    <w:p>
      <w:pPr>
        <w:pStyle w:val="TextBody"/>
        <w:bidi w:val="0"/>
        <w:spacing w:before="0" w:after="0"/>
        <w:ind w:left="0" w:right="0" w:hanging="0"/>
        <w:jc w:val="left"/>
        <w:rPr/>
      </w:pPr>
      <w:r>
        <w:rPr/>
        <w:t>​</w:t>
      </w:r>
    </w:p>
    <w:p>
      <w:pPr>
        <w:pStyle w:val="TextBody"/>
        <w:bidi w:val="0"/>
        <w:spacing w:before="0" w:after="10"/>
        <w:ind w:left="220" w:right="0" w:firstLine="719"/>
        <w:jc w:val="left"/>
        <w:rPr>
          <w:rFonts w:ascii="Times New Roman;Times;serif" w:hAnsi="Times New Roman;Times;serif"/>
          <w:sz w:val="20"/>
        </w:rPr>
      </w:pPr>
      <w:r>
        <w:rPr>
          <w:rFonts w:ascii="Times New Roman;Times;serif" w:hAnsi="Times New Roman;Times;serif"/>
          <w:sz w:val="20"/>
        </w:rPr>
        <w:t>At least one member of the Committee shall be a “financial expert,” as defined by Section 407 of the Sarbanes-Oxley Act of 2002, who shall have an understanding of generally accepted accounting principles and financial statements, experience in the preparation or auditing of financial statements of companies generally comparable to the Company, experience in the application of generally accepted accounting principles in connection with the accounting for estimates, accruals and reserves, experience with internal controls over financial reporting and an understanding of audit committee functions.</w:t>
      </w:r>
    </w:p>
    <w:p>
      <w:pPr>
        <w:pStyle w:val="TextBody"/>
        <w:bidi w:val="0"/>
        <w:spacing w:before="0" w:after="1"/>
        <w:ind w:left="0" w:right="0" w:hanging="0"/>
        <w:jc w:val="left"/>
        <w:rPr/>
      </w:pPr>
      <w:r>
        <w:rPr/>
        <w:t>​</w:t>
      </w:r>
    </w:p>
    <w:p>
      <w:pPr>
        <w:pStyle w:val="TextBody"/>
        <w:bidi w:val="0"/>
        <w:spacing w:before="0" w:after="0"/>
        <w:ind w:left="220" w:right="0" w:firstLine="719"/>
        <w:jc w:val="left"/>
        <w:rPr>
          <w:rFonts w:ascii="Times New Roman;Times;serif" w:hAnsi="Times New Roman;Times;serif"/>
          <w:sz w:val="20"/>
        </w:rPr>
      </w:pPr>
      <w:r>
        <w:rPr>
          <w:rFonts w:ascii="Times New Roman;Times;serif" w:hAnsi="Times New Roman;Times;serif"/>
          <w:sz w:val="20"/>
        </w:rPr>
        <w:t>Each member of the Committee shall be financially literate, as determined by the Board. At least one member shall have past employment experience in finance or accounting, a professional certification in accounting or other comparable experience or background that results in the individual’s possessing the requisite financial sophistication, as determined by the Board in accordance with Nasdaq listing standards and the Listing Rules of The Stock Exchange of Hong Kong Limited.</w:t>
      </w:r>
    </w:p>
    <w:p>
      <w:pPr>
        <w:pStyle w:val="TextBody"/>
        <w:bidi w:val="0"/>
        <w:spacing w:before="0" w:after="0"/>
        <w:ind w:left="220" w:right="0" w:firstLine="719"/>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POWERS</w:t>
      </w:r>
    </w:p>
    <w:p>
      <w:pPr>
        <w:pStyle w:val="TextBody"/>
        <w:bidi w:val="0"/>
        <w:spacing w:before="0" w:after="0"/>
        <w:ind w:left="0" w:right="0" w:hanging="0"/>
        <w:jc w:val="left"/>
        <w:rPr/>
      </w:pPr>
      <w:r>
        <w:rPr/>
        <w:t>​</w:t>
      </w:r>
    </w:p>
    <w:p>
      <w:pPr>
        <w:pStyle w:val="TextBody"/>
        <w:bidi w:val="0"/>
        <w:spacing w:before="0" w:after="4"/>
        <w:ind w:left="220" w:right="0" w:firstLine="719"/>
        <w:jc w:val="left"/>
        <w:rPr>
          <w:rFonts w:ascii="Times New Roman;Times;serif" w:hAnsi="Times New Roman;Times;serif"/>
          <w:sz w:val="20"/>
        </w:rPr>
      </w:pPr>
      <w:r>
        <w:rPr>
          <w:rFonts w:ascii="Times New Roman;Times;serif" w:hAnsi="Times New Roman;Times;serif"/>
          <w:sz w:val="20"/>
        </w:rPr>
        <w:t>The Committee shall have the power to conduct or authorize investigations into any matters within the Committee’s scope of responsibilities. The Committee shall be empowered to engage independent counsel and other advisers, as it determines necessary to carry out its duties. While the Committee has the responsibilities and powers set forth in this Charter, it is not the duty of the Committee to plan or conduct audits or to determine that the Company’s financial statements are complete and accurate and are in accordance with generally accepted accounting principles. Those tasks are the responsibility of management and the independent auditor.</w:t>
      </w:r>
    </w:p>
    <w:p>
      <w:pPr>
        <w:pStyle w:val="TextBody"/>
        <w:bidi w:val="0"/>
        <w:spacing w:before="0" w:after="0"/>
        <w:ind w:left="0" w:right="0" w:hanging="0"/>
        <w:jc w:val="left"/>
        <w:rPr/>
      </w:pPr>
      <w:r>
        <w:rPr/>
        <w:t>​</w:t>
      </w:r>
    </w:p>
    <w:p>
      <w:pPr>
        <w:pStyle w:val="TextBody"/>
        <w:bidi w:val="0"/>
        <w:spacing w:before="0" w:after="10"/>
        <w:ind w:left="0" w:right="0" w:hanging="0"/>
        <w:jc w:val="center"/>
        <w:rPr>
          <w:rFonts w:ascii="Times New Roman;Times;serif" w:hAnsi="Times New Roman;Times;serif"/>
          <w:b/>
          <w:sz w:val="20"/>
        </w:rPr>
      </w:pPr>
      <w:r>
        <w:rPr>
          <w:rFonts w:ascii="Times New Roman;Times;serif" w:hAnsi="Times New Roman;Times;serif"/>
          <w:b/>
          <w:sz w:val="20"/>
        </w:rPr>
        <w:t>RESPONSIBILITIES</w:t>
      </w:r>
    </w:p>
    <w:p>
      <w:pPr>
        <w:pStyle w:val="TextBody"/>
        <w:bidi w:val="0"/>
        <w:spacing w:before="0" w:after="1"/>
        <w:ind w:left="0" w:right="0" w:hanging="0"/>
        <w:jc w:val="left"/>
        <w:rPr/>
      </w:pPr>
      <w:r>
        <w:rPr/>
        <w:t>​</w:t>
      </w:r>
    </w:p>
    <w:p>
      <w:pPr>
        <w:pStyle w:val="TextBody"/>
        <w:bidi w:val="0"/>
        <w:spacing w:before="0" w:after="9"/>
        <w:ind w:left="220" w:right="0" w:firstLine="719"/>
        <w:jc w:val="left"/>
        <w:rPr>
          <w:rFonts w:ascii="Times New Roman;Times;serif" w:hAnsi="Times New Roman;Times;serif"/>
          <w:sz w:val="20"/>
        </w:rPr>
      </w:pPr>
      <w:r>
        <w:rPr>
          <w:rFonts w:ascii="Times New Roman;Times;serif" w:hAnsi="Times New Roman;Times;serif"/>
          <w:sz w:val="20"/>
        </w:rPr>
        <w:t>The Committee’s policies and procedures should remain flexible, in order to best react to changing conditions and to help ensure that the corporate accounting and reporting practices of the Company are in accordance with all requirements and are of the highest quality.</w:t>
      </w:r>
    </w:p>
    <w:p>
      <w:pPr>
        <w:pStyle w:val="TextBody"/>
        <w:bidi w:val="0"/>
        <w:spacing w:before="0" w:after="1"/>
        <w:ind w:left="0" w:right="0" w:hanging="0"/>
        <w:jc w:val="left"/>
        <w:rPr/>
      </w:pPr>
      <w:r>
        <w:rPr/>
        <w:t>​</w:t>
      </w:r>
    </w:p>
    <w:p>
      <w:pPr>
        <w:pStyle w:val="TextBody"/>
        <w:bidi w:val="0"/>
        <w:spacing w:before="0" w:after="10"/>
        <w:ind w:left="839" w:right="0" w:hanging="0"/>
        <w:jc w:val="left"/>
        <w:rPr>
          <w:rFonts w:ascii="Times New Roman;Times;serif" w:hAnsi="Times New Roman;Times;serif"/>
          <w:sz w:val="20"/>
        </w:rPr>
      </w:pPr>
      <w:r>
        <w:rPr>
          <w:rFonts w:ascii="Times New Roman;Times;serif" w:hAnsi="Times New Roman;Times;serif"/>
          <w:sz w:val="20"/>
        </w:rPr>
        <w:t>Among its specific responsibilities, the Committee will:</w:t>
      </w:r>
    </w:p>
    <w:p>
      <w:pPr>
        <w:pStyle w:val="TextBody"/>
        <w:bidi w:val="0"/>
        <w:spacing w:before="0" w:after="0"/>
        <w:ind w:left="0" w:right="0" w:hanging="0"/>
        <w:jc w:val="left"/>
        <w:rPr/>
      </w:pPr>
      <w:r>
        <w:rPr/>
        <w:t>​</w:t>
      </w:r>
    </w:p>
    <w:tbl>
      <w:tblPr>
        <w:tblW w:w="4983" w:type="dxa"/>
        <w:jc w:val="left"/>
        <w:tblInd w:w="0" w:type="dxa"/>
        <w:tblLayout w:type="fixed"/>
        <w:tblCellMar>
          <w:top w:w="0" w:type="dxa"/>
          <w:left w:w="0" w:type="dxa"/>
          <w:bottom w:w="0" w:type="dxa"/>
          <w:right w:w="0" w:type="dxa"/>
        </w:tblCellMar>
      </w:tblPr>
      <w:tblGrid>
        <w:gridCol w:w="23"/>
        <w:gridCol w:w="170"/>
        <w:gridCol w:w="47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10"/>
              <w:jc w:val="left"/>
              <w:rPr>
                <w:rFonts w:ascii="Times New Roman;Times;serif" w:hAnsi="Times New Roman;Times;serif"/>
                <w:sz w:val="20"/>
              </w:rPr>
            </w:pPr>
            <w:r>
              <w:rPr>
                <w:rFonts w:ascii="Times New Roman;Times;serif" w:hAnsi="Times New Roman;Times;serif"/>
                <w:sz w:val="20"/>
              </w:rPr>
              <w:t>1.</w:t>
            </w:r>
          </w:p>
        </w:tc>
        <w:tc>
          <w:tcPr>
            <w:tcW w:w="4790" w:type="dxa"/>
            <w:tcBorders/>
            <w:vAlign w:val="center"/>
          </w:tcPr>
          <w:p>
            <w:pPr>
              <w:pStyle w:val="TableContents"/>
              <w:bidi w:val="0"/>
              <w:spacing w:before="0" w:after="10"/>
              <w:jc w:val="left"/>
              <w:rPr>
                <w:rFonts w:ascii="Times New Roman;Times;serif" w:hAnsi="Times New Roman;Times;serif"/>
                <w:sz w:val="20"/>
              </w:rPr>
            </w:pPr>
            <w:r>
              <w:rPr>
                <w:rFonts w:ascii="Times New Roman;Times;serif" w:hAnsi="Times New Roman;Times;serif"/>
                <w:sz w:val="20"/>
              </w:rPr>
              <w:t>Review and reassess the adequacy of this Charter annually.</w:t>
            </w:r>
          </w:p>
        </w:tc>
      </w:tr>
    </w:tbl>
    <w:p>
      <w:pPr>
        <w:pStyle w:val="TextBody"/>
        <w:bidi w:val="0"/>
        <w:spacing w:before="0" w:after="0"/>
        <w:ind w:left="0" w:right="0" w:hanging="0"/>
        <w:jc w:val="left"/>
        <w:rPr/>
      </w:pPr>
      <w:r>
        <w:rPr/>
        <w:t>​</w:t>
      </w:r>
    </w:p>
    <w:tbl>
      <w:tblPr>
        <w:tblW w:w="4548" w:type="dxa"/>
        <w:jc w:val="left"/>
        <w:tblInd w:w="0" w:type="dxa"/>
        <w:tblLayout w:type="fixed"/>
        <w:tblCellMar>
          <w:top w:w="0" w:type="dxa"/>
          <w:left w:w="0" w:type="dxa"/>
          <w:bottom w:w="0" w:type="dxa"/>
          <w:right w:w="0" w:type="dxa"/>
        </w:tblCellMar>
      </w:tblPr>
      <w:tblGrid>
        <w:gridCol w:w="23"/>
        <w:gridCol w:w="170"/>
        <w:gridCol w:w="43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10"/>
              <w:jc w:val="left"/>
              <w:rPr>
                <w:rFonts w:ascii="Times New Roman;Times;serif" w:hAnsi="Times New Roman;Times;serif"/>
                <w:sz w:val="20"/>
              </w:rPr>
            </w:pPr>
            <w:r>
              <w:rPr>
                <w:rFonts w:ascii="Times New Roman;Times;serif" w:hAnsi="Times New Roman;Times;serif"/>
                <w:sz w:val="20"/>
              </w:rPr>
              <w:t>2.</w:t>
            </w:r>
          </w:p>
        </w:tc>
        <w:tc>
          <w:tcPr>
            <w:tcW w:w="4355" w:type="dxa"/>
            <w:tcBorders/>
            <w:vAlign w:val="center"/>
          </w:tcPr>
          <w:p>
            <w:pPr>
              <w:pStyle w:val="TableContents"/>
              <w:bidi w:val="0"/>
              <w:spacing w:before="0" w:after="10"/>
              <w:jc w:val="left"/>
              <w:rPr>
                <w:rFonts w:ascii="Times New Roman;Times;serif" w:hAnsi="Times New Roman;Times;serif"/>
                <w:sz w:val="20"/>
              </w:rPr>
            </w:pPr>
            <w:r>
              <w:rPr>
                <w:rFonts w:ascii="Times New Roman;Times;serif" w:hAnsi="Times New Roman;Times;serif"/>
                <w:sz w:val="20"/>
              </w:rPr>
              <w:t>With respect to the Company’s independent auditors: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11"/>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11"/>
              <w:jc w:val="left"/>
              <w:rPr>
                <w:rFonts w:ascii="Times New Roman;Times;serif" w:hAnsi="Times New Roman;Times;serif"/>
                <w:sz w:val="20"/>
              </w:rPr>
            </w:pPr>
            <w:r>
              <w:rPr>
                <w:rFonts w:ascii="Times New Roman;Times;serif" w:hAnsi="Times New Roman;Times;serif"/>
                <w:sz w:val="20"/>
              </w:rPr>
              <w:t>Appoint the Company’s independent auditors, determine its compensation and oversee its work. The Committee shall preapprove all auditing services (including the provision of comfort letters) and non-audit services provided by the independent auditors to the Company and consider whether such services are permissible under applicable law, Nasdaq listing standards and the Listing Rules of The Stock Exchange of Hong Kong Limited. The Committee may delegate to one or more designated Committee members the authority to grant preapprovals required by the foregoing sentence. The decisions of any Committee member to whom authority is delegated hereunder shall be presented to the Committee at its next scheduled meeting. The independent auditors shall be ultimately accountable to the Board and to the Committee.</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10"/>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10"/>
              <w:jc w:val="left"/>
              <w:rPr>
                <w:rFonts w:ascii="Times New Roman;Times;serif" w:hAnsi="Times New Roman;Times;serif"/>
                <w:sz w:val="20"/>
              </w:rPr>
            </w:pPr>
            <w:r>
              <w:rPr>
                <w:rFonts w:ascii="Times New Roman;Times;serif" w:hAnsi="Times New Roman;Times;serif"/>
                <w:sz w:val="20"/>
              </w:rPr>
              <w:t>With respect to any tax service(s) to be provided by the Company’s independent auditors that are not otherwise prohibited under applicable laws, rules or regulations:</w:t>
            </w:r>
          </w:p>
        </w:tc>
      </w:tr>
    </w:tbl>
    <w:p>
      <w:pPr>
        <w:pStyle w:val="TextBody"/>
        <w:bidi w:val="0"/>
        <w:spacing w:before="0" w:after="1"/>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3"/>
        <w:gridCol w:w="10019"/>
      </w:tblGrid>
      <w:tr>
        <w:trPr/>
        <w:tc>
          <w:tcPr>
            <w:tcW w:w="2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w:t>
            </w:r>
          </w:p>
        </w:tc>
        <w:tc>
          <w:tcPr>
            <w:tcW w:w="1001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Prior to approving such service(s), the Committee shall: (x) review a written description of the scope of the work, fee arrangement and any related arrangements or agreements that would affect or conflict with the scope or fee from the independent auditors, and (y) discuss with the independent</w:t>
            </w:r>
          </w:p>
        </w:tc>
      </w:tr>
    </w:tbl>
    <w:p>
      <w:pPr>
        <w:pStyle w:val="TextBody"/>
        <w:pBdr/>
        <w:bidi w:val="0"/>
        <w:spacing w:before="0" w:after="0"/>
        <w:ind w:left="2380" w:right="0" w:hanging="629"/>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80"/>
        <w:ind w:left="0" w:right="0" w:hanging="0"/>
        <w:jc w:val="left"/>
        <w:rPr/>
      </w:pPr>
      <w:r>
        <w:rPr/>
        <w:t>​</w:t>
      </w:r>
    </w:p>
    <w:p>
      <w:pPr>
        <w:pStyle w:val="TextBody"/>
        <w:bidi w:val="0"/>
        <w:spacing w:before="0" w:after="0"/>
        <w:ind w:left="3009" w:right="0" w:hanging="0"/>
        <w:jc w:val="left"/>
        <w:rPr>
          <w:rFonts w:ascii="Times New Roman;Times;serif" w:hAnsi="Times New Roman;Times;serif"/>
          <w:sz w:val="20"/>
        </w:rPr>
      </w:pPr>
      <w:r>
        <w:rPr>
          <w:rFonts w:ascii="Times New Roman;Times;serif" w:hAnsi="Times New Roman;Times;serif"/>
          <w:sz w:val="20"/>
        </w:rPr>
        <w:t>auditors the potential effect of the proposed tax service(s) on such auditors’ independence. The Committee shall confirm with the independent auditors that, prior to such discussion, the independent auditors evaluated the tax service(s) under the rules of the Public Company Accounting Oversight Board (the “</w:t>
      </w:r>
      <w:r>
        <w:rPr>
          <w:rFonts w:ascii="Times New Roman;Times;serif" w:hAnsi="Times New Roman;Times;serif"/>
          <w:sz w:val="20"/>
          <w:u w:val="single"/>
        </w:rPr>
        <w:t>PCAOB</w:t>
      </w:r>
      <w:r>
        <w:rPr>
          <w:rFonts w:ascii="Times New Roman;Times;serif" w:hAnsi="Times New Roman;Times;serif"/>
          <w:sz w:val="20"/>
        </w:rPr>
        <w:t>”), including PCAOB Rule 3522 (Tax Transactions) and PCAOB Rule 3523 (Tax Services for Persons in Financial Reporting Oversight Roles) and any other relevant rules then in effect.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10"/>
              <w:jc w:val="left"/>
              <w:rPr>
                <w:rFonts w:ascii="Times New Roman;Times;serif" w:hAnsi="Times New Roman;Times;serif"/>
                <w:sz w:val="20"/>
              </w:rPr>
            </w:pPr>
            <w:r>
              <w:rPr>
                <w:rFonts w:ascii="Times New Roman;Times;serif" w:hAnsi="Times New Roman;Times;serif"/>
                <w:sz w:val="20"/>
              </w:rPr>
              <w:t>(ii)</w:t>
            </w:r>
          </w:p>
        </w:tc>
        <w:tc>
          <w:tcPr>
            <w:tcW w:w="9955" w:type="dxa"/>
            <w:tcBorders/>
            <w:vAlign w:val="center"/>
          </w:tcPr>
          <w:p>
            <w:pPr>
              <w:pStyle w:val="TableContents"/>
              <w:bidi w:val="0"/>
              <w:spacing w:before="0" w:after="10"/>
              <w:jc w:val="left"/>
              <w:rPr>
                <w:rFonts w:ascii="Times New Roman;Times;serif" w:hAnsi="Times New Roman;Times;serif"/>
                <w:sz w:val="20"/>
              </w:rPr>
            </w:pPr>
            <w:r>
              <w:rPr>
                <w:rFonts w:ascii="Times New Roman;Times;serif" w:hAnsi="Times New Roman;Times;serif"/>
                <w:sz w:val="20"/>
              </w:rPr>
              <w:t>The Committee shall confirm that the independent auditors have documented the discussion referenced in clause (i)(y) above in writing in accordance with PCAOB Rule 3524 (Audit Committee Pre-approval of Certain Tax Services) and any successor rules.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Review the independence of the independent auditors, including a review of management consulting services provided by the independent auditors and related fees. The Committee shall require the independent auditors at least annually to provide a formal written statement delineating all relationships between the independent auditors and the Company consistent with the rules applicable to Nasdaq and Hong Kong Stock Exchange listed issuers and request information from the independent auditors and management to determine the presence or absence of a conflict of interest. The Committee shall actively engage the auditors in a dialogue with respect to any disclosed relationships or services that may impact the objectivity and independence of the auditors. The Committee shall take, or recommend that the full Board take, appropriate action to oversee the independence of the auditors.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10"/>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10"/>
              <w:jc w:val="left"/>
              <w:rPr>
                <w:rFonts w:ascii="Times New Roman;Times;serif" w:hAnsi="Times New Roman;Times;serif"/>
                <w:sz w:val="20"/>
              </w:rPr>
            </w:pPr>
            <w:r>
              <w:rPr>
                <w:rFonts w:ascii="Times New Roman;Times;serif" w:hAnsi="Times New Roman;Times;serif"/>
                <w:sz w:val="20"/>
              </w:rPr>
              <w:t>Ensure the regular rotation of the lead audit partner and other members of the engagement team to the extent required by law or Nasdaq rules and the Listing Rules of The Stock Exchange of Hong Kong Limited, and further consider whether, in order to ensure continuing auditor independence, there should be regular rotation of the independent auditing firm itself.</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10"/>
              <w:jc w:val="left"/>
              <w:rPr>
                <w:rFonts w:ascii="Times New Roman;Times;serif" w:hAnsi="Times New Roman;Times;serif"/>
                <w:sz w:val="20"/>
              </w:rPr>
            </w:pPr>
            <w:r>
              <w:rPr>
                <w:rFonts w:ascii="Times New Roman;Times;serif" w:hAnsi="Times New Roman;Times;serif"/>
                <w:sz w:val="20"/>
              </w:rPr>
              <w:t>e.</w:t>
            </w:r>
          </w:p>
        </w:tc>
        <w:tc>
          <w:tcPr>
            <w:tcW w:w="10027" w:type="dxa"/>
            <w:tcBorders/>
            <w:vAlign w:val="center"/>
          </w:tcPr>
          <w:p>
            <w:pPr>
              <w:pStyle w:val="TableContents"/>
              <w:bidi w:val="0"/>
              <w:spacing w:before="0" w:after="10"/>
              <w:jc w:val="left"/>
              <w:rPr>
                <w:rFonts w:ascii="Times New Roman;Times;serif" w:hAnsi="Times New Roman;Times;serif"/>
                <w:sz w:val="20"/>
              </w:rPr>
            </w:pPr>
            <w:r>
              <w:rPr>
                <w:rFonts w:ascii="Times New Roman;Times;serif" w:hAnsi="Times New Roman;Times;serif"/>
                <w:sz w:val="20"/>
              </w:rPr>
              <w:t>Set clear policies for the Company’s hiring of employees or former employees of the independent auditor. Additionally, make inquiries to confirm that controls and required approvals are in place to prevent the Company from engaging the independent auditors in any services that might impact their independence.</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9"/>
        <w:gridCol w:w="10033"/>
      </w:tblGrid>
      <w:tr>
        <w:trPr/>
        <w:tc>
          <w:tcPr>
            <w:tcW w:w="2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3.</w:t>
            </w:r>
          </w:p>
        </w:tc>
        <w:tc>
          <w:tcPr>
            <w:tcW w:w="1003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Review with management: (i) the scope and responsibilities of an internal audit department, (ii) the appointment, replacement, reassignment or dismissal of an internal audit department manager or director, (iii) the</w:t>
            </w:r>
          </w:p>
        </w:tc>
      </w:tr>
    </w:tbl>
    <w:p>
      <w:pPr>
        <w:pStyle w:val="TextBody"/>
        <w:pBdr/>
        <w:bidi w:val="0"/>
        <w:spacing w:before="0" w:after="0"/>
        <w:ind w:left="940" w:right="0" w:hanging="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
        <w:ind w:left="1660" w:right="0" w:hanging="0"/>
        <w:jc w:val="left"/>
        <w:rPr>
          <w:rFonts w:ascii="Times New Roman;Times;serif" w:hAnsi="Times New Roman;Times;serif"/>
          <w:sz w:val="20"/>
        </w:rPr>
      </w:pPr>
      <w:r>
        <w:rPr>
          <w:rFonts w:ascii="Times New Roman;Times;serif" w:hAnsi="Times New Roman;Times;serif"/>
          <w:sz w:val="20"/>
        </w:rPr>
        <w:t>qualifications and experience of any staff of the internal audit department at or above the level of manager, (iv) the internal audit function for performance, sufficiency and effectiveness, (v) the annual budget and work plan for the internal audit department, (vi) the persons within the Company’s senior management and/or the Committee to whom the internal audit department manager or director shall directly report, (vii) the nature and frequency of reports from the internal audit department manager or director to the Company’s senior management and/or the Committee and (viii) the internal audit department’s interaction with the independent auditors in developing and implementing the audit plan. The Committee shall work with management to reach a consensus on the foregoing.</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4"/>
        <w:gridCol w:w="10018"/>
      </w:tblGrid>
      <w:tr>
        <w:trPr/>
        <w:tc>
          <w:tcPr>
            <w:tcW w:w="2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4.</w:t>
            </w:r>
          </w:p>
        </w:tc>
        <w:tc>
          <w:tcPr>
            <w:tcW w:w="1001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Review and discuss with management, before release: (i) the audited financial statements and the Management’s Discussion and Analysis</w:t>
            </w:r>
          </w:p>
        </w:tc>
      </w:tr>
    </w:tbl>
    <w:p>
      <w:pPr>
        <w:pStyle w:val="TextBody"/>
        <w:bidi w:val="0"/>
        <w:spacing w:before="0" w:after="0"/>
        <w:ind w:left="1660" w:right="0" w:hanging="0"/>
        <w:jc w:val="left"/>
        <w:rPr>
          <w:rFonts w:ascii="Times New Roman;Times;serif" w:hAnsi="Times New Roman;Times;serif"/>
          <w:sz w:val="20"/>
        </w:rPr>
      </w:pPr>
      <w:r>
        <w:rPr>
          <w:rFonts w:ascii="Times New Roman;Times;serif" w:hAnsi="Times New Roman;Times;serif"/>
          <w:sz w:val="20"/>
        </w:rPr>
        <w:t>proposed to be included in the Company’s Annual Reports filed with the</w:t>
      </w:r>
    </w:p>
    <w:p>
      <w:pPr>
        <w:pStyle w:val="TextBody"/>
        <w:bidi w:val="0"/>
        <w:spacing w:before="0" w:after="11"/>
        <w:ind w:left="1660" w:right="0" w:hanging="0"/>
        <w:jc w:val="left"/>
        <w:rPr>
          <w:rFonts w:ascii="Times New Roman;Times;serif" w:hAnsi="Times New Roman;Times;serif"/>
          <w:sz w:val="20"/>
        </w:rPr>
      </w:pPr>
      <w:r>
        <w:rPr>
          <w:rFonts w:ascii="Times New Roman;Times;serif" w:hAnsi="Times New Roman;Times;serif"/>
          <w:sz w:val="20"/>
        </w:rPr>
        <w:t>U.S. Securities and Exchange Commission and The Stock Exchange of Hong Kong Limited and (ii) if deemed appropriate by the Committee, any other publicly disclosed financial information of the Company, including without limitation quarterly earnings press releases. The Committee shall also make a recommendation to the Board whether or not the audited financial statements should be included in such Annual Reports.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5.</w:t>
            </w:r>
          </w:p>
        </w:tc>
        <w:tc>
          <w:tcPr>
            <w:tcW w:w="1004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In consultation with management, cooperate with, and to the extent deemed appropriate by the members of the Committee, oversee, the members of any internal disclosure control task force or other group within the Company which is charged with gathering information for the Company’s public reports and filings, considering the materiality of such information and determining disclosure obligations, and consider and</w:t>
            </w:r>
          </w:p>
        </w:tc>
      </w:tr>
    </w:tbl>
    <w:p>
      <w:pPr>
        <w:pStyle w:val="TextBody"/>
        <w:bidi w:val="0"/>
        <w:spacing w:before="0" w:after="11"/>
        <w:ind w:left="1660" w:right="0" w:hanging="0"/>
        <w:jc w:val="left"/>
        <w:rPr>
          <w:rFonts w:ascii="Times New Roman;Times;serif" w:hAnsi="Times New Roman;Times;serif"/>
          <w:sz w:val="20"/>
        </w:rPr>
      </w:pPr>
      <w:r>
        <w:rPr>
          <w:rFonts w:ascii="Times New Roman;Times;serif" w:hAnsi="Times New Roman;Times;serif"/>
          <w:sz w:val="20"/>
        </w:rPr>
        <w:t>respond to any issues and deficiencies relating to the Company’s disclosure controls and procedures which are identified by management or such internal group.</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0"/>
        <w:gridCol w:w="10042"/>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10"/>
              <w:jc w:val="left"/>
              <w:rPr>
                <w:rFonts w:ascii="Times New Roman;Times;serif" w:hAnsi="Times New Roman;Times;serif"/>
                <w:sz w:val="20"/>
              </w:rPr>
            </w:pPr>
            <w:r>
              <w:rPr>
                <w:rFonts w:ascii="Times New Roman;Times;serif" w:hAnsi="Times New Roman;Times;serif"/>
                <w:sz w:val="20"/>
              </w:rPr>
              <w:t>6.</w:t>
            </w:r>
          </w:p>
        </w:tc>
        <w:tc>
          <w:tcPr>
            <w:tcW w:w="10042" w:type="dxa"/>
            <w:tcBorders/>
            <w:vAlign w:val="center"/>
          </w:tcPr>
          <w:p>
            <w:pPr>
              <w:pStyle w:val="TableContents"/>
              <w:bidi w:val="0"/>
              <w:spacing w:before="0" w:after="10"/>
              <w:jc w:val="left"/>
              <w:rPr>
                <w:rFonts w:ascii="Times New Roman;Times;serif" w:hAnsi="Times New Roman;Times;serif"/>
                <w:sz w:val="20"/>
              </w:rPr>
            </w:pPr>
            <w:r>
              <w:rPr>
                <w:rFonts w:ascii="Times New Roman;Times;serif" w:hAnsi="Times New Roman;Times;serif"/>
                <w:sz w:val="20"/>
              </w:rPr>
              <w:t>The Committee shall discuss with management, the internal auditors and the independent auditors management’s process for assessing the effectiveness of internal control over financial reporting under Section 404 of the Sarbanes-Oxley Act of 2002, including any significant deficiencies or material weaknesses identified.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2"/>
        <w:gridCol w:w="10030"/>
      </w:tblGrid>
      <w:tr>
        <w:trPr/>
        <w:tc>
          <w:tcPr>
            <w:tcW w:w="2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10"/>
              <w:jc w:val="left"/>
              <w:rPr>
                <w:rFonts w:ascii="Times New Roman;Times;serif" w:hAnsi="Times New Roman;Times;serif"/>
                <w:sz w:val="20"/>
              </w:rPr>
            </w:pPr>
            <w:r>
              <w:rPr>
                <w:rFonts w:ascii="Times New Roman;Times;serif" w:hAnsi="Times New Roman;Times;serif"/>
                <w:sz w:val="20"/>
              </w:rPr>
              <w:t>7.</w:t>
            </w:r>
          </w:p>
        </w:tc>
        <w:tc>
          <w:tcPr>
            <w:tcW w:w="10030" w:type="dxa"/>
            <w:tcBorders/>
            <w:vAlign w:val="center"/>
          </w:tcPr>
          <w:p>
            <w:pPr>
              <w:pStyle w:val="TableContents"/>
              <w:bidi w:val="0"/>
              <w:spacing w:before="0" w:after="10"/>
              <w:jc w:val="left"/>
              <w:rPr>
                <w:rFonts w:ascii="Times New Roman;Times;serif" w:hAnsi="Times New Roman;Times;serif"/>
                <w:sz w:val="20"/>
              </w:rPr>
            </w:pPr>
            <w:r>
              <w:rPr>
                <w:rFonts w:ascii="Times New Roman;Times;serif" w:hAnsi="Times New Roman;Times;serif"/>
                <w:sz w:val="20"/>
              </w:rPr>
              <w:t>Review and discuss with management the Company’s disclosure in its filings with the Securities and Exchange Commission prepared pursuant Section 302 of the Sarbanes-Oxley Act of 2002.</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7"/>
        <w:gridCol w:w="10035"/>
      </w:tblGrid>
      <w:tr>
        <w:trPr/>
        <w:tc>
          <w:tcPr>
            <w:tcW w:w="2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8.</w:t>
            </w:r>
          </w:p>
        </w:tc>
        <w:tc>
          <w:tcPr>
            <w:tcW w:w="1003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In consultation with the independent auditors, the internal audit department, if any, and management, consider and review at the completion of the annual examinations and such other times as the Committee may deem appropriate:</w:t>
            </w:r>
          </w:p>
        </w:tc>
      </w:tr>
    </w:tbl>
    <w:p>
      <w:pPr>
        <w:pStyle w:val="TextBody"/>
        <w:pBdr/>
        <w:bidi w:val="0"/>
        <w:spacing w:before="0" w:after="0"/>
        <w:ind w:left="940" w:right="0" w:hanging="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223" w:type="dxa"/>
        <w:jc w:val="left"/>
        <w:tblInd w:w="0" w:type="dxa"/>
        <w:tblLayout w:type="fixed"/>
        <w:tblCellMar>
          <w:top w:w="0" w:type="dxa"/>
          <w:left w:w="0" w:type="dxa"/>
          <w:bottom w:w="0" w:type="dxa"/>
          <w:right w:w="0" w:type="dxa"/>
        </w:tblCellMar>
      </w:tblPr>
      <w:tblGrid>
        <w:gridCol w:w="23"/>
        <w:gridCol w:w="155"/>
        <w:gridCol w:w="5045"/>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10"/>
              <w:jc w:val="left"/>
              <w:rPr>
                <w:rFonts w:ascii="Times New Roman;Times;serif" w:hAnsi="Times New Roman;Times;serif"/>
                <w:sz w:val="20"/>
              </w:rPr>
            </w:pPr>
            <w:r>
              <w:rPr>
                <w:rFonts w:ascii="Times New Roman;Times;serif" w:hAnsi="Times New Roman;Times;serif"/>
                <w:sz w:val="20"/>
              </w:rPr>
              <w:t>a.</w:t>
            </w:r>
          </w:p>
        </w:tc>
        <w:tc>
          <w:tcPr>
            <w:tcW w:w="5045" w:type="dxa"/>
            <w:tcBorders/>
            <w:vAlign w:val="center"/>
          </w:tcPr>
          <w:p>
            <w:pPr>
              <w:pStyle w:val="TableContents"/>
              <w:bidi w:val="0"/>
              <w:spacing w:before="0" w:after="10"/>
              <w:jc w:val="left"/>
              <w:rPr>
                <w:rFonts w:ascii="Times New Roman;Times;serif" w:hAnsi="Times New Roman;Times;serif"/>
                <w:sz w:val="20"/>
              </w:rPr>
            </w:pPr>
            <w:r>
              <w:rPr>
                <w:rFonts w:ascii="Times New Roman;Times;serif" w:hAnsi="Times New Roman;Times;serif"/>
                <w:sz w:val="20"/>
              </w:rPr>
              <w:t>The Company’s annual financial statements and related notes.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10"/>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10"/>
              <w:jc w:val="left"/>
              <w:rPr>
                <w:rFonts w:ascii="Times New Roman;Times;serif" w:hAnsi="Times New Roman;Times;serif"/>
                <w:sz w:val="20"/>
              </w:rPr>
            </w:pPr>
            <w:r>
              <w:rPr>
                <w:rFonts w:ascii="Times New Roman;Times;serif" w:hAnsi="Times New Roman;Times;serif"/>
                <w:sz w:val="20"/>
              </w:rPr>
              <w:t>The independent auditors’ audit of the financial statements and their report thereon, including the scope of the audit of the Company’s internal controls over financial reporting and financial statements.</w:t>
            </w:r>
          </w:p>
        </w:tc>
      </w:tr>
    </w:tbl>
    <w:p>
      <w:pPr>
        <w:pStyle w:val="TextBody"/>
        <w:bidi w:val="0"/>
        <w:spacing w:before="0" w:after="1"/>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10"/>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10"/>
              <w:jc w:val="left"/>
              <w:rPr>
                <w:rFonts w:ascii="Times New Roman;Times;serif" w:hAnsi="Times New Roman;Times;serif"/>
                <w:sz w:val="20"/>
              </w:rPr>
            </w:pPr>
            <w:r>
              <w:rPr>
                <w:rFonts w:ascii="Times New Roman;Times;serif" w:hAnsi="Times New Roman;Times;serif"/>
                <w:sz w:val="20"/>
              </w:rPr>
              <w:t>The independent auditors’ reports regarding critical accounting policies, alternative treatments of financial information and other material written communications between the independent auditors and management.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10"/>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10"/>
              <w:jc w:val="left"/>
              <w:rPr>
                <w:rFonts w:ascii="Times New Roman;Times;serif" w:hAnsi="Times New Roman;Times;serif"/>
                <w:sz w:val="20"/>
              </w:rPr>
            </w:pPr>
            <w:r>
              <w:rPr>
                <w:rFonts w:ascii="Times New Roman;Times;serif" w:hAnsi="Times New Roman;Times;serif"/>
                <w:sz w:val="20"/>
              </w:rPr>
              <w:t>Any deficiency in, or suggested improvement to, the procedures or practices employed by the Company as reported by the independent auditors in their annual management letter.</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5"/>
        <w:gridCol w:w="10037"/>
      </w:tblGrid>
      <w:tr>
        <w:trPr/>
        <w:tc>
          <w:tcPr>
            <w:tcW w:w="2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11"/>
              <w:jc w:val="left"/>
              <w:rPr>
                <w:rFonts w:ascii="Times New Roman;Times;serif" w:hAnsi="Times New Roman;Times;serif"/>
                <w:sz w:val="20"/>
              </w:rPr>
            </w:pPr>
            <w:r>
              <w:rPr>
                <w:rFonts w:ascii="Times New Roman;Times;serif" w:hAnsi="Times New Roman;Times;serif"/>
                <w:sz w:val="20"/>
              </w:rPr>
              <w:t>9.</w:t>
            </w:r>
          </w:p>
        </w:tc>
        <w:tc>
          <w:tcPr>
            <w:tcW w:w="10037" w:type="dxa"/>
            <w:tcBorders/>
            <w:vAlign w:val="center"/>
          </w:tcPr>
          <w:p>
            <w:pPr>
              <w:pStyle w:val="TableContents"/>
              <w:bidi w:val="0"/>
              <w:spacing w:before="0" w:after="11"/>
              <w:jc w:val="left"/>
              <w:rPr>
                <w:rFonts w:ascii="Times New Roman;Times;serif" w:hAnsi="Times New Roman;Times;serif"/>
                <w:sz w:val="20"/>
              </w:rPr>
            </w:pPr>
            <w:r>
              <w:rPr>
                <w:rFonts w:ascii="Times New Roman;Times;serif" w:hAnsi="Times New Roman;Times;serif"/>
                <w:sz w:val="20"/>
              </w:rPr>
              <w:t>Periodically and to the extent appropriate under the circumstances, it may be advisable for the Committee, with the assistance of the independent auditors, the internal audit department, if any, and/or management, to consider and review the following:</w:t>
            </w:r>
          </w:p>
        </w:tc>
      </w:tr>
    </w:tbl>
    <w:p>
      <w:pPr>
        <w:pStyle w:val="TextBody"/>
        <w:bidi w:val="0"/>
        <w:spacing w:before="0" w:after="0"/>
        <w:ind w:left="0" w:right="0" w:hanging="0"/>
        <w:jc w:val="left"/>
        <w:rPr/>
      </w:pPr>
      <w:r>
        <w:rPr/>
        <w:t>​</w:t>
      </w:r>
    </w:p>
    <w:tbl>
      <w:tblPr>
        <w:tblW w:w="9243" w:type="dxa"/>
        <w:jc w:val="left"/>
        <w:tblInd w:w="0" w:type="dxa"/>
        <w:tblLayout w:type="fixed"/>
        <w:tblCellMar>
          <w:top w:w="0" w:type="dxa"/>
          <w:left w:w="0" w:type="dxa"/>
          <w:bottom w:w="0" w:type="dxa"/>
          <w:right w:w="0" w:type="dxa"/>
        </w:tblCellMar>
      </w:tblPr>
      <w:tblGrid>
        <w:gridCol w:w="23"/>
        <w:gridCol w:w="155"/>
        <w:gridCol w:w="9065"/>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9"/>
              <w:jc w:val="left"/>
              <w:rPr>
                <w:rFonts w:ascii="Times New Roman;Times;serif" w:hAnsi="Times New Roman;Times;serif"/>
                <w:sz w:val="20"/>
              </w:rPr>
            </w:pPr>
            <w:r>
              <w:rPr>
                <w:rFonts w:ascii="Times New Roman;Times;serif" w:hAnsi="Times New Roman;Times;serif"/>
                <w:sz w:val="20"/>
              </w:rPr>
              <w:t>a.</w:t>
            </w:r>
          </w:p>
        </w:tc>
        <w:tc>
          <w:tcPr>
            <w:tcW w:w="9065" w:type="dxa"/>
            <w:tcBorders/>
            <w:vAlign w:val="center"/>
          </w:tcPr>
          <w:p>
            <w:pPr>
              <w:pStyle w:val="TableContents"/>
              <w:bidi w:val="0"/>
              <w:spacing w:before="0" w:after="9"/>
              <w:jc w:val="left"/>
              <w:rPr>
                <w:rFonts w:ascii="Times New Roman;Times;serif" w:hAnsi="Times New Roman;Times;serif"/>
                <w:sz w:val="20"/>
              </w:rPr>
            </w:pPr>
            <w:r>
              <w:rPr>
                <w:rFonts w:ascii="Times New Roman;Times;serif" w:hAnsi="Times New Roman;Times;serif"/>
                <w:sz w:val="20"/>
              </w:rPr>
              <w:t>Any significant changes required in the independent auditors’ audit plan or auditing and accounting principles.</w:t>
            </w:r>
          </w:p>
        </w:tc>
      </w:tr>
    </w:tbl>
    <w:p>
      <w:pPr>
        <w:pStyle w:val="TextBody"/>
        <w:bidi w:val="0"/>
        <w:spacing w:before="0" w:after="0"/>
        <w:ind w:left="0" w:right="0" w:hanging="0"/>
        <w:jc w:val="left"/>
        <w:rPr/>
      </w:pPr>
      <w:r>
        <w:rPr/>
        <w:t>​</w:t>
      </w:r>
    </w:p>
    <w:tbl>
      <w:tblPr>
        <w:tblW w:w="7428" w:type="dxa"/>
        <w:jc w:val="left"/>
        <w:tblInd w:w="0" w:type="dxa"/>
        <w:tblLayout w:type="fixed"/>
        <w:tblCellMar>
          <w:top w:w="0" w:type="dxa"/>
          <w:left w:w="0" w:type="dxa"/>
          <w:bottom w:w="0" w:type="dxa"/>
          <w:right w:w="0" w:type="dxa"/>
        </w:tblCellMar>
      </w:tblPr>
      <w:tblGrid>
        <w:gridCol w:w="23"/>
        <w:gridCol w:w="170"/>
        <w:gridCol w:w="72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9"/>
              <w:jc w:val="left"/>
              <w:rPr>
                <w:rFonts w:ascii="Times New Roman;Times;serif" w:hAnsi="Times New Roman;Times;serif"/>
                <w:sz w:val="20"/>
              </w:rPr>
            </w:pPr>
            <w:r>
              <w:rPr>
                <w:rFonts w:ascii="Times New Roman;Times;serif" w:hAnsi="Times New Roman;Times;serif"/>
                <w:sz w:val="20"/>
              </w:rPr>
              <w:t>b.</w:t>
            </w:r>
          </w:p>
        </w:tc>
        <w:tc>
          <w:tcPr>
            <w:tcW w:w="7235" w:type="dxa"/>
            <w:tcBorders/>
            <w:vAlign w:val="center"/>
          </w:tcPr>
          <w:p>
            <w:pPr>
              <w:pStyle w:val="TableContents"/>
              <w:bidi w:val="0"/>
              <w:spacing w:before="0" w:after="9"/>
              <w:jc w:val="left"/>
              <w:rPr>
                <w:rFonts w:ascii="Times New Roman;Times;serif" w:hAnsi="Times New Roman;Times;serif"/>
                <w:sz w:val="20"/>
              </w:rPr>
            </w:pPr>
            <w:r>
              <w:rPr>
                <w:rFonts w:ascii="Times New Roman;Times;serif" w:hAnsi="Times New Roman;Times;serif"/>
                <w:sz w:val="20"/>
              </w:rPr>
              <w:t>Any difficulties or disputes with management encountered during the course of the audit.</w:t>
            </w:r>
          </w:p>
        </w:tc>
      </w:tr>
    </w:tbl>
    <w:p>
      <w:pPr>
        <w:pStyle w:val="TextBody"/>
        <w:bidi w:val="0"/>
        <w:spacing w:before="0" w:after="1"/>
        <w:ind w:left="0" w:right="0" w:hanging="0"/>
        <w:jc w:val="left"/>
        <w:rPr/>
      </w:pPr>
      <w:r>
        <w:rPr/>
        <w:t>​</w:t>
      </w:r>
    </w:p>
    <w:tbl>
      <w:tblPr>
        <w:tblW w:w="7023" w:type="dxa"/>
        <w:jc w:val="left"/>
        <w:tblInd w:w="0" w:type="dxa"/>
        <w:tblLayout w:type="fixed"/>
        <w:tblCellMar>
          <w:top w:w="0" w:type="dxa"/>
          <w:left w:w="0" w:type="dxa"/>
          <w:bottom w:w="0" w:type="dxa"/>
          <w:right w:w="0" w:type="dxa"/>
        </w:tblCellMar>
      </w:tblPr>
      <w:tblGrid>
        <w:gridCol w:w="23"/>
        <w:gridCol w:w="155"/>
        <w:gridCol w:w="6845"/>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9"/>
              <w:jc w:val="left"/>
              <w:rPr>
                <w:rFonts w:ascii="Times New Roman;Times;serif" w:hAnsi="Times New Roman;Times;serif"/>
                <w:sz w:val="20"/>
              </w:rPr>
            </w:pPr>
            <w:r>
              <w:rPr>
                <w:rFonts w:ascii="Times New Roman;Times;serif" w:hAnsi="Times New Roman;Times;serif"/>
                <w:sz w:val="20"/>
              </w:rPr>
              <w:t>c.</w:t>
            </w:r>
          </w:p>
        </w:tc>
        <w:tc>
          <w:tcPr>
            <w:tcW w:w="6845" w:type="dxa"/>
            <w:tcBorders/>
            <w:vAlign w:val="center"/>
          </w:tcPr>
          <w:p>
            <w:pPr>
              <w:pStyle w:val="TableContents"/>
              <w:bidi w:val="0"/>
              <w:spacing w:before="0" w:after="9"/>
              <w:jc w:val="left"/>
              <w:rPr>
                <w:rFonts w:ascii="Times New Roman;Times;serif" w:hAnsi="Times New Roman;Times;serif"/>
                <w:sz w:val="20"/>
              </w:rPr>
            </w:pPr>
            <w:r>
              <w:rPr>
                <w:rFonts w:ascii="Times New Roman;Times;serif" w:hAnsi="Times New Roman;Times;serif"/>
                <w:sz w:val="20"/>
              </w:rPr>
              <w:t>The adequacy of the Company’s system of internal controls over financial reporting.</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10"/>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10"/>
              <w:jc w:val="left"/>
              <w:rPr>
                <w:rFonts w:ascii="Times New Roman;Times;serif" w:hAnsi="Times New Roman;Times;serif"/>
                <w:sz w:val="20"/>
              </w:rPr>
            </w:pPr>
            <w:r>
              <w:rPr>
                <w:rFonts w:ascii="Times New Roman;Times;serif" w:hAnsi="Times New Roman;Times;serif"/>
                <w:sz w:val="20"/>
              </w:rPr>
              <w:t>The effect or potential effect of any regulatory regime, accounting initiatives or off-balance sheet structures on the Company’s financial statements.</w:t>
            </w:r>
          </w:p>
        </w:tc>
      </w:tr>
    </w:tbl>
    <w:p>
      <w:pPr>
        <w:pStyle w:val="TextBody"/>
        <w:bidi w:val="0"/>
        <w:spacing w:before="0" w:after="1"/>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10"/>
              <w:jc w:val="left"/>
              <w:rPr>
                <w:rFonts w:ascii="Times New Roman;Times;serif" w:hAnsi="Times New Roman;Times;serif"/>
                <w:sz w:val="20"/>
              </w:rPr>
            </w:pPr>
            <w:r>
              <w:rPr>
                <w:rFonts w:ascii="Times New Roman;Times;serif" w:hAnsi="Times New Roman;Times;serif"/>
                <w:sz w:val="20"/>
              </w:rPr>
              <w:t>e.</w:t>
            </w:r>
          </w:p>
        </w:tc>
        <w:tc>
          <w:tcPr>
            <w:tcW w:w="10027" w:type="dxa"/>
            <w:tcBorders/>
            <w:vAlign w:val="center"/>
          </w:tcPr>
          <w:p>
            <w:pPr>
              <w:pStyle w:val="TableContents"/>
              <w:bidi w:val="0"/>
              <w:spacing w:before="0" w:after="10"/>
              <w:jc w:val="left"/>
              <w:rPr>
                <w:rFonts w:ascii="Times New Roman;Times;serif" w:hAnsi="Times New Roman;Times;serif"/>
                <w:sz w:val="20"/>
              </w:rPr>
            </w:pPr>
            <w:r>
              <w:rPr>
                <w:rFonts w:ascii="Times New Roman;Times;serif" w:hAnsi="Times New Roman;Times;serif"/>
                <w:sz w:val="20"/>
              </w:rPr>
              <w:t>Any correspondence with regulators or governmental agencies and any employee complaints or published reports that raise material issues regarding the Company’s financial statements or accounting policies.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10"/>
              <w:jc w:val="left"/>
              <w:rPr>
                <w:rFonts w:ascii="Times New Roman;Times;serif" w:hAnsi="Times New Roman;Times;serif"/>
                <w:sz w:val="20"/>
              </w:rPr>
            </w:pPr>
            <w:r>
              <w:rPr>
                <w:rFonts w:ascii="Times New Roman;Times;serif" w:hAnsi="Times New Roman;Times;serif"/>
                <w:sz w:val="20"/>
              </w:rPr>
              <w:t>f.</w:t>
            </w:r>
          </w:p>
        </w:tc>
        <w:tc>
          <w:tcPr>
            <w:tcW w:w="10057" w:type="dxa"/>
            <w:tcBorders/>
            <w:vAlign w:val="center"/>
          </w:tcPr>
          <w:p>
            <w:pPr>
              <w:pStyle w:val="TableContents"/>
              <w:bidi w:val="0"/>
              <w:spacing w:before="0" w:after="10"/>
              <w:jc w:val="left"/>
              <w:rPr>
                <w:rFonts w:ascii="Times New Roman;Times;serif" w:hAnsi="Times New Roman;Times;serif"/>
                <w:sz w:val="20"/>
              </w:rPr>
            </w:pPr>
            <w:r>
              <w:rPr>
                <w:rFonts w:ascii="Times New Roman;Times;serif" w:hAnsi="Times New Roman;Times;serif"/>
                <w:sz w:val="20"/>
              </w:rPr>
              <w:t>Other matters related to the conduct of the audit which are to be communicated to the Committee under generally accepted auditing standards.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45"/>
        <w:gridCol w:w="9937"/>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w:t>
            </w:r>
          </w:p>
        </w:tc>
        <w:tc>
          <w:tcPr>
            <w:tcW w:w="993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Discuss with the independent auditors the matters required to be discussed by the outside auditor under Auditing Standard No. 1301, as adopted by the PCAOB and amended from time to time, including any problems or difficulties the outside auditor encountered in the course of its audit work and management’s response.</w:t>
            </w:r>
          </w:p>
        </w:tc>
      </w:tr>
    </w:tbl>
    <w:p>
      <w:pPr>
        <w:pStyle w:val="TextBody"/>
        <w:pBdr/>
        <w:bidi w:val="0"/>
        <w:spacing w:before="0" w:after="0"/>
        <w:ind w:left="940" w:right="0" w:hanging="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73"/>
        <w:gridCol w:w="9909"/>
      </w:tblGrid>
      <w:tr>
        <w:trPr/>
        <w:tc>
          <w:tcPr>
            <w:tcW w:w="2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10"/>
              <w:jc w:val="left"/>
              <w:rPr>
                <w:rFonts w:ascii="Times New Roman;Times;serif" w:hAnsi="Times New Roman;Times;serif"/>
                <w:sz w:val="20"/>
              </w:rPr>
            </w:pPr>
            <w:r>
              <w:rPr>
                <w:rFonts w:ascii="Times New Roman;Times;serif" w:hAnsi="Times New Roman;Times;serif"/>
                <w:sz w:val="20"/>
              </w:rPr>
              <w:t>11.</w:t>
            </w:r>
          </w:p>
        </w:tc>
        <w:tc>
          <w:tcPr>
            <w:tcW w:w="9909" w:type="dxa"/>
            <w:tcBorders/>
            <w:vAlign w:val="center"/>
          </w:tcPr>
          <w:p>
            <w:pPr>
              <w:pStyle w:val="TableContents"/>
              <w:bidi w:val="0"/>
              <w:spacing w:before="0" w:after="10"/>
              <w:jc w:val="left"/>
              <w:rPr>
                <w:rFonts w:ascii="Times New Roman;Times;serif" w:hAnsi="Times New Roman;Times;serif"/>
                <w:sz w:val="20"/>
              </w:rPr>
            </w:pPr>
            <w:r>
              <w:rPr>
                <w:rFonts w:ascii="Times New Roman;Times;serif" w:hAnsi="Times New Roman;Times;serif"/>
                <w:sz w:val="20"/>
              </w:rPr>
              <w:t>Obtain from the independent auditor assurance that it has complied with Section 10A of the Securities Exchange Act of 1934.</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39"/>
        <w:gridCol w:w="9943"/>
      </w:tblGrid>
      <w:tr>
        <w:trPr/>
        <w:tc>
          <w:tcPr>
            <w:tcW w:w="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10"/>
              <w:jc w:val="left"/>
              <w:rPr>
                <w:rFonts w:ascii="Times New Roman;Times;serif" w:hAnsi="Times New Roman;Times;serif"/>
                <w:sz w:val="20"/>
              </w:rPr>
            </w:pPr>
            <w:r>
              <w:rPr>
                <w:rFonts w:ascii="Times New Roman;Times;serif" w:hAnsi="Times New Roman;Times;serif"/>
                <w:sz w:val="20"/>
              </w:rPr>
              <w:t>12.</w:t>
            </w:r>
          </w:p>
        </w:tc>
        <w:tc>
          <w:tcPr>
            <w:tcW w:w="9943" w:type="dxa"/>
            <w:tcBorders/>
            <w:vAlign w:val="center"/>
          </w:tcPr>
          <w:p>
            <w:pPr>
              <w:pStyle w:val="TableContents"/>
              <w:bidi w:val="0"/>
              <w:spacing w:before="0" w:after="10"/>
              <w:jc w:val="left"/>
              <w:rPr>
                <w:rFonts w:ascii="Times New Roman;Times;serif" w:hAnsi="Times New Roman;Times;serif"/>
                <w:sz w:val="20"/>
              </w:rPr>
            </w:pPr>
            <w:r>
              <w:rPr>
                <w:rFonts w:ascii="Times New Roman;Times;serif" w:hAnsi="Times New Roman;Times;serif"/>
                <w:sz w:val="20"/>
              </w:rPr>
              <w:t>Ensure that the Company has implemented adequate procedures for (a) the receipt, retention and treatment of complaints received by the Company regarding accounting, internal controls over financial reporting or auditing matters and (b) the confidential, anonymous submission by the Company’s employees of concerns regarding questionable accounting or auditing matters. The Committee shall observe such procedures and any other related procedures which the Committee may establish from time to time.</w:t>
            </w:r>
          </w:p>
        </w:tc>
      </w:tr>
    </w:tbl>
    <w:p>
      <w:pPr>
        <w:pStyle w:val="TextBody"/>
        <w:bidi w:val="0"/>
        <w:spacing w:before="0" w:after="1"/>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54"/>
        <w:gridCol w:w="9928"/>
      </w:tblGrid>
      <w:tr>
        <w:trPr/>
        <w:tc>
          <w:tcPr>
            <w:tcW w:w="2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9"/>
              <w:jc w:val="left"/>
              <w:rPr>
                <w:rFonts w:ascii="Times New Roman;Times;serif" w:hAnsi="Times New Roman;Times;serif"/>
                <w:sz w:val="20"/>
              </w:rPr>
            </w:pPr>
            <w:r>
              <w:rPr>
                <w:rFonts w:ascii="Times New Roman;Times;serif" w:hAnsi="Times New Roman;Times;serif"/>
                <w:sz w:val="20"/>
              </w:rPr>
              <w:t>13.</w:t>
            </w:r>
          </w:p>
        </w:tc>
        <w:tc>
          <w:tcPr>
            <w:tcW w:w="9928" w:type="dxa"/>
            <w:tcBorders/>
            <w:vAlign w:val="center"/>
          </w:tcPr>
          <w:p>
            <w:pPr>
              <w:pStyle w:val="TableContents"/>
              <w:bidi w:val="0"/>
              <w:spacing w:before="0" w:after="9"/>
              <w:jc w:val="left"/>
              <w:rPr>
                <w:rFonts w:ascii="Times New Roman;Times;serif" w:hAnsi="Times New Roman;Times;serif"/>
                <w:sz w:val="20"/>
              </w:rPr>
            </w:pPr>
            <w:r>
              <w:rPr>
                <w:rFonts w:ascii="Times New Roman;Times;serif" w:hAnsi="Times New Roman;Times;serif"/>
                <w:sz w:val="20"/>
              </w:rPr>
              <w:t>Review and discuss with management and the internal auditor (or other personnel responsible for the internal audit function) the Company’s procedures and practices designed to provide reasonable assurance that:</w:t>
            </w:r>
          </w:p>
        </w:tc>
      </w:tr>
    </w:tbl>
    <w:p>
      <w:pPr>
        <w:pStyle w:val="TextBody"/>
        <w:bidi w:val="0"/>
        <w:spacing w:before="0" w:after="1"/>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10"/>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10"/>
              <w:jc w:val="left"/>
              <w:rPr>
                <w:rFonts w:ascii="Times New Roman;Times;serif" w:hAnsi="Times New Roman;Times;serif"/>
                <w:sz w:val="20"/>
              </w:rPr>
            </w:pPr>
            <w:r>
              <w:rPr>
                <w:rFonts w:ascii="Times New Roman;Times;serif" w:hAnsi="Times New Roman;Times;serif"/>
                <w:sz w:val="20"/>
              </w:rPr>
              <w:t>The Company’s books, records, accounts and internal accounting controls are established and maintained in compliance with the PRC Anti-Unfair Competition Law, the US Foreign Corrupt Practices Act of 1977, the UK Bribery Act 2010 and similar laws and regulations to which the Company is subject;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11"/>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11"/>
              <w:jc w:val="left"/>
              <w:rPr>
                <w:rFonts w:ascii="Times New Roman;Times;serif" w:hAnsi="Times New Roman;Times;serif"/>
                <w:sz w:val="20"/>
              </w:rPr>
            </w:pPr>
            <w:r>
              <w:rPr>
                <w:rFonts w:ascii="Times New Roman;Times;serif" w:hAnsi="Times New Roman;Times;serif"/>
                <w:sz w:val="20"/>
              </w:rPr>
              <w:t>There are adequate company-level controls in place to prevent or detect (i) any improper or illegal disbursement of corporate funds or property of value or (ii) the making of any arrangement on behalf of the Company which may provide for or result in the improper or illegal disbursement of funds or property of value, in order that the Company be in compliance with such laws and regulations.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60"/>
        <w:gridCol w:w="9922"/>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10"/>
              <w:jc w:val="left"/>
              <w:rPr>
                <w:rFonts w:ascii="Times New Roman;Times;serif" w:hAnsi="Times New Roman;Times;serif"/>
                <w:sz w:val="20"/>
              </w:rPr>
            </w:pPr>
            <w:r>
              <w:rPr>
                <w:rFonts w:ascii="Times New Roman;Times;serif" w:hAnsi="Times New Roman;Times;serif"/>
                <w:sz w:val="20"/>
              </w:rPr>
              <w:t>14.</w:t>
            </w:r>
          </w:p>
        </w:tc>
        <w:tc>
          <w:tcPr>
            <w:tcW w:w="9922" w:type="dxa"/>
            <w:tcBorders/>
            <w:vAlign w:val="center"/>
          </w:tcPr>
          <w:p>
            <w:pPr>
              <w:pStyle w:val="TableContents"/>
              <w:bidi w:val="0"/>
              <w:spacing w:before="0" w:after="10"/>
              <w:jc w:val="left"/>
              <w:rPr>
                <w:rFonts w:ascii="Times New Roman;Times;serif" w:hAnsi="Times New Roman;Times;serif"/>
                <w:sz w:val="20"/>
              </w:rPr>
            </w:pPr>
            <w:r>
              <w:rPr>
                <w:rFonts w:ascii="Times New Roman;Times;serif" w:hAnsi="Times New Roman;Times;serif"/>
                <w:sz w:val="20"/>
              </w:rPr>
              <w:t>Cooperate with the Company in preparing any reports of the Committee it intends to include in a proxy statement and any other reports required by applicable securities laws.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71"/>
        <w:gridCol w:w="9911"/>
      </w:tblGrid>
      <w:tr>
        <w:trPr/>
        <w:tc>
          <w:tcPr>
            <w:tcW w:w="2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9"/>
              <w:jc w:val="left"/>
              <w:rPr>
                <w:rFonts w:ascii="Times New Roman;Times;serif" w:hAnsi="Times New Roman;Times;serif"/>
                <w:sz w:val="20"/>
              </w:rPr>
            </w:pPr>
            <w:r>
              <w:rPr>
                <w:rFonts w:ascii="Times New Roman;Times;serif" w:hAnsi="Times New Roman;Times;serif"/>
                <w:sz w:val="20"/>
              </w:rPr>
              <w:t>15.</w:t>
            </w:r>
          </w:p>
        </w:tc>
        <w:tc>
          <w:tcPr>
            <w:tcW w:w="9911" w:type="dxa"/>
            <w:tcBorders/>
            <w:vAlign w:val="center"/>
          </w:tcPr>
          <w:p>
            <w:pPr>
              <w:pStyle w:val="TableContents"/>
              <w:bidi w:val="0"/>
              <w:spacing w:before="0" w:after="9"/>
              <w:jc w:val="left"/>
              <w:rPr>
                <w:rFonts w:ascii="Times New Roman;Times;serif" w:hAnsi="Times New Roman;Times;serif"/>
                <w:sz w:val="20"/>
              </w:rPr>
            </w:pPr>
            <w:r>
              <w:rPr>
                <w:rFonts w:ascii="Times New Roman;Times;serif" w:hAnsi="Times New Roman;Times;serif"/>
                <w:sz w:val="20"/>
              </w:rPr>
              <w:t>Review, with the Company’s counsel, any legal matter that could have a significant impact on the Company’s financial statements.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52"/>
        <w:gridCol w:w="9930"/>
      </w:tblGrid>
      <w:tr>
        <w:trPr/>
        <w:tc>
          <w:tcPr>
            <w:tcW w:w="2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9"/>
              <w:jc w:val="left"/>
              <w:rPr>
                <w:rFonts w:ascii="Times New Roman;Times;serif" w:hAnsi="Times New Roman;Times;serif"/>
                <w:sz w:val="20"/>
              </w:rPr>
            </w:pPr>
            <w:r>
              <w:rPr>
                <w:rFonts w:ascii="Times New Roman;Times;serif" w:hAnsi="Times New Roman;Times;serif"/>
                <w:sz w:val="20"/>
              </w:rPr>
              <w:t>16.</w:t>
            </w:r>
          </w:p>
        </w:tc>
        <w:tc>
          <w:tcPr>
            <w:tcW w:w="9930" w:type="dxa"/>
            <w:tcBorders/>
            <w:vAlign w:val="center"/>
          </w:tcPr>
          <w:p>
            <w:pPr>
              <w:pStyle w:val="TableContents"/>
              <w:bidi w:val="0"/>
              <w:spacing w:before="0" w:after="9"/>
              <w:jc w:val="left"/>
              <w:rPr>
                <w:rFonts w:ascii="Times New Roman;Times;serif" w:hAnsi="Times New Roman;Times;serif"/>
                <w:sz w:val="20"/>
              </w:rPr>
            </w:pPr>
            <w:r>
              <w:rPr>
                <w:rFonts w:ascii="Times New Roman;Times;serif" w:hAnsi="Times New Roman;Times;serif"/>
                <w:sz w:val="20"/>
              </w:rPr>
              <w:t>Oversee the Company’s compliance program with respect to legal and regulatory requirements, including the Company’s Code of Business Conduct (the “</w:t>
            </w:r>
            <w:r>
              <w:rPr>
                <w:rFonts w:ascii="Times New Roman;Times;serif" w:hAnsi="Times New Roman;Times;serif"/>
                <w:sz w:val="20"/>
                <w:u w:val="single"/>
              </w:rPr>
              <w:t>Code</w:t>
            </w:r>
            <w:r>
              <w:rPr>
                <w:rFonts w:ascii="Times New Roman;Times;serif" w:hAnsi="Times New Roman;Times;serif"/>
                <w:sz w:val="20"/>
              </w:rPr>
              <w:t>”) and the Company’s policies and procedures for monitoring compliance.</w:t>
            </w:r>
          </w:p>
        </w:tc>
      </w:tr>
    </w:tbl>
    <w:p>
      <w:pPr>
        <w:pStyle w:val="TextBody"/>
        <w:bidi w:val="0"/>
        <w:spacing w:before="0" w:after="1"/>
        <w:ind w:left="0" w:right="0" w:hanging="0"/>
        <w:jc w:val="left"/>
        <w:rPr/>
      </w:pPr>
      <w:r>
        <w:rPr/>
        <w:t>​</w:t>
      </w:r>
    </w:p>
    <w:tbl>
      <w:tblPr>
        <w:tblW w:w="7173" w:type="dxa"/>
        <w:jc w:val="left"/>
        <w:tblInd w:w="0" w:type="dxa"/>
        <w:tblLayout w:type="fixed"/>
        <w:tblCellMar>
          <w:top w:w="0" w:type="dxa"/>
          <w:left w:w="0" w:type="dxa"/>
          <w:bottom w:w="0" w:type="dxa"/>
          <w:right w:w="0" w:type="dxa"/>
        </w:tblCellMar>
      </w:tblPr>
      <w:tblGrid>
        <w:gridCol w:w="23"/>
        <w:gridCol w:w="275"/>
        <w:gridCol w:w="6875"/>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9"/>
              <w:jc w:val="left"/>
              <w:rPr>
                <w:rFonts w:ascii="Times New Roman;Times;serif" w:hAnsi="Times New Roman;Times;serif"/>
                <w:sz w:val="20"/>
              </w:rPr>
            </w:pPr>
            <w:r>
              <w:rPr>
                <w:rFonts w:ascii="Times New Roman;Times;serif" w:hAnsi="Times New Roman;Times;serif"/>
                <w:sz w:val="20"/>
              </w:rPr>
              <w:t>17.</w:t>
            </w:r>
          </w:p>
        </w:tc>
        <w:tc>
          <w:tcPr>
            <w:tcW w:w="6875" w:type="dxa"/>
            <w:tcBorders/>
            <w:vAlign w:val="center"/>
          </w:tcPr>
          <w:p>
            <w:pPr>
              <w:pStyle w:val="TableContents"/>
              <w:bidi w:val="0"/>
              <w:spacing w:before="0" w:after="9"/>
              <w:jc w:val="left"/>
              <w:rPr>
                <w:rFonts w:ascii="Times New Roman;Times;serif" w:hAnsi="Times New Roman;Times;serif"/>
                <w:sz w:val="20"/>
              </w:rPr>
            </w:pPr>
            <w:r>
              <w:rPr>
                <w:rFonts w:ascii="Times New Roman;Times;serif" w:hAnsi="Times New Roman;Times;serif"/>
                <w:sz w:val="20"/>
              </w:rPr>
              <w:t>Report through its chairperson to the directors following meetings of the Committee.</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54"/>
        <w:gridCol w:w="9928"/>
      </w:tblGrid>
      <w:tr>
        <w:trPr/>
        <w:tc>
          <w:tcPr>
            <w:tcW w:w="2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18.</w:t>
            </w:r>
          </w:p>
        </w:tc>
        <w:tc>
          <w:tcPr>
            <w:tcW w:w="992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Review the rationale for employing audit firms other than the principal independent auditors; and, where an additional audit firm has been employed, review the coordination of audit efforts to assure completeness</w:t>
            </w:r>
          </w:p>
        </w:tc>
      </w:tr>
    </w:tbl>
    <w:p>
      <w:pPr>
        <w:pStyle w:val="TextBody"/>
        <w:pBdr/>
        <w:bidi w:val="0"/>
        <w:spacing w:before="0" w:after="0"/>
        <w:ind w:left="940" w:right="0" w:hanging="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0"/>
        <w:ind w:left="1660" w:right="0" w:hanging="0"/>
        <w:jc w:val="left"/>
        <w:rPr>
          <w:rFonts w:ascii="Times New Roman;Times;serif" w:hAnsi="Times New Roman;Times;serif"/>
          <w:sz w:val="20"/>
        </w:rPr>
      </w:pPr>
      <w:r>
        <w:rPr>
          <w:rFonts w:ascii="Times New Roman;Times;serif" w:hAnsi="Times New Roman;Times;serif"/>
          <w:sz w:val="20"/>
        </w:rPr>
        <w:t>of coverage, reduction of redundant efforts and the effective use of audit resources.</w:t>
      </w:r>
    </w:p>
    <w:p>
      <w:pPr>
        <w:pStyle w:val="TextBody"/>
        <w:bidi w:val="0"/>
        <w:spacing w:before="0" w:after="1"/>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60"/>
        <w:gridCol w:w="9922"/>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9"/>
              <w:jc w:val="left"/>
              <w:rPr>
                <w:rFonts w:ascii="Times New Roman;Times;serif" w:hAnsi="Times New Roman;Times;serif"/>
                <w:sz w:val="20"/>
              </w:rPr>
            </w:pPr>
            <w:r>
              <w:rPr>
                <w:rFonts w:ascii="Times New Roman;Times;serif" w:hAnsi="Times New Roman;Times;serif"/>
                <w:sz w:val="20"/>
              </w:rPr>
              <w:t>19.</w:t>
            </w:r>
          </w:p>
        </w:tc>
        <w:tc>
          <w:tcPr>
            <w:tcW w:w="9922" w:type="dxa"/>
            <w:tcBorders/>
            <w:vAlign w:val="center"/>
          </w:tcPr>
          <w:p>
            <w:pPr>
              <w:pStyle w:val="TableContents"/>
              <w:bidi w:val="0"/>
              <w:spacing w:before="0" w:after="9"/>
              <w:jc w:val="left"/>
              <w:rPr>
                <w:rFonts w:ascii="Times New Roman;Times;serif" w:hAnsi="Times New Roman;Times;serif"/>
                <w:sz w:val="20"/>
              </w:rPr>
            </w:pPr>
            <w:r>
              <w:rPr>
                <w:rFonts w:ascii="Times New Roman;Times;serif" w:hAnsi="Times New Roman;Times;serif"/>
                <w:sz w:val="20"/>
              </w:rPr>
              <w:t>Meet periodically with or interview, in separate sessions, the Chief Financial Officer, the senior internal auditing executive and the independent audit firm engagement partner.</w:t>
            </w:r>
          </w:p>
        </w:tc>
      </w:tr>
    </w:tbl>
    <w:p>
      <w:pPr>
        <w:pStyle w:val="TextBody"/>
        <w:bidi w:val="0"/>
        <w:spacing w:before="0" w:after="1"/>
        <w:ind w:left="0" w:right="0" w:hanging="0"/>
        <w:jc w:val="left"/>
        <w:rPr/>
      </w:pPr>
      <w:r>
        <w:rPr/>
        <w:t>​</w:t>
      </w:r>
    </w:p>
    <w:p>
      <w:pPr>
        <w:pStyle w:val="TextBody"/>
        <w:bidi w:val="0"/>
        <w:spacing w:before="0" w:after="1"/>
        <w:ind w:left="119" w:right="0" w:hanging="0"/>
        <w:jc w:val="left"/>
        <w:rPr>
          <w:rFonts w:ascii="Times New Roman;Times;serif" w:hAnsi="Times New Roman;Times;serif"/>
          <w:i/>
          <w:sz w:val="20"/>
        </w:rPr>
      </w:pPr>
      <w:r>
        <w:rPr>
          <w:rFonts w:ascii="Times New Roman;Times;serif" w:hAnsi="Times New Roman;Times;serif"/>
          <w:i/>
          <w:sz w:val="20"/>
        </w:rPr>
        <w:t>Additional Duties &amp; Responsibilities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36"/>
        <w:gridCol w:w="9946"/>
      </w:tblGrid>
      <w:tr>
        <w:trPr/>
        <w:tc>
          <w:tcPr>
            <w:tcW w:w="2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20.</w:t>
            </w:r>
          </w:p>
        </w:tc>
        <w:tc>
          <w:tcPr>
            <w:tcW w:w="994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Unless the Board shall designate another committee to handle such matters, on at least a quarterly basis, the Chief Executive Officer or Chief Financial Officer of the Company shall report to the Committee any reports or complaints they have received regarding: (i) actual or potential violations of the Code, (ii) matters related to accounting, internal controls over financial reporting or audits, (iii) corporate fraud, (iv) violations of law (even if deemed to be immaterial), (v) any compliance issues regarding the Code and (vi) confidential, anonymous submissions by employees of the Company regarding questionable accounting or auditing matters. The Committee shall evaluate each such matter in consultation with management and determine appropriate actions, if any, to take, in accordance with the Code.</w:t>
            </w:r>
          </w:p>
        </w:tc>
      </w:tr>
    </w:tbl>
    <w:tbl>
      <w:tblPr>
        <w:tblW w:w="10205" w:type="dxa"/>
        <w:jc w:val="left"/>
        <w:tblInd w:w="0" w:type="dxa"/>
        <w:tblLayout w:type="fixed"/>
        <w:tblCellMar>
          <w:top w:w="0" w:type="dxa"/>
          <w:left w:w="0" w:type="dxa"/>
          <w:bottom w:w="0" w:type="dxa"/>
          <w:right w:w="0" w:type="dxa"/>
        </w:tblCellMar>
      </w:tblPr>
      <w:tblGrid>
        <w:gridCol w:w="23"/>
        <w:gridCol w:w="270"/>
        <w:gridCol w:w="9912"/>
      </w:tblGrid>
      <w:tr>
        <w:trPr/>
        <w:tc>
          <w:tcPr>
            <w:tcW w:w="2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8"/>
              <w:jc w:val="left"/>
              <w:rPr>
                <w:rFonts w:ascii="Times New Roman;Times;serif" w:hAnsi="Times New Roman;Times;serif"/>
                <w:sz w:val="20"/>
              </w:rPr>
            </w:pPr>
            <w:r>
              <w:rPr>
                <w:rFonts w:ascii="Times New Roman;Times;serif" w:hAnsi="Times New Roman;Times;serif"/>
                <w:sz w:val="20"/>
              </w:rPr>
              <w:t>21.</w:t>
            </w:r>
          </w:p>
        </w:tc>
        <w:tc>
          <w:tcPr>
            <w:tcW w:w="9912" w:type="dxa"/>
            <w:tcBorders/>
            <w:vAlign w:val="center"/>
          </w:tcPr>
          <w:p>
            <w:pPr>
              <w:pStyle w:val="TableContents"/>
              <w:bidi w:val="0"/>
              <w:spacing w:before="0" w:after="8"/>
              <w:jc w:val="left"/>
              <w:rPr>
                <w:rFonts w:ascii="Times New Roman;Times;serif" w:hAnsi="Times New Roman;Times;serif"/>
                <w:sz w:val="20"/>
              </w:rPr>
            </w:pPr>
            <w:r>
              <w:rPr>
                <w:rFonts w:ascii="Times New Roman;Times;serif" w:hAnsi="Times New Roman;Times;serif"/>
                <w:sz w:val="20"/>
              </w:rPr>
              <w:t>The Committee shall review and discuss accounting pronouncements, initiatives and proposed rule changes relevant to the Company.</w:t>
            </w:r>
          </w:p>
        </w:tc>
      </w:tr>
    </w:tbl>
    <w:p>
      <w:pPr>
        <w:pStyle w:val="TextBody"/>
        <w:bidi w:val="0"/>
        <w:spacing w:before="0" w:after="1"/>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60"/>
        <w:gridCol w:w="9922"/>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9"/>
              <w:jc w:val="left"/>
              <w:rPr>
                <w:rFonts w:ascii="Times New Roman;Times;serif" w:hAnsi="Times New Roman;Times;serif"/>
                <w:sz w:val="20"/>
              </w:rPr>
            </w:pPr>
            <w:r>
              <w:rPr>
                <w:rFonts w:ascii="Times New Roman;Times;serif" w:hAnsi="Times New Roman;Times;serif"/>
                <w:sz w:val="20"/>
              </w:rPr>
              <w:t>22.</w:t>
            </w:r>
          </w:p>
        </w:tc>
        <w:tc>
          <w:tcPr>
            <w:tcW w:w="9922" w:type="dxa"/>
            <w:tcBorders/>
            <w:vAlign w:val="center"/>
          </w:tcPr>
          <w:p>
            <w:pPr>
              <w:pStyle w:val="TableContents"/>
              <w:bidi w:val="0"/>
              <w:spacing w:before="0" w:after="9"/>
              <w:jc w:val="left"/>
              <w:rPr>
                <w:rFonts w:ascii="Times New Roman;Times;serif" w:hAnsi="Times New Roman;Times;serif"/>
                <w:sz w:val="20"/>
              </w:rPr>
            </w:pPr>
            <w:r>
              <w:rPr>
                <w:rFonts w:ascii="Times New Roman;Times;serif" w:hAnsi="Times New Roman;Times;serif"/>
                <w:sz w:val="20"/>
              </w:rPr>
              <w:t>The Committee shall review on an annual basis any policies adopted by the Committee, including its policy, if any, regarding the pre-approval of audit and non-audit services.</w:t>
            </w:r>
          </w:p>
        </w:tc>
      </w:tr>
    </w:tbl>
    <w:p>
      <w:pPr>
        <w:pStyle w:val="TextBody"/>
        <w:bidi w:val="0"/>
        <w:spacing w:before="0" w:after="1"/>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54"/>
        <w:gridCol w:w="9928"/>
      </w:tblGrid>
      <w:tr>
        <w:trPr/>
        <w:tc>
          <w:tcPr>
            <w:tcW w:w="2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10"/>
              <w:jc w:val="left"/>
              <w:rPr>
                <w:rFonts w:ascii="Times New Roman;Times;serif" w:hAnsi="Times New Roman;Times;serif"/>
                <w:sz w:val="20"/>
              </w:rPr>
            </w:pPr>
            <w:r>
              <w:rPr>
                <w:rFonts w:ascii="Times New Roman;Times;serif" w:hAnsi="Times New Roman;Times;serif"/>
                <w:sz w:val="20"/>
              </w:rPr>
              <w:t>23.</w:t>
            </w:r>
          </w:p>
        </w:tc>
        <w:tc>
          <w:tcPr>
            <w:tcW w:w="9928" w:type="dxa"/>
            <w:tcBorders/>
            <w:vAlign w:val="center"/>
          </w:tcPr>
          <w:p>
            <w:pPr>
              <w:pStyle w:val="TableContents"/>
              <w:bidi w:val="0"/>
              <w:spacing w:before="0" w:after="10"/>
              <w:jc w:val="left"/>
              <w:rPr>
                <w:rFonts w:ascii="Times New Roman;Times;serif" w:hAnsi="Times New Roman;Times;serif"/>
                <w:sz w:val="20"/>
              </w:rPr>
            </w:pPr>
            <w:r>
              <w:rPr>
                <w:rFonts w:ascii="Times New Roman;Times;serif" w:hAnsi="Times New Roman;Times;serif"/>
                <w:sz w:val="20"/>
              </w:rPr>
              <w:t>The Committee shall review on an annual basis the performance of the Committee, and report to the Board the results of such review. The review shall be conducted in such manner as the Committee deems appropriate.</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44"/>
        <w:gridCol w:w="9938"/>
      </w:tblGrid>
      <w:tr>
        <w:trPr/>
        <w:tc>
          <w:tcPr>
            <w:tcW w:w="2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8"/>
              <w:jc w:val="left"/>
              <w:rPr>
                <w:rFonts w:ascii="Times New Roman;Times;serif" w:hAnsi="Times New Roman;Times;serif"/>
                <w:sz w:val="20"/>
              </w:rPr>
            </w:pPr>
            <w:r>
              <w:rPr>
                <w:rFonts w:ascii="Times New Roman;Times;serif" w:hAnsi="Times New Roman;Times;serif"/>
                <w:sz w:val="20"/>
              </w:rPr>
              <w:t>24.</w:t>
            </w:r>
          </w:p>
        </w:tc>
        <w:tc>
          <w:tcPr>
            <w:tcW w:w="9938" w:type="dxa"/>
            <w:tcBorders/>
            <w:vAlign w:val="center"/>
          </w:tcPr>
          <w:p>
            <w:pPr>
              <w:pStyle w:val="TableContents"/>
              <w:bidi w:val="0"/>
              <w:spacing w:before="0" w:after="8"/>
              <w:jc w:val="left"/>
              <w:rPr>
                <w:rFonts w:ascii="Times New Roman;Times;serif" w:hAnsi="Times New Roman;Times;serif"/>
                <w:sz w:val="20"/>
              </w:rPr>
            </w:pPr>
            <w:r>
              <w:rPr>
                <w:rFonts w:ascii="Times New Roman;Times;serif" w:hAnsi="Times New Roman;Times;serif"/>
                <w:sz w:val="20"/>
              </w:rPr>
              <w:t>The Committee shall review and approve related party transactions in accordance with the applicable Company policies and procedures, unless a member of the Committee is involved in the related party transaction in which case the transaction shall be reviewed by the disinterested independent directors as provided in such policies and procedures.</w:t>
            </w:r>
          </w:p>
        </w:tc>
      </w:tr>
    </w:tbl>
    <w:p>
      <w:pPr>
        <w:pStyle w:val="TextBody"/>
        <w:bidi w:val="0"/>
        <w:spacing w:before="0" w:after="0"/>
        <w:ind w:left="0" w:right="0" w:hanging="0"/>
        <w:jc w:val="left"/>
        <w:rPr/>
      </w:pPr>
      <w:r>
        <w:rPr/>
        <w:t>​</w:t>
      </w:r>
    </w:p>
    <w:tbl>
      <w:tblPr>
        <w:tblW w:w="9363" w:type="dxa"/>
        <w:jc w:val="left"/>
        <w:tblInd w:w="0" w:type="dxa"/>
        <w:tblLayout w:type="fixed"/>
        <w:tblCellMar>
          <w:top w:w="0" w:type="dxa"/>
          <w:left w:w="0" w:type="dxa"/>
          <w:bottom w:w="0" w:type="dxa"/>
          <w:right w:w="0" w:type="dxa"/>
        </w:tblCellMar>
      </w:tblPr>
      <w:tblGrid>
        <w:gridCol w:w="23"/>
        <w:gridCol w:w="275"/>
        <w:gridCol w:w="9065"/>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10"/>
              <w:jc w:val="left"/>
              <w:rPr>
                <w:rFonts w:ascii="Times New Roman;Times;serif" w:hAnsi="Times New Roman;Times;serif"/>
                <w:sz w:val="20"/>
              </w:rPr>
            </w:pPr>
            <w:r>
              <w:rPr>
                <w:rFonts w:ascii="Times New Roman;Times;serif" w:hAnsi="Times New Roman;Times;serif"/>
                <w:sz w:val="20"/>
              </w:rPr>
              <w:t>25.</w:t>
            </w:r>
          </w:p>
        </w:tc>
        <w:tc>
          <w:tcPr>
            <w:tcW w:w="9065" w:type="dxa"/>
            <w:tcBorders/>
            <w:vAlign w:val="center"/>
          </w:tcPr>
          <w:p>
            <w:pPr>
              <w:pStyle w:val="TableContents"/>
              <w:bidi w:val="0"/>
              <w:spacing w:before="0" w:after="10"/>
              <w:jc w:val="left"/>
              <w:rPr>
                <w:rFonts w:ascii="Times New Roman;Times;serif" w:hAnsi="Times New Roman;Times;serif"/>
                <w:sz w:val="20"/>
              </w:rPr>
            </w:pPr>
            <w:r>
              <w:rPr>
                <w:rFonts w:ascii="Times New Roman;Times;serif" w:hAnsi="Times New Roman;Times;serif"/>
                <w:sz w:val="20"/>
              </w:rPr>
              <w:t>The Committee shall meet periodically with management to review the adequacy and effectiveness of the Code.</w:t>
            </w:r>
          </w:p>
        </w:tc>
      </w:tr>
    </w:tbl>
    <w:p>
      <w:pPr>
        <w:pStyle w:val="TextBody"/>
        <w:bidi w:val="0"/>
        <w:spacing w:before="0" w:after="0"/>
        <w:ind w:left="0" w:right="0" w:hanging="0"/>
        <w:jc w:val="left"/>
        <w:rPr/>
      </w:pPr>
      <w:r>
        <w:rPr/>
        <w:t>​</w:t>
      </w:r>
    </w:p>
    <w:p>
      <w:pPr>
        <w:pStyle w:val="TextBody"/>
        <w:bidi w:val="0"/>
        <w:spacing w:before="0" w:after="10"/>
        <w:ind w:left="0" w:right="0" w:hanging="0"/>
        <w:jc w:val="center"/>
        <w:rPr>
          <w:rFonts w:ascii="Times New Roman;Times;serif" w:hAnsi="Times New Roman;Times;serif"/>
          <w:b/>
          <w:sz w:val="20"/>
        </w:rPr>
      </w:pPr>
      <w:r>
        <w:rPr>
          <w:rFonts w:ascii="Times New Roman;Times;serif" w:hAnsi="Times New Roman;Times;serif"/>
          <w:b/>
          <w:sz w:val="20"/>
        </w:rPr>
        <w:t>Structure and Meetings</w:t>
      </w:r>
    </w:p>
    <w:p>
      <w:pPr>
        <w:pStyle w:val="TextBody"/>
        <w:bidi w:val="0"/>
        <w:spacing w:before="0" w:after="0"/>
        <w:ind w:left="0" w:right="0" w:hanging="0"/>
        <w:jc w:val="left"/>
        <w:rPr/>
      </w:pPr>
      <w:r>
        <w:rPr/>
        <w:t>​</w:t>
      </w:r>
    </w:p>
    <w:p>
      <w:pPr>
        <w:pStyle w:val="TextBody"/>
        <w:bidi w:val="0"/>
        <w:spacing w:before="0" w:after="0"/>
        <w:ind w:left="220" w:right="0" w:firstLine="719"/>
        <w:jc w:val="left"/>
        <w:rPr>
          <w:rFonts w:ascii="Times New Roman;Times;serif" w:hAnsi="Times New Roman;Times;serif"/>
          <w:sz w:val="20"/>
        </w:rPr>
      </w:pPr>
      <w:r>
        <w:rPr>
          <w:rFonts w:ascii="Times New Roman;Times;serif" w:hAnsi="Times New Roman;Times;serif"/>
          <w:sz w:val="20"/>
        </w:rPr>
        <w:t>The Committee shall conduct its business and meetings in accordance with this Charter, the Company’s Amended and Restated Memorandum and Articles of</w:t>
      </w:r>
    </w:p>
    <w:p>
      <w:pPr>
        <w:pStyle w:val="TextBody"/>
        <w:bidi w:val="0"/>
        <w:spacing w:before="0" w:after="0"/>
        <w:ind w:left="220" w:right="0" w:firstLine="719"/>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220" w:right="0" w:hanging="0"/>
        <w:jc w:val="left"/>
        <w:rPr>
          <w:rFonts w:ascii="Times New Roman;Times;serif" w:hAnsi="Times New Roman;Times;serif"/>
          <w:sz w:val="20"/>
        </w:rPr>
      </w:pPr>
      <w:r>
        <w:rPr>
          <w:rFonts w:ascii="Times New Roman;Times;serif" w:hAnsi="Times New Roman;Times;serif"/>
          <w:sz w:val="20"/>
        </w:rPr>
        <w:t xml:space="preserve">Association and any direction set forth by the Board. The chairperson of the Committee shall be designated by the Board or, in the absence of such a designation, by a majority of the members of the Committee. The designated chairperson shall preside at each meeting of the Committee and, in consultation with the other members, shall set the frequency and length of each meeting and the agenda of items to be addressed at each meeting. In the absence of the designated chairperson at any meeting of the Committee, the members present at such meeting shall designate a chairperson </w:t>
      </w:r>
      <w:r>
        <w:rPr>
          <w:rFonts w:ascii="Times New Roman;Times;serif" w:hAnsi="Times New Roman;Times;serif"/>
          <w:i/>
          <w:sz w:val="20"/>
        </w:rPr>
        <w:t xml:space="preserve">pro tem </w:t>
      </w:r>
      <w:r>
        <w:rPr>
          <w:rFonts w:ascii="Times New Roman;Times;serif" w:hAnsi="Times New Roman;Times;serif"/>
          <w:sz w:val="20"/>
        </w:rPr>
        <w:t xml:space="preserve">to serve in that capacity for the purposes of such meeting (not to include any adjournment thereof) by majority vote. The chairperson (other than a chairperson </w:t>
      </w:r>
      <w:r>
        <w:rPr>
          <w:rFonts w:ascii="Times New Roman;Times;serif" w:hAnsi="Times New Roman;Times;serif"/>
          <w:i/>
          <w:sz w:val="20"/>
        </w:rPr>
        <w:t>pro tem</w:t>
      </w:r>
      <w:r>
        <w:rPr>
          <w:rFonts w:ascii="Times New Roman;Times;serif" w:hAnsi="Times New Roman;Times;serif"/>
          <w:sz w:val="20"/>
        </w:rPr>
        <w:t>) shall ensure that the agenda for each meeting is distributed to each member in advance of the applicable meeting.</w:t>
      </w:r>
    </w:p>
    <w:p>
      <w:pPr>
        <w:pStyle w:val="TextBody"/>
        <w:bidi w:val="0"/>
        <w:spacing w:before="0" w:after="0"/>
        <w:ind w:left="0" w:right="0" w:hanging="0"/>
        <w:jc w:val="left"/>
        <w:rPr/>
      </w:pPr>
      <w:r>
        <w:rPr/>
        <w:t>​</w:t>
      </w:r>
    </w:p>
    <w:p>
      <w:pPr>
        <w:pStyle w:val="TextBody"/>
        <w:bidi w:val="0"/>
        <w:spacing w:before="0" w:after="10"/>
        <w:ind w:left="220" w:right="0" w:firstLine="719"/>
        <w:jc w:val="left"/>
        <w:rPr>
          <w:rFonts w:ascii="Times New Roman;Times;serif" w:hAnsi="Times New Roman;Times;serif"/>
          <w:sz w:val="20"/>
        </w:rPr>
      </w:pPr>
      <w:r>
        <w:rPr>
          <w:rFonts w:ascii="Times New Roman;Times;serif" w:hAnsi="Times New Roman;Times;serif"/>
          <w:sz w:val="20"/>
        </w:rPr>
        <w:t>The Committee shall meet as often as it determines to be necessary and appropriate, but not less than four times each year, at a time and place determined by the Committee chairperson. The Committee may establish its own schedule, provided that it shall provide such schedule to the Board in advance. Special meetings of the Committee may be called by or at the request of any member of the Committee, any of the Company's executive officers, the head of the Company's internal audit department, or the independent auditor, in each case on at least twenty-four hours’ notice to each member.</w:t>
      </w:r>
    </w:p>
    <w:p>
      <w:pPr>
        <w:pStyle w:val="TextBody"/>
        <w:bidi w:val="0"/>
        <w:spacing w:before="0" w:after="0"/>
        <w:ind w:left="0" w:right="0" w:hanging="0"/>
        <w:jc w:val="left"/>
        <w:rPr/>
      </w:pPr>
      <w:r>
        <w:rPr/>
        <w:t>​</w:t>
      </w:r>
    </w:p>
    <w:p>
      <w:pPr>
        <w:pStyle w:val="TextBody"/>
        <w:bidi w:val="0"/>
        <w:spacing w:before="0" w:after="10"/>
        <w:ind w:left="220" w:right="0" w:firstLine="719"/>
        <w:jc w:val="left"/>
        <w:rPr>
          <w:rFonts w:ascii="Times New Roman;Times;serif" w:hAnsi="Times New Roman;Times;serif"/>
          <w:sz w:val="20"/>
        </w:rPr>
      </w:pPr>
      <w:r>
        <w:rPr>
          <w:rFonts w:ascii="Times New Roman;Times;serif" w:hAnsi="Times New Roman;Times;serif"/>
          <w:sz w:val="20"/>
        </w:rPr>
        <w:t>A majority of the appointed members, but not less than two (2) members, shall constitute a quorum for the transaction of business. Members may participate in a meeting through use of conference telephone or similar communications equipment, so long as all members participating in such meeting can hear one another, and such participation shall constitute presence in person at such meeting.</w:t>
      </w:r>
    </w:p>
    <w:p>
      <w:pPr>
        <w:pStyle w:val="TextBody"/>
        <w:bidi w:val="0"/>
        <w:spacing w:before="0" w:after="1"/>
        <w:ind w:left="0" w:right="0" w:hanging="0"/>
        <w:jc w:val="left"/>
        <w:rPr/>
      </w:pPr>
      <w:r>
        <w:rPr/>
        <w:t>​</w:t>
      </w:r>
    </w:p>
    <w:p>
      <w:pPr>
        <w:pStyle w:val="TextBody"/>
        <w:bidi w:val="0"/>
        <w:spacing w:before="0" w:after="10"/>
        <w:ind w:left="220" w:right="0" w:firstLine="719"/>
        <w:jc w:val="left"/>
        <w:rPr>
          <w:rFonts w:ascii="Times New Roman;Times;serif" w:hAnsi="Times New Roman;Times;serif"/>
          <w:sz w:val="20"/>
        </w:rPr>
      </w:pPr>
      <w:r>
        <w:rPr>
          <w:rFonts w:ascii="Times New Roman;Times;serif" w:hAnsi="Times New Roman;Times;serif"/>
          <w:sz w:val="20"/>
        </w:rPr>
        <w:t>Appropriate officers and internal audit and financial personnel of the Company may attend any meeting of the Committee, except for portions of such meetings where the presence of such officers or personnel would be inappropriate, as determined by the Committee. The Committee may request any officer or employee of the Company or the Company’s outside counsel, internal audit provider or independent auditor to attend a meeting of the Committee or to meet with any members of, or consultants to, the Committee. The Committee may hold separate executive sessions with management, the independent auditor, the Company’s internal audit provider and/or the General Counsel, as appropriate. The chairperson of the Committee (or other member designated by the chairperson or the Committee in the chairperson’s absence) shall regularly report to the full Board on its proceedings and any actions that the Committee takes.</w:t>
      </w:r>
    </w:p>
    <w:p>
      <w:pPr>
        <w:pStyle w:val="TextBody"/>
        <w:bidi w:val="0"/>
        <w:spacing w:before="0" w:after="0"/>
        <w:ind w:left="0" w:right="0" w:hanging="0"/>
        <w:jc w:val="left"/>
        <w:rPr/>
      </w:pPr>
      <w:r>
        <w:rPr/>
        <w:t>​</w:t>
      </w:r>
    </w:p>
    <w:p>
      <w:pPr>
        <w:pStyle w:val="TextBody"/>
        <w:bidi w:val="0"/>
        <w:spacing w:before="0" w:after="0"/>
        <w:ind w:left="220" w:right="0" w:firstLine="719"/>
        <w:jc w:val="left"/>
        <w:rPr>
          <w:rFonts w:ascii="Times New Roman;Times;serif" w:hAnsi="Times New Roman;Times;serif"/>
          <w:sz w:val="20"/>
        </w:rPr>
      </w:pPr>
      <w:r>
        <w:rPr>
          <w:rFonts w:ascii="Times New Roman;Times;serif" w:hAnsi="Times New Roman;Times;serif"/>
          <w:sz w:val="20"/>
        </w:rPr>
        <w:t>Unless the Committee by resolution determines otherwise, any action required or permitted to be taken by the Committee may be taken without a meeting if all members of the Committee consent thereto in writing and the writing or writings are filed with the minutes of the proceedings of the Committee. The Committee may form and delegate authority to subcommittees when appropriate.</w:t>
      </w:r>
    </w:p>
    <w:p>
      <w:pPr>
        <w:pStyle w:val="TextBody"/>
        <w:bidi w:val="0"/>
        <w:spacing w:before="0" w:after="0"/>
        <w:ind w:left="220" w:right="0" w:firstLine="719"/>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Minutes</w:t>
      </w:r>
    </w:p>
    <w:p>
      <w:pPr>
        <w:pStyle w:val="TextBody"/>
        <w:bidi w:val="0"/>
        <w:spacing w:before="0" w:after="0"/>
        <w:ind w:left="0" w:right="0" w:hanging="0"/>
        <w:jc w:val="left"/>
        <w:rPr/>
      </w:pPr>
      <w:r>
        <w:rPr/>
        <w:t>​</w:t>
      </w:r>
    </w:p>
    <w:p>
      <w:pPr>
        <w:pStyle w:val="TextBody"/>
        <w:bidi w:val="0"/>
        <w:spacing w:before="0" w:after="0"/>
        <w:ind w:left="220" w:right="0" w:firstLine="719"/>
        <w:jc w:val="left"/>
        <w:rPr>
          <w:rFonts w:ascii="Times New Roman;Times;serif" w:hAnsi="Times New Roman;Times;serif"/>
          <w:sz w:val="20"/>
        </w:rPr>
      </w:pPr>
      <w:r>
        <w:rPr>
          <w:rFonts w:ascii="Times New Roman;Times;serif" w:hAnsi="Times New Roman;Times;serif"/>
          <w:sz w:val="20"/>
        </w:rPr>
        <w:t>The Committee shall maintain written minutes of its meetings, which minutes shall be filed with the minutes of the meetings of the Board.</w:t>
      </w:r>
    </w:p>
    <w:p>
      <w:pPr>
        <w:pStyle w:val="TextBody"/>
        <w:bidi w:val="0"/>
        <w:spacing w:before="0" w:after="0"/>
        <w:ind w:left="220" w:right="0" w:firstLine="719"/>
        <w:jc w:val="left"/>
        <w:rPr/>
      </w:pPr>
      <w:r>
        <w:rPr/>
        <w:t>​</w:t>
      </w:r>
    </w:p>
    <w:p>
      <w:pPr>
        <w:pStyle w:val="TextBody"/>
        <w:bidi w:val="0"/>
        <w:spacing w:before="0" w:after="35"/>
        <w:ind w:left="119" w:right="0" w:hanging="0"/>
        <w:jc w:val="left"/>
        <w:rPr>
          <w:rFonts w:ascii="Times New Roman;Times;serif" w:hAnsi="Times New Roman;Times;serif"/>
          <w:sz w:val="20"/>
        </w:rPr>
      </w:pPr>
      <w:r>
        <w:rPr>
          <w:rFonts w:ascii="Times New Roman;Times;serif" w:hAnsi="Times New Roman;Times;serif"/>
          <w:sz w:val="20"/>
        </w:rPr>
        <w:t>(As revised and approved by the Board of Directors on May 24,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pBdr/>
        <w:bidi w:val="0"/>
        <w:spacing w:before="0" w:after="0"/>
        <w:ind w:left="0" w:right="0" w:hanging="0"/>
        <w:jc w:val="right"/>
        <w:rPr>
          <w:rFonts w:ascii="Times New Roman;Times;serif" w:hAnsi="Times New Roman;Times;serif"/>
          <w:b/>
          <w:sz w:val="20"/>
        </w:rPr>
      </w:pPr>
      <w:bookmarkStart w:id="2183" w:name="ntes-20231231xex15d2.htm"/>
      <w:bookmarkStart w:id="2184" w:name="ksntes20231231xex15d2"/>
      <w:bookmarkEnd w:id="2183"/>
      <w:bookmarkEnd w:id="2184"/>
      <w:r>
        <w:rPr>
          <w:rFonts w:ascii="Times New Roman;Times;serif" w:hAnsi="Times New Roman;Times;serif"/>
          <w:b/>
          <w:sz w:val="20"/>
        </w:rPr>
        <w:t>Exhibit 15.2</w:t>
      </w:r>
      <w:r>
        <w:br w:type="page"/>
      </w:r>
    </w:p>
    <w:p>
      <w:pPr>
        <w:pStyle w:val="TextBody"/>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CONSENT OF INDEPENDENT REGISTERED PUBLIC ACCOUNTING FIRM</w:t>
      </w:r>
    </w:p>
    <w:p>
      <w:pPr>
        <w:pStyle w:val="TextBody"/>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hereby consent to the incorporation by reference in the Registration Statements on Form S-8 (No.333-164249, No.333-234189) of NetEase, Inc. of our report dated April 25, 2024 relating to the financial statements and the effectiveness of internal control over financial reporting, which appears in this Form 20-F.</w:t>
      </w:r>
    </w:p>
    <w:p>
      <w:pPr>
        <w:pStyle w:val="TextBody"/>
        <w:pBdr/>
        <w:bidi w:val="0"/>
        <w:spacing w:before="0" w:after="0"/>
        <w:ind w:left="0" w:right="0" w:hanging="0"/>
        <w:jc w:val="both"/>
        <w:rPr/>
      </w:pPr>
      <w:r>
        <w:rPr/>
        <w:t>​</w:t>
      </w:r>
    </w:p>
    <w:p>
      <w:pPr>
        <w:pStyle w:val="TextBody"/>
        <w:pBdr/>
        <w:bidi w:val="0"/>
        <w:spacing w:before="0" w:after="0"/>
        <w:ind w:left="0" w:right="0" w:hanging="0"/>
        <w:jc w:val="both"/>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/s/PricewaterhouseCoopers Zhong Tian LLP</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PricewaterhouseCoopers Zhong Tian LLP</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Beijing, the People’s Republic of China</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25, 2024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185" w:name="ntes-20231231xex15d3.htm"/>
      <w:bookmarkStart w:id="2186" w:name="ksntes20231231xex15d3"/>
      <w:bookmarkEnd w:id="2185"/>
      <w:bookmarkEnd w:id="2186"/>
      <w:r>
        <w:rPr>
          <w:rFonts w:ascii="Times New Roman;Times;serif" w:hAnsi="Times New Roman;Times;serif"/>
          <w:b/>
          <w:sz w:val="20"/>
        </w:rPr>
        <w:t>Exhibit 15.3</w:t>
      </w:r>
      <w:r>
        <w:br w:type="page"/>
      </w:r>
    </w:p>
    <w:p>
      <w:pPr>
        <w:pStyle w:val="TextBody"/>
        <w:bidi w:val="0"/>
        <w:spacing w:before="0" w:after="0"/>
        <w:ind w:left="0" w:right="0" w:hanging="0"/>
        <w:jc w:val="righ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Our ref</w:t>
      </w:r>
      <w:r>
        <w:rPr>
          <w:rFonts w:ascii="Times New Roman;Times;serif" w:hAnsi="Times New Roman;Times;serif"/>
          <w:sz w:val="20"/>
        </w:rPr>
        <w:t>RDS/302157-000001/29182170v1</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Direct tel</w:t>
      </w:r>
      <w:r>
        <w:rPr>
          <w:rFonts w:ascii="Times New Roman;Times;serif" w:hAnsi="Times New Roman;Times;serif"/>
          <w:sz w:val="20"/>
        </w:rPr>
        <w:t>+852 2971 3046</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E-mail</w:t>
      </w:r>
      <w:r>
        <w:rPr>
          <w:rFonts w:ascii="Times New Roman;Times;serif" w:hAnsi="Times New Roman;Times;serif"/>
          <w:sz w:val="20"/>
        </w:rPr>
        <w:t>richard.spooner@maples.com</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BY COURIER</w:t>
      </w:r>
    </w:p>
    <w:p>
      <w:pPr>
        <w:pStyle w:val="TextBody"/>
        <w:bidi w:val="0"/>
        <w:spacing w:before="0" w:after="0"/>
        <w:ind w:left="0" w:right="0" w:hanging="0"/>
        <w:jc w:val="left"/>
        <w:rPr/>
      </w:pPr>
      <w:r>
        <w:rPr/>
        <w:t>​</w:t>
      </w:r>
    </w:p>
    <w:p>
      <w:pPr>
        <w:pStyle w:val="TextBody"/>
        <w:bidi w:val="0"/>
        <w:spacing w:before="0" w:after="0"/>
        <w:ind w:left="144" w:right="0" w:hanging="0"/>
        <w:jc w:val="left"/>
        <w:rPr>
          <w:rFonts w:ascii="Times New Roman;Times;serif" w:hAnsi="Times New Roman;Times;serif"/>
          <w:sz w:val="20"/>
        </w:rPr>
      </w:pPr>
      <w:r>
        <w:rPr>
          <w:rFonts w:ascii="Times New Roman;Times;serif" w:hAnsi="Times New Roman;Times;serif"/>
          <w:sz w:val="20"/>
        </w:rPr>
        <w:t>NetEase, Inc.</w:t>
      </w:r>
    </w:p>
    <w:p>
      <w:pPr>
        <w:pStyle w:val="TextBody"/>
        <w:bidi w:val="0"/>
        <w:spacing w:before="0" w:after="0"/>
        <w:ind w:left="144" w:right="0" w:hanging="0"/>
        <w:jc w:val="left"/>
        <w:rPr>
          <w:rFonts w:ascii="Times New Roman;Times;serif" w:hAnsi="Times New Roman;Times;serif"/>
          <w:sz w:val="20"/>
        </w:rPr>
      </w:pPr>
      <w:r>
        <w:rPr>
          <w:rFonts w:ascii="Times New Roman;Times;serif" w:hAnsi="Times New Roman;Times;serif"/>
          <w:sz w:val="20"/>
        </w:rPr>
        <w:t>NetEase Building, No. 599 Wangshang Road</w:t>
      </w:r>
    </w:p>
    <w:p>
      <w:pPr>
        <w:pStyle w:val="TextBody"/>
        <w:bidi w:val="0"/>
        <w:spacing w:before="0" w:after="0"/>
        <w:ind w:left="144" w:right="0" w:hanging="0"/>
        <w:jc w:val="left"/>
        <w:rPr>
          <w:rFonts w:ascii="Times New Roman;Times;serif" w:hAnsi="Times New Roman;Times;serif"/>
          <w:sz w:val="20"/>
        </w:rPr>
      </w:pPr>
      <w:r>
        <w:rPr>
          <w:rFonts w:ascii="Times New Roman;Times;serif" w:hAnsi="Times New Roman;Times;serif"/>
          <w:sz w:val="20"/>
        </w:rPr>
        <w:t>Binjiang District, Hangzhou, 310052</w:t>
      </w:r>
    </w:p>
    <w:p>
      <w:pPr>
        <w:pStyle w:val="TextBody"/>
        <w:bidi w:val="0"/>
        <w:spacing w:before="0" w:after="0"/>
        <w:ind w:left="144" w:right="0" w:hanging="0"/>
        <w:jc w:val="left"/>
        <w:rPr>
          <w:rFonts w:ascii="Times New Roman;Times;serif" w:hAnsi="Times New Roman;Times;serif"/>
          <w:sz w:val="20"/>
        </w:rPr>
      </w:pPr>
      <w:r>
        <w:rPr>
          <w:rFonts w:ascii="Times New Roman;Times;serif" w:hAnsi="Times New Roman;Times;serif"/>
          <w:sz w:val="20"/>
        </w:rPr>
        <w:t>People’s Republic of China</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25 April 2024</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Dear Sir</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 NetEase, Inc.</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acted as legal advisors as to the laws of the Cayman Islands to NetEase, Inc., an exempted limited liability company incorporated in the Cayman Islands (the “</w:t>
      </w:r>
      <w:r>
        <w:rPr>
          <w:rFonts w:ascii="Times New Roman;Times;serif" w:hAnsi="Times New Roman;Times;serif"/>
          <w:b/>
          <w:sz w:val="20"/>
        </w:rPr>
        <w:t>Company</w:t>
      </w:r>
      <w:r>
        <w:rPr>
          <w:rFonts w:ascii="Times New Roman;Times;serif" w:hAnsi="Times New Roman;Times;serif"/>
          <w:sz w:val="20"/>
        </w:rPr>
        <w:t>”), in connection with the filing by the Company with the United States Securities and Exchange Commission (the “</w:t>
      </w:r>
      <w:r>
        <w:rPr>
          <w:rFonts w:ascii="Times New Roman;Times;serif" w:hAnsi="Times New Roman;Times;serif"/>
          <w:b/>
          <w:sz w:val="20"/>
        </w:rPr>
        <w:t>SEC</w:t>
      </w:r>
      <w:r>
        <w:rPr>
          <w:rFonts w:ascii="Times New Roman;Times;serif" w:hAnsi="Times New Roman;Times;serif"/>
          <w:sz w:val="20"/>
        </w:rPr>
        <w:t>”) of an annual report on Form 20-F for the year ended 31 December 2023 (the “</w:t>
      </w:r>
      <w:r>
        <w:rPr>
          <w:rFonts w:ascii="Times New Roman;Times;serif" w:hAnsi="Times New Roman;Times;serif"/>
          <w:b/>
          <w:sz w:val="20"/>
        </w:rPr>
        <w:t>Annual Report</w:t>
      </w:r>
      <w:r>
        <w:rPr>
          <w:rFonts w:ascii="Times New Roman;Times;serif" w:hAnsi="Times New Roman;Times;serif"/>
          <w:sz w:val="20"/>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hereby consent to the reference of our name under the headings “Item 10. Additional Information – E. Taxation – Cayman Islands Taxation” and “Item 10. Additional Information – E. Taxation – Enforcement of Civil Liabilities” in the Annual Report.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consent to the filing with the SEC of this consent letter as an exhibit to the Annual Report. 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Yours faithfully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Maples and Calder (Hong Kong) LLP</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Maples and Calder (Hong Kong) LLP</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187" w:name="ntes-20231231xex15d4.htm"/>
      <w:bookmarkStart w:id="2188" w:name="ksntes20231231xex15d4"/>
      <w:bookmarkEnd w:id="2187"/>
      <w:bookmarkEnd w:id="2188"/>
      <w:r>
        <w:rPr>
          <w:rFonts w:ascii="Times New Roman;Times;serif" w:hAnsi="Times New Roman;Times;serif"/>
          <w:b/>
          <w:sz w:val="20"/>
        </w:rPr>
        <w:t>Exhibit 15.4</w:t>
      </w:r>
      <w:r>
        <w:br w:type="page"/>
      </w:r>
    </w:p>
    <w:p>
      <w:pPr>
        <w:pStyle w:val="TextBody"/>
        <w:bidi w:val="0"/>
        <w:spacing w:before="0" w:after="0"/>
        <w:ind w:left="0" w:right="0" w:hanging="0"/>
        <w:jc w:val="center"/>
        <w:rPr/>
      </w:pPr>
      <w:r>
        <w:rPr/>
        <w:t>​</w:t>
      </w:r>
    </w:p>
    <w:p>
      <w:pPr>
        <w:pStyle w:val="TextBody"/>
        <w:pBdr>
          <w:bottom w:val="single" w:sz="2" w:space="1" w:color="000000"/>
        </w:pBdr>
        <w:bidi w:val="0"/>
        <w:spacing w:before="0" w:after="0"/>
        <w:ind w:left="0" w:right="0" w:hanging="0"/>
        <w:jc w:val="center"/>
        <w:rPr/>
      </w:pPr>
      <w:r>
        <w:rPr/>
        <w:drawing>
          <wp:inline distT="0" distB="0" distL="0" distR="0">
            <wp:extent cx="5266690" cy="1712595"/>
            <wp:effectExtent l="0" t="0" r="0" b="0"/>
            <wp:docPr id="6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 name="Image21" descr=""/>
                    <pic:cNvPicPr>
                      <a:picLocks noChangeAspect="1" noChangeArrowheads="1"/>
                    </pic:cNvPicPr>
                  </pic:nvPicPr>
                  <pic:blipFill>
                    <a:blip r:embed="rId70"/>
                    <a:stretch>
                      <a:fillRect/>
                    </a:stretch>
                  </pic:blipFill>
                  <pic:spPr bwMode="auto">
                    <a:xfrm>
                      <a:off x="0" y="0"/>
                      <a:ext cx="5266690" cy="1712595"/>
                    </a:xfrm>
                    <a:prstGeom prst="rect">
                      <a:avLst/>
                    </a:prstGeom>
                  </pic:spPr>
                </pic:pic>
              </a:graphicData>
            </a:graphic>
          </wp:inline>
        </w:drawing>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 xml:space="preserve">To </w:t>
      </w:r>
      <w:r>
        <w:rPr>
          <w:rFonts w:ascii="Times New Roman;Times;serif" w:hAnsi="Times New Roman;Times;serif"/>
          <w:b/>
          <w:sz w:val="20"/>
        </w:rPr>
        <w:t>NETEASE, INC.</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NetEase Building, No. 599 Wangshang Road</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Binjiang District, Hangzhou</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Zhejiang Province, PRC</w:t>
      </w:r>
    </w:p>
    <w:p>
      <w:pPr>
        <w:pStyle w:val="TextBody"/>
        <w:bidi w:val="0"/>
        <w:spacing w:before="0" w:after="0"/>
        <w:ind w:left="0" w:right="0" w:hanging="0"/>
        <w:jc w:val="both"/>
        <w:rPr/>
      </w:pPr>
      <w:r>
        <w:rPr/>
        <w:t>​</w:t>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April 25, 2024</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Dear Sir/Madam:</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consent to the reference to our firm under the headings of “Enforcement of Civil Liabilities” in NETEASE, INC.’s Annual Report on Form 20-F for year ended December 31, 2023, which will be filed with the Securities and Exchange Commission.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giving such consent, we do not hereby admit that we come within the category of persons whose consent is required under Section 7 of the Securities Act of 1933, or under the Securities Exchange Act of 1934, in each case, as amended, or the regulations promulgated thereunder.</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remainder of this page is intentionally left blank]</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[Signature Page]</w:t>
      </w:r>
    </w:p>
    <w:p>
      <w:pPr>
        <w:pStyle w:val="TextBody"/>
        <w:bidi w:val="0"/>
        <w:spacing w:before="0" w:after="0"/>
        <w:ind w:left="0" w:right="0" w:hanging="0"/>
        <w:jc w:val="left"/>
        <w:rPr/>
      </w:pPr>
      <w:r>
        <w:rPr/>
        <w:t>​</w:t>
      </w:r>
    </w:p>
    <w:tbl>
      <w:tblPr>
        <w:tblW w:w="2240" w:type="dxa"/>
        <w:jc w:val="left"/>
        <w:tblInd w:w="0" w:type="dxa"/>
        <w:tblLayout w:type="fixed"/>
        <w:tblCellMar>
          <w:top w:w="0" w:type="dxa"/>
          <w:left w:w="0" w:type="dxa"/>
          <w:bottom w:w="0" w:type="dxa"/>
          <w:right w:w="0" w:type="dxa"/>
        </w:tblCellMar>
      </w:tblPr>
      <w:tblGrid>
        <w:gridCol w:w="124"/>
        <w:gridCol w:w="2116"/>
      </w:tblGrid>
      <w:tr>
        <w:trPr/>
        <w:tc>
          <w:tcPr>
            <w:tcW w:w="124" w:type="dxa"/>
            <w:tcBorders/>
            <w:vAlign w:val="center"/>
          </w:tcPr>
          <w:p>
            <w:pPr>
              <w:pStyle w:val="TableContents"/>
              <w:bidi w:val="0"/>
              <w:spacing w:before="0" w:after="0"/>
              <w:ind w:left="0" w:right="0" w:hanging="0"/>
              <w:jc w:val="left"/>
              <w:rPr/>
            </w:pPr>
            <w:r>
              <w:rPr/>
              <w:t>​</w:t>
            </w:r>
          </w:p>
        </w:tc>
        <w:tc>
          <w:tcPr>
            <w:tcW w:w="21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Yours faithfully,</w:t>
            </w:r>
          </w:p>
        </w:tc>
      </w:tr>
      <w:tr>
        <w:trPr/>
        <w:tc>
          <w:tcPr>
            <w:tcW w:w="124" w:type="dxa"/>
            <w:tcBorders/>
            <w:vAlign w:val="center"/>
          </w:tcPr>
          <w:p>
            <w:pPr>
              <w:pStyle w:val="TableContents"/>
              <w:bidi w:val="0"/>
              <w:spacing w:before="0" w:after="0"/>
              <w:ind w:left="0" w:right="0" w:hanging="0"/>
              <w:jc w:val="left"/>
              <w:rPr/>
            </w:pPr>
            <w:r>
              <w:rPr/>
              <w:t>​</w:t>
            </w:r>
          </w:p>
        </w:tc>
        <w:tc>
          <w:tcPr>
            <w:tcW w:w="2116" w:type="dxa"/>
            <w:tcBorders/>
            <w:vAlign w:val="center"/>
          </w:tcPr>
          <w:p>
            <w:pPr>
              <w:pStyle w:val="TableContents"/>
              <w:bidi w:val="0"/>
              <w:spacing w:before="0" w:after="0"/>
              <w:ind w:left="0" w:right="0" w:hanging="0"/>
              <w:jc w:val="righ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1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 Zhong Lun Law Firm</w:t>
            </w:r>
          </w:p>
        </w:tc>
      </w:tr>
      <w:tr>
        <w:trPr/>
        <w:tc>
          <w:tcPr>
            <w:tcW w:w="124" w:type="dxa"/>
            <w:tcBorders/>
            <w:vAlign w:val="center"/>
          </w:tcPr>
          <w:p>
            <w:pPr>
              <w:pStyle w:val="TableContents"/>
              <w:bidi w:val="0"/>
              <w:spacing w:before="0" w:after="0"/>
              <w:ind w:left="0" w:right="0" w:hanging="0"/>
              <w:jc w:val="left"/>
              <w:rPr/>
            </w:pPr>
            <w:r>
              <w:rPr/>
              <w:t>​</w:t>
            </w:r>
          </w:p>
        </w:tc>
        <w:tc>
          <w:tcPr>
            <w:tcW w:w="2116" w:type="dxa"/>
            <w:tcBorders/>
            <w:vAlign w:val="center"/>
          </w:tcPr>
          <w:p>
            <w:pPr>
              <w:pStyle w:val="TableContents"/>
              <w:bidi w:val="0"/>
              <w:spacing w:before="0" w:after="0"/>
              <w:ind w:left="0" w:right="0" w:hanging="0"/>
              <w:jc w:val="righ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1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Zhong Lun Law Firm</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pBdr/>
        <w:bidi w:val="0"/>
        <w:spacing w:before="0" w:after="0"/>
        <w:ind w:left="0" w:right="0" w:hanging="0"/>
        <w:jc w:val="left"/>
        <w:rPr/>
      </w:pPr>
      <w:bookmarkStart w:id="2189" w:name="ntes-20231231xex97d1.htm"/>
      <w:bookmarkStart w:id="2190" w:name="ksntes20231231xex97d1"/>
      <w:bookmarkEnd w:id="2189"/>
      <w:bookmarkEnd w:id="2190"/>
      <w:r>
        <w:rPr/>
        <w:drawing>
          <wp:inline distT="0" distB="0" distL="0" distR="0">
            <wp:extent cx="695325" cy="142875"/>
            <wp:effectExtent l="0" t="0" r="0" b="0"/>
            <wp:docPr id="6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 name="Image22" descr=""/>
                    <pic:cNvPicPr>
                      <a:picLocks noChangeAspect="1" noChangeArrowheads="1"/>
                    </pic:cNvPicPr>
                  </pic:nvPicPr>
                  <pic:blipFill>
                    <a:blip r:embed="rId71"/>
                    <a:stretch>
                      <a:fillRect/>
                    </a:stretch>
                  </pic:blipFill>
                  <pic:spPr bwMode="auto">
                    <a:xfrm>
                      <a:off x="0" y="0"/>
                      <a:ext cx="695325" cy="142875"/>
                    </a:xfrm>
                    <a:prstGeom prst="rect">
                      <a:avLst/>
                    </a:prstGeom>
                  </pic:spPr>
                </pic:pic>
              </a:graphicData>
            </a:graphic>
          </wp:inline>
        </w:drawing>
      </w:r>
      <w:r>
        <w:br w:type="page"/>
      </w:r>
    </w:p>
    <w:p>
      <w:pPr>
        <w:pStyle w:val="TextBody"/>
        <w:pBdr>
          <w:bottom w:val="single" w:sz="2" w:space="1" w:color="000000"/>
        </w:pBdr>
        <w:bidi w:val="0"/>
        <w:spacing w:before="0" w:after="600"/>
        <w:ind w:left="0" w:right="0" w:hanging="0"/>
        <w:jc w:val="left"/>
        <w:rPr/>
      </w:pPr>
      <w:r>
        <w:rPr/>
        <w:t>​</w:t>
      </w:r>
    </w:p>
    <w:p>
      <w:pPr>
        <w:pStyle w:val="TextBody"/>
        <w:bidi w:val="0"/>
        <w:spacing w:before="0" w:after="200"/>
        <w:ind w:left="0" w:right="0" w:hanging="0"/>
        <w:jc w:val="right"/>
        <w:rPr>
          <w:rFonts w:ascii="Times New Roman;Times;serif" w:hAnsi="Times New Roman;Times;serif"/>
          <w:b/>
          <w:sz w:val="20"/>
        </w:rPr>
      </w:pPr>
      <w:r>
        <w:rPr>
          <w:rFonts w:ascii="Times New Roman;Times;serif" w:hAnsi="Times New Roman;Times;serif"/>
          <w:b/>
          <w:sz w:val="20"/>
        </w:rPr>
        <w:t>Exhibit 97.1</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NETEASE, INC.</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CLAWBACK POLICY</w:t>
      </w:r>
    </w:p>
    <w:p>
      <w:pPr>
        <w:pStyle w:val="TextBody"/>
        <w:bidi w:val="0"/>
        <w:spacing w:before="0" w:after="200"/>
        <w:ind w:left="100" w:right="0" w:hanging="0"/>
        <w:jc w:val="left"/>
        <w:rPr>
          <w:rFonts w:ascii="Times New Roman;Times;serif" w:hAnsi="Times New Roman;Times;serif"/>
          <w:sz w:val="20"/>
          <w:u w:val="single"/>
        </w:rPr>
      </w:pPr>
      <w:r>
        <w:rPr>
          <w:rFonts w:ascii="Times New Roman;Times;serif" w:hAnsi="Times New Roman;Times;serif"/>
          <w:sz w:val="20"/>
          <w:u w:val="single"/>
        </w:rPr>
        <w:t>Recoupment of Incentive-Based Compensation</w:t>
      </w:r>
    </w:p>
    <w:p>
      <w:pPr>
        <w:pStyle w:val="TextBody"/>
        <w:bidi w:val="0"/>
        <w:spacing w:before="0" w:after="200"/>
        <w:ind w:left="100" w:right="0" w:hanging="0"/>
        <w:jc w:val="both"/>
        <w:rPr>
          <w:rFonts w:ascii="Times New Roman;Times;serif" w:hAnsi="Times New Roman;Times;serif"/>
          <w:sz w:val="20"/>
        </w:rPr>
      </w:pPr>
      <w:r>
        <w:rPr>
          <w:rFonts w:ascii="Times New Roman;Times;serif" w:hAnsi="Times New Roman;Times;serif"/>
          <w:sz w:val="20"/>
        </w:rPr>
        <w:t>It is the policy of NetEase, Inc. (the “Company”) that, in the event the Company is required to prepare an accounting restatement of the Company’s financial statements (including any such correction recorded in the Company’s current period financial statements) due to material non- compliance with any financial reporting requirement under the federal securities laws, the Company will recover on a reasonably prompt basis the amount of any Incentive-Based Compensation Received by a Covered Executive during the Recovery Period that exceeds the amount that otherwise would have been Received had it been determined based on the restated financial statements.</w:t>
      </w:r>
    </w:p>
    <w:p>
      <w:pPr>
        <w:pStyle w:val="TextBody"/>
        <w:bidi w:val="0"/>
        <w:spacing w:before="0" w:after="200"/>
        <w:ind w:left="100" w:right="0" w:hanging="0"/>
        <w:jc w:val="both"/>
        <w:rPr>
          <w:rFonts w:ascii="Times New Roman;Times;serif" w:hAnsi="Times New Roman;Times;serif"/>
          <w:sz w:val="20"/>
          <w:u w:val="single"/>
        </w:rPr>
      </w:pPr>
      <w:r>
        <w:rPr>
          <w:rFonts w:ascii="Times New Roman;Times;serif" w:hAnsi="Times New Roman;Times;serif"/>
          <w:sz w:val="20"/>
          <w:u w:val="single"/>
        </w:rPr>
        <w:t>Policy Administration and Definitions</w:t>
      </w:r>
    </w:p>
    <w:p>
      <w:pPr>
        <w:pStyle w:val="TextBody"/>
        <w:bidi w:val="0"/>
        <w:spacing w:before="0" w:after="200"/>
        <w:ind w:left="100" w:right="0" w:hanging="0"/>
        <w:jc w:val="both"/>
        <w:rPr>
          <w:rFonts w:ascii="Times New Roman;Times;serif" w:hAnsi="Times New Roman;Times;serif"/>
          <w:sz w:val="20"/>
        </w:rPr>
      </w:pPr>
      <w:r>
        <w:rPr>
          <w:rFonts w:ascii="Times New Roman;Times;serif" w:hAnsi="Times New Roman;Times;serif"/>
          <w:sz w:val="20"/>
        </w:rPr>
        <w:t>This Policy is administered by the Compensation Committee of the Company’s Board of Directors (the “Committee”) and is intended to comply with, and as applicable to be administered and interpreted consistent with, Listing Rule 5608 adopted by the Nasdaq Stock Market LLC to implement Rule 10D-1 under the Securities Exchange Act of 1934, as amended (collectively, “Rule 10D-1”).</w:t>
      </w:r>
    </w:p>
    <w:p>
      <w:pPr>
        <w:pStyle w:val="TextBody"/>
        <w:bidi w:val="0"/>
        <w:spacing w:before="0" w:after="200"/>
        <w:ind w:left="100" w:right="0" w:hanging="0"/>
        <w:jc w:val="both"/>
        <w:rPr>
          <w:rFonts w:ascii="Times New Roman;Times;serif" w:hAnsi="Times New Roman;Times;serif"/>
          <w:sz w:val="20"/>
        </w:rPr>
      </w:pPr>
      <w:r>
        <w:rPr>
          <w:rFonts w:ascii="Times New Roman;Times;serif" w:hAnsi="Times New Roman;Times;serif"/>
          <w:sz w:val="20"/>
        </w:rPr>
        <w:t>For purposes of this Policy:</w:t>
      </w:r>
    </w:p>
    <w:p>
      <w:pPr>
        <w:pStyle w:val="TextBody"/>
        <w:bidi w:val="0"/>
        <w:spacing w:before="0" w:after="200"/>
        <w:ind w:left="720" w:right="0" w:hanging="0"/>
        <w:jc w:val="both"/>
        <w:rPr/>
      </w:pPr>
      <w:r>
        <w:rPr/>
        <w:t>“</w:t>
      </w:r>
      <w:r>
        <w:rPr>
          <w:rFonts w:ascii="Times New Roman;Times;serif" w:hAnsi="Times New Roman;Times;serif"/>
          <w:sz w:val="20"/>
        </w:rPr>
        <w:t>Incentive-Based Compensation” means any compensation granted, earned or vested based in whole or in part on the Company’s attainment of a financial reporting measure that was Received by a person (i) on or after October 2, 2023 and after the person began service as a Covered Executive, and (ii) who served as a Covered Executive at any time during the performance period for the Incentive-Based Compensation. A financial reporting measure is (i) any measure that is determined and presented in accordance with the accounting principles used in preparing the Company’s financial statements and any measure derived wholly or in part from such a measure, and (ii) any measure based in whole or in part on the Company’s stock price or total shareholder return.</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pBdr/>
        <w:bidi w:val="0"/>
        <w:spacing w:before="0" w:after="0"/>
        <w:ind w:left="0" w:right="0" w:hanging="0"/>
        <w:jc w:val="left"/>
        <w:rPr/>
      </w:pPr>
      <w:r>
        <w:rPr/>
        <w:drawing>
          <wp:inline distT="0" distB="0" distL="0" distR="0">
            <wp:extent cx="695325" cy="142875"/>
            <wp:effectExtent l="0" t="0" r="0" b="0"/>
            <wp:docPr id="6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 name="Image23" descr=""/>
                    <pic:cNvPicPr>
                      <a:picLocks noChangeAspect="1" noChangeArrowheads="1"/>
                    </pic:cNvPicPr>
                  </pic:nvPicPr>
                  <pic:blipFill>
                    <a:blip r:embed="rId72"/>
                    <a:stretch>
                      <a:fillRect/>
                    </a:stretch>
                  </pic:blipFill>
                  <pic:spPr bwMode="auto">
                    <a:xfrm>
                      <a:off x="0" y="0"/>
                      <a:ext cx="695325" cy="142875"/>
                    </a:xfrm>
                    <a:prstGeom prst="rect">
                      <a:avLst/>
                    </a:prstGeom>
                  </pic:spPr>
                </pic:pic>
              </a:graphicData>
            </a:graphic>
          </wp:inline>
        </w:drawing>
      </w:r>
    </w:p>
    <w:p>
      <w:pPr>
        <w:pStyle w:val="TextBody"/>
        <w:pBdr>
          <w:bottom w:val="single" w:sz="2" w:space="1" w:color="000000"/>
        </w:pBdr>
        <w:bidi w:val="0"/>
        <w:spacing w:before="0" w:after="600"/>
        <w:ind w:left="0" w:right="0" w:hanging="0"/>
        <w:jc w:val="left"/>
        <w:rPr/>
      </w:pPr>
      <w:r>
        <w:rPr/>
        <w:t>​</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Incentive-Based Compensation is deemed to be “Received” in the fiscal period during which the relevant financial reporting measure is attained, regardless of when the compensation is actually paid or awarded.</w:t>
      </w:r>
    </w:p>
    <w:p>
      <w:pPr>
        <w:pStyle w:val="TextBody"/>
        <w:bidi w:val="0"/>
        <w:spacing w:before="0" w:after="200"/>
        <w:ind w:left="720" w:right="0" w:hanging="0"/>
        <w:jc w:val="both"/>
        <w:rPr/>
      </w:pPr>
      <w:r>
        <w:rPr/>
        <w:t>“</w:t>
      </w:r>
      <w:r>
        <w:rPr>
          <w:rFonts w:ascii="Times New Roman;Times;serif" w:hAnsi="Times New Roman;Times;serif"/>
          <w:sz w:val="20"/>
        </w:rPr>
        <w:t>Covered Executive” means any officer of the Company as defined under Rule 16a-1(f) under the Securities Exchange Act of 1934, as amended.</w:t>
      </w:r>
    </w:p>
    <w:p>
      <w:pPr>
        <w:pStyle w:val="TextBody"/>
        <w:bidi w:val="0"/>
        <w:spacing w:before="0" w:after="200"/>
        <w:ind w:left="720" w:right="0" w:hanging="0"/>
        <w:jc w:val="both"/>
        <w:rPr/>
      </w:pPr>
      <w:r>
        <w:rPr/>
        <w:t>“</w:t>
      </w:r>
      <w:r>
        <w:rPr>
          <w:rFonts w:ascii="Times New Roman;Times;serif" w:hAnsi="Times New Roman;Times;serif"/>
          <w:sz w:val="20"/>
        </w:rPr>
        <w:t>Recovery Period” means the three completed fiscal years immediately preceding the date that the Company is required to prepare the accounting restatement described in this Policy and any “transition period” as prescribed under Rule 10D-1.</w:t>
      </w:r>
    </w:p>
    <w:p>
      <w:pPr>
        <w:pStyle w:val="TextBody"/>
        <w:bidi w:val="0"/>
        <w:spacing w:before="0" w:after="200"/>
        <w:ind w:left="100" w:right="0" w:hanging="0"/>
        <w:jc w:val="both"/>
        <w:rPr>
          <w:rFonts w:ascii="Times New Roman;Times;serif" w:hAnsi="Times New Roman;Times;serif"/>
          <w:sz w:val="20"/>
        </w:rPr>
      </w:pPr>
      <w:r>
        <w:rPr>
          <w:rFonts w:ascii="Times New Roman;Times;serif" w:hAnsi="Times New Roman;Times;serif"/>
          <w:sz w:val="20"/>
        </w:rPr>
        <w:t>If the Committee determines the amount of Incentive-Based Compensation Received by a Covered Executive during a Recovery Period exceeds the amount that would have been Received if determined or calculated based on the Company’s restated financial results, such excess amount of Incentive-Based Compensation shall be subject to recoupment by the Company pursuant to this Policy. For Incentive-Based Compensation based on stock price or total shareholder return, the Committee will determine the amount based on a reasonable estimate of the effect of the accounting restatement on the relevant stock price or total shareholder return. In all cases, the calculation of the excess amount of Incentive-Based Compensation to be recovered will be determined on a pre- tax basis. Any determinations made by the Committee under this Policy shall be final and binding on all affected individuals. Any determinations shall be documented and such documentation shall be provided to Nasdaq to the extent required by Listing Rule 5608.</w:t>
      </w:r>
    </w:p>
    <w:p>
      <w:pPr>
        <w:pStyle w:val="TextBody"/>
        <w:bidi w:val="0"/>
        <w:spacing w:before="0" w:after="200"/>
        <w:ind w:left="100" w:right="0" w:hanging="0"/>
        <w:jc w:val="both"/>
        <w:rPr>
          <w:rFonts w:ascii="Times New Roman;Times;serif" w:hAnsi="Times New Roman;Times;serif"/>
          <w:sz w:val="20"/>
        </w:rPr>
      </w:pPr>
      <w:r>
        <w:rPr>
          <w:rFonts w:ascii="Times New Roman;Times;serif" w:hAnsi="Times New Roman;Times;serif"/>
          <w:sz w:val="20"/>
        </w:rPr>
        <w:t>The Company may implement any recovery pursuant to this Policy by requiring payment of such amount(s) to the Company, by set-off, by reducing future compensation, or by such other means or combination of means as the Committee determines to be appropriate. The Company need not recover the excess amount of Incentive-Based Compensation if and to the extent that the Committee determines that such recovery is impracticable and not required under Rule 10D-1, including if the Committee determines that the direct expense paid to a third party to assist in enforcing this Policy would exceed the amount to be recovered after making a reasonable attempt to recover such amounts. The Company is authorized to take appropriate steps to implement this Policy with respect to Incentive-Based Compensation arrangements with Covered Executives.</w:t>
      </w:r>
    </w:p>
    <w:p>
      <w:pPr>
        <w:pStyle w:val="TextBody"/>
        <w:bidi w:val="0"/>
        <w:spacing w:before="0" w:after="200"/>
        <w:ind w:left="100" w:right="0" w:hanging="0"/>
        <w:jc w:val="both"/>
        <w:rPr>
          <w:rFonts w:ascii="Times New Roman;Times;serif" w:hAnsi="Times New Roman;Times;serif"/>
          <w:sz w:val="20"/>
        </w:rPr>
      </w:pPr>
      <w:r>
        <w:rPr>
          <w:rFonts w:ascii="Times New Roman;Times;serif" w:hAnsi="Times New Roman;Times;serif"/>
          <w:sz w:val="20"/>
        </w:rPr>
        <w:t>Any right of recoupment or recovery pursuant to this Policy is in addition to, and not in lieu of, any other remedies or rights of recoupment that may be available to the Company pursuant to the terms of any other policy, any employment agreement or plan or award terms, and any other legal remedies available to the Company.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Bold">
    <w:charset w:val="01"/>
    <w:family w:val="auto"/>
    <w:pitch w:val="default"/>
  </w:font>
  <w:font w:name="Calibri">
    <w:altName w:val="Helvetica"/>
    <w:charset w:val="01"/>
    <w:family w:val="auto"/>
    <w:pitch w:val="default"/>
  </w:font>
  <w:font w:name="Symbol">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110646/000110465923071355/tm2318327d1_ex1-1.htm" TargetMode="External"/><Relationship Id="rId4" Type="http://schemas.openxmlformats.org/officeDocument/2006/relationships/hyperlink" Target="https://www.sec.gov/Archives/edgar/data/1110646/000089109204002641/e18031ex1.txt" TargetMode="External"/><Relationship Id="rId5" Type="http://schemas.openxmlformats.org/officeDocument/2006/relationships/hyperlink" Target="https://www.sec.gov/Archives/edgar/data/1110646/000110465915030142/a15-4743_1ex3d3.htm" TargetMode="External"/><Relationship Id="rId6" Type="http://schemas.openxmlformats.org/officeDocument/2006/relationships/hyperlink" Target="https://www.sec.gov/Archives/edgar/data/1110646/000110465916113375/a16-3849_1ex3d8.htm" TargetMode="External"/><Relationship Id="rId7" Type="http://schemas.openxmlformats.org/officeDocument/2006/relationships/hyperlink" Target="https://www.sec.gov/Archives/edgar/data/1110646/000110465916113375/a16-3849_1ex3d9.htm" TargetMode="External"/><Relationship Id="rId8" Type="http://schemas.openxmlformats.org/officeDocument/2006/relationships/hyperlink" Target="https://www.sec.gov/Archives/edgar/data/1110646/000110465916113375/a16-3849_1ex3d7.htm" TargetMode="External"/><Relationship Id="rId9" Type="http://schemas.openxmlformats.org/officeDocument/2006/relationships/hyperlink" Target="https://www.sec.gov/Archives/edgar/data/1110646/000110465917025196/a17-1327_1ex3d6.htm" TargetMode="External"/><Relationship Id="rId10" Type="http://schemas.openxmlformats.org/officeDocument/2006/relationships/hyperlink" Target="https://www.sec.gov/Archives/edgar/data/1110646/000110465918025392/a18-5396_1ex3d8.htm" TargetMode="External"/><Relationship Id="rId11" Type="http://schemas.openxmlformats.org/officeDocument/2006/relationships/hyperlink" Target="https://www.sec.gov/Archives/edgar/data/1110646/000119312510003078/dex101.htm" TargetMode="External"/><Relationship Id="rId12" Type="http://schemas.openxmlformats.org/officeDocument/2006/relationships/hyperlink" Target="https://www.sec.gov/Archives/edgar/data/1110646/000119312505131680/dex439.htm" TargetMode="External"/><Relationship Id="rId13" Type="http://schemas.openxmlformats.org/officeDocument/2006/relationships/hyperlink" Target="https://www.sec.gov/Archives/edgar/data/1110646/000119312505131680/dex440.htm" TargetMode="External"/><Relationship Id="rId14" Type="http://schemas.openxmlformats.org/officeDocument/2006/relationships/hyperlink" Target="https://www.sec.gov/Archives/edgar/data/1110646/000119312505131680/dex441.htm" TargetMode="External"/><Relationship Id="rId15" Type="http://schemas.openxmlformats.org/officeDocument/2006/relationships/hyperlink" Target="https://www.sec.gov/Archives/edgar/data/1110646/000110465913031064/a12-28368_1ex4d25.htm" TargetMode="External"/><Relationship Id="rId16" Type="http://schemas.openxmlformats.org/officeDocument/2006/relationships/hyperlink" Target="https://www.sec.gov/Archives/edgar/data/1110646/000110465915030142/a15-4743_1ex4d33.htm" TargetMode="External"/><Relationship Id="rId17" Type="http://schemas.openxmlformats.org/officeDocument/2006/relationships/hyperlink" Target="https://www.sec.gov/Archives/edgar/data/1110646/000110465915030142/a15-4743_1ex4d35.htm" TargetMode="External"/><Relationship Id="rId18" Type="http://schemas.openxmlformats.org/officeDocument/2006/relationships/hyperlink" Target="https://www.sec.gov/Archives/edgar/data/1110646/000110465915030142/a15-4743_1ex4d36.htm" TargetMode="External"/><Relationship Id="rId19" Type="http://schemas.openxmlformats.org/officeDocument/2006/relationships/hyperlink" Target="https://www.sec.gov/Archives/edgar/data/1110646/000110465916113375/a16-3849_1ex4d44.htm" TargetMode="External"/><Relationship Id="rId20" Type="http://schemas.openxmlformats.org/officeDocument/2006/relationships/hyperlink" Target="https://www.sec.gov/Archives/edgar/data/1110646/000110465916113375/a16-3849_1ex4d45.htm" TargetMode="External"/><Relationship Id="rId21" Type="http://schemas.openxmlformats.org/officeDocument/2006/relationships/hyperlink" Target="https://www.sec.gov/Archives/edgar/data/1110646/000110465916113375/a16-3849_1ex4d46.htm" TargetMode="External"/><Relationship Id="rId22" Type="http://schemas.openxmlformats.org/officeDocument/2006/relationships/hyperlink" Target="https://www.sec.gov/Archives/edgar/data/1110646/000110465916113375/a16-3849_1ex4d47.htm" TargetMode="External"/><Relationship Id="rId23" Type="http://schemas.openxmlformats.org/officeDocument/2006/relationships/hyperlink" Target="https://www.sec.gov/Archives/edgar/data/1110646/000110465916113375/a16-3849_1ex4d48.htm" TargetMode="External"/><Relationship Id="rId24" Type="http://schemas.openxmlformats.org/officeDocument/2006/relationships/hyperlink" Target="https://www.sec.gov/Archives/edgar/data/1110646/000110465916113375/a16-3849_1ex4d49.htm" TargetMode="External"/><Relationship Id="rId25" Type="http://schemas.openxmlformats.org/officeDocument/2006/relationships/hyperlink" Target="https://www.sec.gov/Archives/edgar/data/1110646/000110465916113375/a16-3849_1ex4d50.htm" TargetMode="External"/><Relationship Id="rId26" Type="http://schemas.openxmlformats.org/officeDocument/2006/relationships/hyperlink" Target="https://www.sec.gov/Archives/edgar/data/1110646/000110465916113375/a16-3849_1ex4d51.htm" TargetMode="External"/><Relationship Id="rId27" Type="http://schemas.openxmlformats.org/officeDocument/2006/relationships/hyperlink" Target="https://www.sec.gov/Archives/edgar/data/1110646/000110465917025196/a17-1327_1ex4d51.htm" TargetMode="External"/><Relationship Id="rId28" Type="http://schemas.openxmlformats.org/officeDocument/2006/relationships/hyperlink" Target="https://www.sec.gov/Archives/edgar/data/1110646/000110465917025196/a17-1327_1ex4d52.htm" TargetMode="External"/><Relationship Id="rId29" Type="http://schemas.openxmlformats.org/officeDocument/2006/relationships/hyperlink" Target="https://www.sec.gov/Archives/edgar/data/1110646/000110465917025196/a17-1327_1ex4d53.htm" TargetMode="External"/><Relationship Id="rId30" Type="http://schemas.openxmlformats.org/officeDocument/2006/relationships/hyperlink" Target="https://www.sec.gov/Archives/edgar/data/1110646/000110465917025196/a17-1327_1ex4d54.htm" TargetMode="External"/><Relationship Id="rId31" Type="http://schemas.openxmlformats.org/officeDocument/2006/relationships/hyperlink" Target="https://www.sec.gov/Archives/edgar/data/1110646/000110465917025196/a17-1327_1ex4d55.htm" TargetMode="External"/><Relationship Id="rId32" Type="http://schemas.openxmlformats.org/officeDocument/2006/relationships/hyperlink" Target="https://www.sec.gov/Archives/edgar/data/1110646/000110465918025392/a18-5396_1ex4d52.htm" TargetMode="External"/><Relationship Id="rId33" Type="http://schemas.openxmlformats.org/officeDocument/2006/relationships/hyperlink" Target="https://www.sec.gov/Archives/edgar/data/1110646/000110465918025392/a18-5396_1ex4d53.htm" TargetMode="External"/><Relationship Id="rId34" Type="http://schemas.openxmlformats.org/officeDocument/2006/relationships/hyperlink" Target="https://www.sec.gov/Archives/edgar/data/1110646/000110465918025392/a18-5396_1ex4d54.htm" TargetMode="External"/><Relationship Id="rId35" Type="http://schemas.openxmlformats.org/officeDocument/2006/relationships/hyperlink" Target="https://www.sec.gov/Archives/edgar/data/1110646/000110465918025392/a18-5396_1ex4d55.htm" TargetMode="External"/><Relationship Id="rId36" Type="http://schemas.openxmlformats.org/officeDocument/2006/relationships/hyperlink" Target="https://www.sec.gov/Archives/edgar/data/1110646/000110465919023833/a18-41432_1ex4d58.htm" TargetMode="External"/><Relationship Id="rId37" Type="http://schemas.openxmlformats.org/officeDocument/2006/relationships/hyperlink" Target="https://www.sec.gov/Archives/edgar/data/1110646/000110465920052796/ntes-20191231xex4d52.htm" TargetMode="External"/><Relationship Id="rId38" Type="http://schemas.openxmlformats.org/officeDocument/2006/relationships/hyperlink" Target="https://www.sec.gov/Archives/edgar/data/1110646/000110465920052796/ntes-20191231xex4d53.htm" TargetMode="External"/><Relationship Id="rId39" Type="http://schemas.openxmlformats.org/officeDocument/2006/relationships/hyperlink" Target="https://www.sec.gov/Archives/edgar/data/1110646/000110465920052796/ntes-20191231xex4d54.htm" TargetMode="External"/><Relationship Id="rId40" Type="http://schemas.openxmlformats.org/officeDocument/2006/relationships/hyperlink" Target="https://www.sec.gov/Archives/edgar/data/1110646/000110465920052796/ntes-20191231xex4d55.htm" TargetMode="External"/><Relationship Id="rId41" Type="http://schemas.openxmlformats.org/officeDocument/2006/relationships/hyperlink" Target="https://www.sec.gov/Archives/edgar/data/1110646/000110465920052796/ntes-20191231xex4d56.htm" TargetMode="External"/><Relationship Id="rId42" Type="http://schemas.openxmlformats.org/officeDocument/2006/relationships/hyperlink" Target="https://www.sec.gov/Archives/edgar/data/1110646/000110465923027570/tm238153d1_ex4-5.htm" TargetMode="External"/><Relationship Id="rId43" Type="http://schemas.openxmlformats.org/officeDocument/2006/relationships/hyperlink" Target="https://www.sec.gov/Archives/edgar/data/1110646/000110465922052206/ntes-20211231xex4d44.htm" TargetMode="External"/><Relationship Id="rId44" Type="http://schemas.openxmlformats.org/officeDocument/2006/relationships/hyperlink" Target="https://www.sec.gov/Archives/edgar/data/1110646/000110465922052206/ntes-20211231xex4d45.htm" TargetMode="External"/><Relationship Id="rId45" Type="http://schemas.openxmlformats.org/officeDocument/2006/relationships/hyperlink" Target="https://www.sec.gov/Archives/edgar/data/1110646/000110465923050589/ntes-20221231xex4d47.htm" TargetMode="External"/><Relationship Id="rId46" Type="http://schemas.openxmlformats.org/officeDocument/2006/relationships/hyperlink" Target="https://www.sec.gov/Archives/edgar/data/1110646/000110465923050589/ntes-20221231xex4d48.htm" TargetMode="External"/><Relationship Id="rId47" Type="http://schemas.openxmlformats.org/officeDocument/2006/relationships/hyperlink" Target="https://www.sec.gov/Archives/edgar/data/1110646/000110465923050589/ntes-20221231xex4d49.htm" TargetMode="External"/><Relationship Id="rId48" Type="http://schemas.openxmlformats.org/officeDocument/2006/relationships/hyperlink" Target="https://www.sec.gov/Archives/edgar/data/1110646/000110465923050589/ntes-20221231xex4d50.htm" TargetMode="External"/><Relationship Id="rId49" Type="http://schemas.openxmlformats.org/officeDocument/2006/relationships/hyperlink" Target="https://www.sec.gov/Archives/edgar/data/1110646/000110465923050589/ntes-20221231xex4d56.htm" TargetMode="External"/><Relationship Id="rId50" Type="http://schemas.openxmlformats.org/officeDocument/2006/relationships/hyperlink" Target="https://www.sec.gov/Archives/edgar/data/1110646/000110465921055902/ntes-20201231xex8d1.htm" TargetMode="External"/><Relationship Id="rId51" Type="http://schemas.openxmlformats.org/officeDocument/2006/relationships/image" Target="media/image2.jpeg"/><Relationship Id="rId52" Type="http://schemas.openxmlformats.org/officeDocument/2006/relationships/image" Target="media/image3.jpeg"/><Relationship Id="rId53" Type="http://schemas.openxmlformats.org/officeDocument/2006/relationships/image" Target="media/image4.jpeg"/><Relationship Id="rId54" Type="http://schemas.openxmlformats.org/officeDocument/2006/relationships/image" Target="media/image5.jpeg"/><Relationship Id="rId55" Type="http://schemas.openxmlformats.org/officeDocument/2006/relationships/image" Target="media/image6.jpeg"/><Relationship Id="rId56" Type="http://schemas.openxmlformats.org/officeDocument/2006/relationships/image" Target="media/image7.jpeg"/><Relationship Id="rId57" Type="http://schemas.openxmlformats.org/officeDocument/2006/relationships/image" Target="media/image8.jpeg"/><Relationship Id="rId58" Type="http://schemas.openxmlformats.org/officeDocument/2006/relationships/image" Target="media/image9.jpeg"/><Relationship Id="rId59" Type="http://schemas.openxmlformats.org/officeDocument/2006/relationships/image" Target="media/image10.jpeg"/><Relationship Id="rId60" Type="http://schemas.openxmlformats.org/officeDocument/2006/relationships/image" Target="media/image11.jpeg"/><Relationship Id="rId61" Type="http://schemas.openxmlformats.org/officeDocument/2006/relationships/image" Target="media/image12.jpeg"/><Relationship Id="rId62" Type="http://schemas.openxmlformats.org/officeDocument/2006/relationships/image" Target="media/image13.jpeg"/><Relationship Id="rId63" Type="http://schemas.openxmlformats.org/officeDocument/2006/relationships/image" Target="media/image14.jpeg"/><Relationship Id="rId64" Type="http://schemas.openxmlformats.org/officeDocument/2006/relationships/image" Target="media/image15.jpeg"/><Relationship Id="rId65" Type="http://schemas.openxmlformats.org/officeDocument/2006/relationships/image" Target="media/image16.jpeg"/><Relationship Id="rId66" Type="http://schemas.openxmlformats.org/officeDocument/2006/relationships/image" Target="media/image17.jpeg"/><Relationship Id="rId67" Type="http://schemas.openxmlformats.org/officeDocument/2006/relationships/image" Target="media/image18.jpeg"/><Relationship Id="rId68" Type="http://schemas.openxmlformats.org/officeDocument/2006/relationships/image" Target="media/image19.jpeg"/><Relationship Id="rId69" Type="http://schemas.openxmlformats.org/officeDocument/2006/relationships/image" Target="media/image20.jpeg"/><Relationship Id="rId70" Type="http://schemas.openxmlformats.org/officeDocument/2006/relationships/image" Target="media/image21.jpeg"/><Relationship Id="rId71" Type="http://schemas.openxmlformats.org/officeDocument/2006/relationships/image" Target="media/image22.jpeg"/><Relationship Id="rId72" Type="http://schemas.openxmlformats.org/officeDocument/2006/relationships/image" Target="media/image22.jpeg"/><Relationship Id="rId73" Type="http://schemas.openxmlformats.org/officeDocument/2006/relationships/fontTable" Target="fontTable.xml"/><Relationship Id="rId7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35</Pages>
  <Words>211180</Words>
  <Characters>1170466</Characters>
  <CharactersWithSpaces>1381930</CharactersWithSpaces>
  <Paragraphs>18088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