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99d1_6k.htm"/>
      <w:bookmarkStart w:id="1" w:name="kstm262269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Tower A, One HarbourGate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with The Stock Exchange of Hong Kong Limited a monthly return dated August 11, 2026 in relation to the movements in our authorized share capital and issued shares in respect of July 2026, attached as Exhibit 99.1 to this current report on Form 6-K. The monthly return attached hereto as Exhibit 99.1 updates and replaces the monthly return submitted to The Stock Exchange of Hong Kong Limited on August 6, 2026, a copy of which was attached as Exhibit 99.1 to a current report on Form 6-K furnished by the Company with the Commission on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60"/>
        <w:gridCol w:w="9090"/>
      </w:tblGrid>
      <w:tr>
        <w:trPr/>
        <w:tc>
          <w:tcPr>
            <w:tcW w:w="1055" w:type="dxa"/>
            <w:tcBorders/>
            <w:vAlign w:val="center"/>
          </w:tcPr>
          <w:p>
            <w:pPr>
              <w:pStyle w:val="TableContents"/>
              <w:bidi w:val="0"/>
              <w:spacing w:before="0" w:after="283"/>
              <w:jc w:val="left"/>
              <w:rPr/>
            </w:pPr>
            <w:hyperlink w:anchor="tm2622699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both"/>
              <w:rPr/>
            </w:pPr>
            <w:hyperlink w:anchor="tm2622699d1_ex99-1.htm">
              <w:r>
                <w:rPr>
                  <w:rStyle w:val="InternetLink"/>
                  <w:rFonts w:ascii="Times New Roman;Times;Serif" w:hAnsi="Times New Roman;Times;Serif"/>
                  <w:sz w:val="20"/>
                </w:rPr>
                <w:t>Monthly Return with The Stock Exchange of Hong Kong Limited – 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75"/>
        <w:gridCol w:w="485"/>
        <w:gridCol w:w="80"/>
        <w:gridCol w:w="1970"/>
      </w:tblGrid>
      <w:tr>
        <w:trPr/>
        <w:tc>
          <w:tcPr>
            <w:tcW w:w="75" w:type="dxa"/>
            <w:tcBorders/>
            <w:vAlign w:val="center"/>
          </w:tcPr>
          <w:p>
            <w:pPr>
              <w:pStyle w:val="TableContents"/>
              <w:bidi w:val="0"/>
              <w:spacing w:before="0" w:after="283"/>
              <w:jc w:val="left"/>
              <w:rPr/>
            </w:pPr>
            <w:r>
              <w:rPr/>
              <w:t> </w:t>
            </w:r>
          </w:p>
        </w:tc>
        <w:tc>
          <w:tcPr>
            <w:tcW w:w="2535" w:type="dxa"/>
            <w:gridSpan w:val="3"/>
            <w:tcBorders/>
            <w:vAlign w:val="center"/>
          </w:tcPr>
          <w:p>
            <w:pPr>
              <w:pStyle w:val="TableContents"/>
              <w:bidi w:val="0"/>
              <w:spacing w:before="0" w:after="283"/>
              <w:jc w:val="left"/>
              <w:rPr>
                <w:b/>
              </w:rPr>
            </w:pPr>
            <w:r>
              <w:rPr>
                <w:b/>
              </w:rPr>
              <w:t>NETEASE,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bottom w:val="single" w:sz="8" w:space="0" w:color="000000"/>
            </w:tcBorders>
            <w:tcMar>
              <w:bottom w:w="28" w:type="dxa"/>
            </w:tcMar>
            <w:vAlign w:val="center"/>
          </w:tcPr>
          <w:p>
            <w:pPr>
              <w:pStyle w:val="TableContents"/>
              <w:bidi w:val="0"/>
              <w:spacing w:before="0" w:after="283"/>
              <w:jc w:val="left"/>
              <w:rPr/>
            </w:pPr>
            <w:r>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2699d1_ex99-1.htm"/>
      <w:bookmarkStart w:id="3" w:name="kstm2622699d1_ex991"/>
      <w:bookmarkEnd w:id="2"/>
      <w:bookmarkEnd w:id="3"/>
      <w:r>
        <w:rPr>
          <w:rFonts w:ascii="Times New Roman" w:hAnsi="Times New Roman"/>
          <w:b/>
          <w:sz w:val="20"/>
        </w:rPr>
        <w:t>Exhibit 99.1</w:t>
      </w:r>
      <w:r>
        <w:br w:type="page"/>
      </w:r>
    </w:p>
    <w:p>
      <w:pPr>
        <w:pStyle w:val="TextBody"/>
        <w:bidi w:val="0"/>
        <w:spacing w:before="40" w:after="40"/>
        <w:ind w:left="0" w:right="0" w:hanging="0"/>
        <w:jc w:val="righ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173"/>
        <w:gridCol w:w="9701"/>
        <w:gridCol w:w="331"/>
      </w:tblGrid>
      <w:tr>
        <w:trPr/>
        <w:tc>
          <w:tcPr>
            <w:tcW w:w="173" w:type="dxa"/>
            <w:tcBorders/>
            <w:vAlign w:val="center"/>
          </w:tcPr>
          <w:p>
            <w:pPr>
              <w:pStyle w:val="TableContents"/>
              <w:bidi w:val="0"/>
              <w:spacing w:before="0" w:after="283"/>
              <w:jc w:val="left"/>
              <w:rPr>
                <w:sz w:val="4"/>
                <w:szCs w:val="4"/>
              </w:rPr>
            </w:pPr>
            <w:r>
              <w:rPr>
                <w:sz w:val="4"/>
                <w:szCs w:val="4"/>
              </w:rPr>
            </w:r>
          </w:p>
        </w:tc>
        <w:tc>
          <w:tcPr>
            <w:tcW w:w="9701" w:type="dxa"/>
            <w:tcBorders/>
          </w:tcPr>
          <w:p>
            <w:pPr>
              <w:pStyle w:val="TableContents"/>
              <w:bidi w:val="0"/>
              <w:spacing w:before="0" w:after="0"/>
              <w:ind w:left="0" w:right="0" w:hanging="0"/>
              <w:jc w:val="center"/>
              <w:rPr/>
            </w:pPr>
            <w:r>
              <w:rPr/>
              <w:drawing>
                <wp:inline distT="0" distB="0" distL="0" distR="0">
                  <wp:extent cx="5340350" cy="3771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40350" cy="3771900"/>
                          </a:xfrm>
                          <a:prstGeom prst="rect">
                            <a:avLst/>
                          </a:prstGeom>
                        </pic:spPr>
                      </pic:pic>
                    </a:graphicData>
                  </a:graphic>
                </wp:inline>
              </w:drawing>
            </w:r>
          </w:p>
        </w:tc>
        <w:tc>
          <w:tcPr>
            <w:tcW w:w="33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July 2026 Status: Resubmission To : Hong Kong Exchanges and Clearing Limited Name of Issuer: NetEase, Inc. Date Submitted: 10 August 2026 I. Movements in Authorised / Registered Share Capital 1. Class of shares Ordinary shares Type of shares Not applicable Listed on the Exchange (Note 1) Yes Stock code (if listed) 09999 Description Number of authorised/registered shares Par value Authorised/registered share capital Balance at close of preceding month 1,000,300,000,000 USD 0.0001 USD 100,030,000 Increase / decrease (-) USD Balance at close of the month 1,000,300,000,000 USD 0.0001 USD 100,030,000 Total authorised/registered share capital at the end of the month: USD 100,030,000</w:t>
            </w:r>
          </w:p>
        </w:tc>
      </w:tr>
    </w:tbl>
    <w:tbl>
      <w:tblPr>
        <w:tblW w:w="10205" w:type="dxa"/>
        <w:jc w:val="center"/>
        <w:tblInd w:w="0" w:type="dxa"/>
        <w:tblLayout w:type="fixed"/>
        <w:tblCellMar>
          <w:top w:w="0" w:type="dxa"/>
          <w:left w:w="0" w:type="dxa"/>
          <w:bottom w:w="0" w:type="dxa"/>
          <w:right w:w="0" w:type="dxa"/>
        </w:tblCellMar>
      </w:tblPr>
      <w:tblGrid>
        <w:gridCol w:w="173"/>
        <w:gridCol w:w="9746"/>
        <w:gridCol w:w="286"/>
      </w:tblGrid>
      <w:tr>
        <w:trPr/>
        <w:tc>
          <w:tcPr>
            <w:tcW w:w="173" w:type="dxa"/>
            <w:tcBorders/>
            <w:vAlign w:val="center"/>
          </w:tcPr>
          <w:p>
            <w:pPr>
              <w:pStyle w:val="TableContents"/>
              <w:bidi w:val="0"/>
              <w:spacing w:before="0" w:after="283"/>
              <w:jc w:val="left"/>
              <w:rPr>
                <w:sz w:val="4"/>
                <w:szCs w:val="4"/>
              </w:rPr>
            </w:pPr>
            <w:r>
              <w:rPr>
                <w:sz w:val="4"/>
                <w:szCs w:val="4"/>
              </w:rPr>
            </w:r>
          </w:p>
        </w:tc>
        <w:tc>
          <w:tcPr>
            <w:tcW w:w="9746" w:type="dxa"/>
            <w:tcBorders/>
          </w:tcPr>
          <w:p>
            <w:pPr>
              <w:pStyle w:val="TableContents"/>
              <w:bidi w:val="0"/>
              <w:spacing w:before="0" w:after="0"/>
              <w:ind w:left="0" w:right="0" w:hanging="0"/>
              <w:jc w:val="center"/>
              <w:rPr/>
            </w:pPr>
            <w:r>
              <w:rPr/>
              <w:drawing>
                <wp:inline distT="0" distB="0" distL="0" distR="0">
                  <wp:extent cx="5340350" cy="3771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40350" cy="3771900"/>
                          </a:xfrm>
                          <a:prstGeom prst="rect">
                            <a:avLst/>
                          </a:prstGeom>
                        </pic:spPr>
                      </pic:pic>
                    </a:graphicData>
                  </a:graphic>
                </wp:inline>
              </w:drawing>
            </w:r>
          </w:p>
        </w:tc>
        <w:tc>
          <w:tcPr>
            <w:tcW w:w="28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09999 Description Number of issued shares (excluding treasury shares) Number of treasury shares Total number of issued shares Balance at close of preceding month 3,201,250,981 10,804,675 3,212,055,656 Increase / decrease (-) 0 0 Balance at close of the month 3,201,250,981 10,804,675 3,212,055,656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Remarks: (i) The balance of ordinary shares excludes 7,508,925 ordinary shares issued and reserved for future delivery upon the exercise or vesting of awards granted under the Company’s share incentive plans. (ii) The treasury shares refer to ordinary shares underlying the Company's treasury ADSs.</w:t>
            </w:r>
          </w:p>
        </w:tc>
      </w:tr>
    </w:tbl>
    <w:tbl>
      <w:tblPr>
        <w:tblW w:w="10205" w:type="dxa"/>
        <w:jc w:val="center"/>
        <w:tblInd w:w="0" w:type="dxa"/>
        <w:tblLayout w:type="fixed"/>
        <w:tblCellMar>
          <w:top w:w="0" w:type="dxa"/>
          <w:left w:w="0" w:type="dxa"/>
          <w:bottom w:w="0" w:type="dxa"/>
          <w:right w:w="0" w:type="dxa"/>
        </w:tblCellMar>
      </w:tblPr>
      <w:tblGrid>
        <w:gridCol w:w="259"/>
        <w:gridCol w:w="9635"/>
        <w:gridCol w:w="311"/>
      </w:tblGrid>
      <w:tr>
        <w:trPr/>
        <w:tc>
          <w:tcPr>
            <w:tcW w:w="259" w:type="dxa"/>
            <w:tcBorders/>
            <w:vAlign w:val="center"/>
          </w:tcPr>
          <w:p>
            <w:pPr>
              <w:pStyle w:val="TableContents"/>
              <w:bidi w:val="0"/>
              <w:spacing w:before="0" w:after="283"/>
              <w:jc w:val="left"/>
              <w:rPr>
                <w:sz w:val="4"/>
                <w:szCs w:val="4"/>
              </w:rPr>
            </w:pPr>
            <w:r>
              <w:rPr>
                <w:sz w:val="4"/>
                <w:szCs w:val="4"/>
              </w:rPr>
            </w:r>
          </w:p>
        </w:tc>
        <w:tc>
          <w:tcPr>
            <w:tcW w:w="9635" w:type="dxa"/>
            <w:tcBorders/>
          </w:tcPr>
          <w:p>
            <w:pPr>
              <w:pStyle w:val="TableContents"/>
              <w:bidi w:val="0"/>
              <w:spacing w:before="0" w:after="0"/>
              <w:ind w:left="0" w:right="0" w:hanging="0"/>
              <w:jc w:val="center"/>
              <w:rPr/>
            </w:pPr>
            <w:r>
              <w:rPr/>
              <w:drawing>
                <wp:inline distT="0" distB="0" distL="0" distR="0">
                  <wp:extent cx="5340350" cy="3771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40350" cy="3771900"/>
                          </a:xfrm>
                          <a:prstGeom prst="rect">
                            <a:avLst/>
                          </a:prstGeom>
                        </pic:spPr>
                      </pic:pic>
                    </a:graphicData>
                  </a:graphic>
                </wp:inline>
              </w:drawing>
            </w:r>
          </w:p>
        </w:tc>
        <w:tc>
          <w:tcPr>
            <w:tcW w:w="31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Not applicable</w:t>
            </w:r>
          </w:p>
        </w:tc>
      </w:tr>
    </w:tbl>
    <w:tbl>
      <w:tblPr>
        <w:tblW w:w="10205" w:type="dxa"/>
        <w:jc w:val="center"/>
        <w:tblInd w:w="0" w:type="dxa"/>
        <w:tblLayout w:type="fixed"/>
        <w:tblCellMar>
          <w:top w:w="0" w:type="dxa"/>
          <w:left w:w="0" w:type="dxa"/>
          <w:bottom w:w="0" w:type="dxa"/>
          <w:right w:w="0" w:type="dxa"/>
        </w:tblCellMar>
      </w:tblPr>
      <w:tblGrid>
        <w:gridCol w:w="717"/>
        <w:gridCol w:w="8899"/>
        <w:gridCol w:w="589"/>
      </w:tblGrid>
      <w:tr>
        <w:trPr/>
        <w:tc>
          <w:tcPr>
            <w:tcW w:w="717" w:type="dxa"/>
            <w:tcBorders/>
            <w:vAlign w:val="center"/>
          </w:tcPr>
          <w:p>
            <w:pPr>
              <w:pStyle w:val="TableContents"/>
              <w:bidi w:val="0"/>
              <w:spacing w:before="0" w:after="283"/>
              <w:jc w:val="left"/>
              <w:rPr>
                <w:sz w:val="4"/>
                <w:szCs w:val="4"/>
              </w:rPr>
            </w:pPr>
            <w:r>
              <w:rPr>
                <w:sz w:val="4"/>
                <w:szCs w:val="4"/>
              </w:rPr>
            </w:r>
          </w:p>
        </w:tc>
        <w:tc>
          <w:tcPr>
            <w:tcW w:w="8899" w:type="dxa"/>
            <w:tcBorders/>
          </w:tcPr>
          <w:p>
            <w:pPr>
              <w:pStyle w:val="TableContents"/>
              <w:bidi w:val="0"/>
              <w:spacing w:before="0" w:after="0"/>
              <w:ind w:left="0" w:right="0" w:hanging="0"/>
              <w:jc w:val="center"/>
              <w:rPr/>
            </w:pPr>
            <w:r>
              <w:rPr/>
              <w:drawing>
                <wp:inline distT="0" distB="0" distL="0" distR="0">
                  <wp:extent cx="5340350" cy="3771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40350" cy="3771900"/>
                          </a:xfrm>
                          <a:prstGeom prst="rect">
                            <a:avLst/>
                          </a:prstGeom>
                        </pic:spPr>
                      </pic:pic>
                    </a:graphicData>
                  </a:graphic>
                </wp:inline>
              </w:drawing>
            </w:r>
          </w:p>
        </w:tc>
        <w:tc>
          <w:tcPr>
            <w:tcW w:w="58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0205" w:type="dxa"/>
        <w:jc w:val="center"/>
        <w:tblInd w:w="0" w:type="dxa"/>
        <w:tblLayout w:type="fixed"/>
        <w:tblCellMar>
          <w:top w:w="0" w:type="dxa"/>
          <w:left w:w="0" w:type="dxa"/>
          <w:bottom w:w="0" w:type="dxa"/>
          <w:right w:w="0" w:type="dxa"/>
        </w:tblCellMar>
      </w:tblPr>
      <w:tblGrid>
        <w:gridCol w:w="475"/>
        <w:gridCol w:w="9288"/>
        <w:gridCol w:w="442"/>
      </w:tblGrid>
      <w:tr>
        <w:trPr/>
        <w:tc>
          <w:tcPr>
            <w:tcW w:w="475" w:type="dxa"/>
            <w:tcBorders/>
            <w:vAlign w:val="center"/>
          </w:tcPr>
          <w:p>
            <w:pPr>
              <w:pStyle w:val="TableContents"/>
              <w:bidi w:val="0"/>
              <w:spacing w:before="0" w:after="283"/>
              <w:jc w:val="left"/>
              <w:rPr>
                <w:sz w:val="4"/>
                <w:szCs w:val="4"/>
              </w:rPr>
            </w:pPr>
            <w:r>
              <w:rPr>
                <w:sz w:val="4"/>
                <w:szCs w:val="4"/>
              </w:rPr>
            </w:r>
          </w:p>
        </w:tc>
        <w:tc>
          <w:tcPr>
            <w:tcW w:w="9288" w:type="dxa"/>
            <w:tcBorders/>
          </w:tcPr>
          <w:p>
            <w:pPr>
              <w:pStyle w:val="TableContents"/>
              <w:bidi w:val="0"/>
              <w:spacing w:before="0" w:after="0"/>
              <w:ind w:left="0" w:right="0" w:hanging="0"/>
              <w:jc w:val="center"/>
              <w:rPr/>
            </w:pPr>
            <w:r>
              <w:rPr/>
              <w:drawing>
                <wp:inline distT="0" distB="0" distL="0" distR="0">
                  <wp:extent cx="5340350" cy="3771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340350" cy="3771900"/>
                          </a:xfrm>
                          <a:prstGeom prst="rect">
                            <a:avLst/>
                          </a:prstGeom>
                        </pic:spPr>
                      </pic:pic>
                    </a:graphicData>
                  </a:graphic>
                </wp:inline>
              </w:drawing>
            </w:r>
          </w:p>
        </w:tc>
        <w:tc>
          <w:tcPr>
            <w:tcW w:w="44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0205" w:type="dxa"/>
        <w:jc w:val="center"/>
        <w:tblInd w:w="0" w:type="dxa"/>
        <w:tblLayout w:type="fixed"/>
        <w:tblCellMar>
          <w:top w:w="0" w:type="dxa"/>
          <w:left w:w="0" w:type="dxa"/>
          <w:bottom w:w="0" w:type="dxa"/>
          <w:right w:w="0" w:type="dxa"/>
        </w:tblCellMar>
      </w:tblPr>
      <w:tblGrid>
        <w:gridCol w:w="173"/>
        <w:gridCol w:w="9761"/>
        <w:gridCol w:w="271"/>
      </w:tblGrid>
      <w:tr>
        <w:trPr/>
        <w:tc>
          <w:tcPr>
            <w:tcW w:w="173" w:type="dxa"/>
            <w:tcBorders/>
            <w:vAlign w:val="center"/>
          </w:tcPr>
          <w:p>
            <w:pPr>
              <w:pStyle w:val="TableContents"/>
              <w:bidi w:val="0"/>
              <w:spacing w:before="0" w:after="283"/>
              <w:jc w:val="left"/>
              <w:rPr>
                <w:sz w:val="4"/>
                <w:szCs w:val="4"/>
              </w:rPr>
            </w:pPr>
            <w:r>
              <w:rPr>
                <w:sz w:val="4"/>
                <w:szCs w:val="4"/>
              </w:rPr>
            </w:r>
          </w:p>
        </w:tc>
        <w:tc>
          <w:tcPr>
            <w:tcW w:w="9761" w:type="dxa"/>
            <w:tcBorders/>
          </w:tcPr>
          <w:p>
            <w:pPr>
              <w:pStyle w:val="TableContents"/>
              <w:bidi w:val="0"/>
              <w:spacing w:before="0" w:after="0"/>
              <w:ind w:left="0" w:right="0" w:hanging="0"/>
              <w:jc w:val="center"/>
              <w:rPr/>
            </w:pPr>
            <w:r>
              <w:rPr/>
              <w:drawing>
                <wp:inline distT="0" distB="0" distL="0" distR="0">
                  <wp:extent cx="5340350" cy="3771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340350" cy="3771900"/>
                          </a:xfrm>
                          <a:prstGeom prst="rect">
                            <a:avLst/>
                          </a:prstGeom>
                        </pic:spPr>
                      </pic:pic>
                    </a:graphicData>
                  </a:graphic>
                </wp:inline>
              </w:drawing>
            </w:r>
          </w:p>
        </w:tc>
        <w:tc>
          <w:tcPr>
            <w:tcW w:w="27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09999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Restricted share units granted under Amended and Restated 2019 Share Incentive Plan 0 0 43,142,605 2). Restricted share units granted under Second Amended and Restated 2019 Share Incentive Plan 0 0 0 Increase in issued shares (excluding treasury shares): 0 Ordinary shares (DD1) Decrease in treasury shares: 0 Ordinary shares (DD2) Remarks: (i) The Company's 2019 restricted share unit plan was first adopted in October 2019, and was amended and renamed as the “Amended and Restated 2019 Share Incentive Plan” with effect from 22 February 2023. On 23 June 2026, the shareholders of the Company approved the adoption of the Second Amended and Restated 2019 Share Incentive Plan which became effective on 30 June 2026 (being the date on which the Company’s primary listing on the Hong Kong Stock Exchange became effective). Any outstanding awards granted under the Amended and Restated 2019 Share Incentive Plan prior to the adoption date of the Second Amended and Restated 2019 Share Incentive Plan shall continue to be valid and exercisable and/or remain to be vested in accordance with the terms of the grant and the Amended and Restated 2019 Share Incentive Plan. For details, please refer to the Company's circular dated 18 May 2026. (ii) During the month ended 31 July 2026, 461,460 restricted share units granted under the Amended and Restated 2019 Share Incentive Plan had been cancelled.</w:t>
            </w:r>
          </w:p>
        </w:tc>
      </w:tr>
    </w:tbl>
    <w:tbl>
      <w:tblPr>
        <w:tblW w:w="10205" w:type="dxa"/>
        <w:jc w:val="center"/>
        <w:tblInd w:w="0" w:type="dxa"/>
        <w:tblLayout w:type="fixed"/>
        <w:tblCellMar>
          <w:top w:w="0" w:type="dxa"/>
          <w:left w:w="0" w:type="dxa"/>
          <w:bottom w:w="0" w:type="dxa"/>
          <w:right w:w="0" w:type="dxa"/>
        </w:tblCellMar>
      </w:tblPr>
      <w:tblGrid>
        <w:gridCol w:w="204"/>
        <w:gridCol w:w="9725"/>
        <w:gridCol w:w="276"/>
      </w:tblGrid>
      <w:tr>
        <w:trPr/>
        <w:tc>
          <w:tcPr>
            <w:tcW w:w="204" w:type="dxa"/>
            <w:tcBorders/>
            <w:vAlign w:val="center"/>
          </w:tcPr>
          <w:p>
            <w:pPr>
              <w:pStyle w:val="TableContents"/>
              <w:bidi w:val="0"/>
              <w:spacing w:before="0" w:after="283"/>
              <w:jc w:val="left"/>
              <w:rPr>
                <w:sz w:val="4"/>
                <w:szCs w:val="4"/>
              </w:rPr>
            </w:pPr>
            <w:r>
              <w:rPr>
                <w:sz w:val="4"/>
                <w:szCs w:val="4"/>
              </w:rPr>
            </w:r>
          </w:p>
        </w:tc>
        <w:tc>
          <w:tcPr>
            <w:tcW w:w="9725" w:type="dxa"/>
            <w:tcBorders/>
          </w:tcPr>
          <w:p>
            <w:pPr>
              <w:pStyle w:val="TableContents"/>
              <w:bidi w:val="0"/>
              <w:spacing w:before="0" w:after="0"/>
              <w:ind w:left="0" w:right="0" w:hanging="0"/>
              <w:jc w:val="center"/>
              <w:rPr/>
            </w:pPr>
            <w:r>
              <w:rPr/>
              <w:drawing>
                <wp:inline distT="0" distB="0" distL="0" distR="0">
                  <wp:extent cx="5340350" cy="3771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340350" cy="3771900"/>
                          </a:xfrm>
                          <a:prstGeom prst="rect">
                            <a:avLst/>
                          </a:prstGeom>
                        </pic:spPr>
                      </pic:pic>
                    </a:graphicData>
                  </a:graphic>
                </wp:inline>
              </w:drawing>
            </w:r>
          </w:p>
        </w:tc>
        <w:tc>
          <w:tcPr>
            <w:tcW w:w="27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0205" w:type="dxa"/>
        <w:jc w:val="center"/>
        <w:tblInd w:w="0" w:type="dxa"/>
        <w:tblLayout w:type="fixed"/>
        <w:tblCellMar>
          <w:top w:w="0" w:type="dxa"/>
          <w:left w:w="0" w:type="dxa"/>
          <w:bottom w:w="0" w:type="dxa"/>
          <w:right w:w="0" w:type="dxa"/>
        </w:tblCellMar>
      </w:tblPr>
      <w:tblGrid>
        <w:gridCol w:w="437"/>
        <w:gridCol w:w="9357"/>
        <w:gridCol w:w="411"/>
      </w:tblGrid>
      <w:tr>
        <w:trPr/>
        <w:tc>
          <w:tcPr>
            <w:tcW w:w="437" w:type="dxa"/>
            <w:tcBorders/>
            <w:vAlign w:val="center"/>
          </w:tcPr>
          <w:p>
            <w:pPr>
              <w:pStyle w:val="TableContents"/>
              <w:bidi w:val="0"/>
              <w:spacing w:before="0" w:after="283"/>
              <w:jc w:val="left"/>
              <w:rPr>
                <w:sz w:val="4"/>
                <w:szCs w:val="4"/>
              </w:rPr>
            </w:pPr>
            <w:r>
              <w:rPr>
                <w:sz w:val="4"/>
                <w:szCs w:val="4"/>
              </w:rPr>
            </w:r>
          </w:p>
        </w:tc>
        <w:tc>
          <w:tcPr>
            <w:tcW w:w="9357" w:type="dxa"/>
            <w:tcBorders/>
          </w:tcPr>
          <w:p>
            <w:pPr>
              <w:pStyle w:val="TableContents"/>
              <w:bidi w:val="0"/>
              <w:spacing w:before="0" w:after="0"/>
              <w:ind w:left="0" w:right="0" w:hanging="0"/>
              <w:jc w:val="center"/>
              <w:rPr/>
            </w:pPr>
            <w:r>
              <w:rPr/>
              <w:drawing>
                <wp:inline distT="0" distB="0" distL="0" distR="0">
                  <wp:extent cx="5340350" cy="3771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340350" cy="3771900"/>
                          </a:xfrm>
                          <a:prstGeom prst="rect">
                            <a:avLst/>
                          </a:prstGeom>
                        </pic:spPr>
                      </pic:pic>
                    </a:graphicData>
                  </a:graphic>
                </wp:inline>
              </w:drawing>
            </w:r>
          </w:p>
        </w:tc>
        <w:tc>
          <w:tcPr>
            <w:tcW w:w="41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0205" w:type="dxa"/>
        <w:jc w:val="center"/>
        <w:tblInd w:w="0" w:type="dxa"/>
        <w:tblLayout w:type="fixed"/>
        <w:tblCellMar>
          <w:top w:w="0" w:type="dxa"/>
          <w:left w:w="0" w:type="dxa"/>
          <w:bottom w:w="0" w:type="dxa"/>
          <w:right w:w="0" w:type="dxa"/>
        </w:tblCellMar>
      </w:tblPr>
      <w:tblGrid>
        <w:gridCol w:w="171"/>
        <w:gridCol w:w="9748"/>
        <w:gridCol w:w="286"/>
      </w:tblGrid>
      <w:tr>
        <w:trPr/>
        <w:tc>
          <w:tcPr>
            <w:tcW w:w="171" w:type="dxa"/>
            <w:tcBorders/>
            <w:vAlign w:val="center"/>
          </w:tcPr>
          <w:p>
            <w:pPr>
              <w:pStyle w:val="TableContents"/>
              <w:bidi w:val="0"/>
              <w:spacing w:before="0" w:after="283"/>
              <w:jc w:val="left"/>
              <w:rPr>
                <w:sz w:val="4"/>
                <w:szCs w:val="4"/>
              </w:rPr>
            </w:pPr>
            <w:r>
              <w:rPr>
                <w:sz w:val="4"/>
                <w:szCs w:val="4"/>
              </w:rPr>
            </w:r>
          </w:p>
        </w:tc>
        <w:tc>
          <w:tcPr>
            <w:tcW w:w="9748" w:type="dxa"/>
            <w:tcBorders/>
          </w:tcPr>
          <w:p>
            <w:pPr>
              <w:pStyle w:val="TableContents"/>
              <w:bidi w:val="0"/>
              <w:spacing w:before="0" w:after="0"/>
              <w:ind w:left="0" w:right="0" w:hanging="0"/>
              <w:jc w:val="center"/>
              <w:rPr/>
            </w:pPr>
            <w:r>
              <w:rPr/>
              <w:drawing>
                <wp:inline distT="0" distB="0" distL="0" distR="0">
                  <wp:extent cx="5340350" cy="37719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340350" cy="3771900"/>
                          </a:xfrm>
                          <a:prstGeom prst="rect">
                            <a:avLst/>
                          </a:prstGeom>
                        </pic:spPr>
                      </pic:pic>
                    </a:graphicData>
                  </a:graphic>
                </wp:inline>
              </w:drawing>
            </w:r>
          </w:p>
        </w:tc>
        <w:tc>
          <w:tcPr>
            <w:tcW w:w="28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Li Ching Man Title: Joint Company Secretary (Director, Secretary or other Duly Authorised Officer)</w:t>
            </w:r>
          </w:p>
        </w:tc>
      </w:tr>
    </w:tbl>
    <w:tbl>
      <w:tblPr>
        <w:tblW w:w="10205" w:type="dxa"/>
        <w:jc w:val="center"/>
        <w:tblInd w:w="0" w:type="dxa"/>
        <w:tblLayout w:type="fixed"/>
        <w:tblCellMar>
          <w:top w:w="0" w:type="dxa"/>
          <w:left w:w="0" w:type="dxa"/>
          <w:bottom w:w="0" w:type="dxa"/>
          <w:right w:w="0" w:type="dxa"/>
        </w:tblCellMar>
      </w:tblPr>
      <w:tblGrid>
        <w:gridCol w:w="173"/>
        <w:gridCol w:w="9760"/>
        <w:gridCol w:w="272"/>
      </w:tblGrid>
      <w:tr>
        <w:trPr/>
        <w:tc>
          <w:tcPr>
            <w:tcW w:w="173" w:type="dxa"/>
            <w:tcBorders/>
            <w:vAlign w:val="center"/>
          </w:tcPr>
          <w:p>
            <w:pPr>
              <w:pStyle w:val="TableContents"/>
              <w:bidi w:val="0"/>
              <w:spacing w:before="0" w:after="283"/>
              <w:jc w:val="left"/>
              <w:rPr>
                <w:sz w:val="4"/>
                <w:szCs w:val="4"/>
              </w:rPr>
            </w:pPr>
            <w:r>
              <w:rPr>
                <w:sz w:val="4"/>
                <w:szCs w:val="4"/>
              </w:rPr>
            </w:r>
          </w:p>
        </w:tc>
        <w:tc>
          <w:tcPr>
            <w:tcW w:w="9760" w:type="dxa"/>
            <w:tcBorders/>
          </w:tcPr>
          <w:p>
            <w:pPr>
              <w:pStyle w:val="TableContents"/>
              <w:bidi w:val="0"/>
              <w:spacing w:before="0" w:after="0"/>
              <w:ind w:left="0" w:right="0" w:hanging="0"/>
              <w:jc w:val="center"/>
              <w:rPr/>
            </w:pPr>
            <w:r>
              <w:rPr/>
              <w:drawing>
                <wp:inline distT="0" distB="0" distL="0" distR="0">
                  <wp:extent cx="5340350" cy="3771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40350" cy="3771900"/>
                          </a:xfrm>
                          <a:prstGeom prst="rect">
                            <a:avLst/>
                          </a:prstGeom>
                        </pic:spPr>
                      </pic:pic>
                    </a:graphicData>
                  </a:graphic>
                </wp:inline>
              </w:drawing>
            </w:r>
          </w:p>
        </w:tc>
        <w:tc>
          <w:tcPr>
            <w:tcW w:w="272"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1870</Words>
  <Characters>9497</Characters>
  <CharactersWithSpaces>11379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