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00"/>
        <w:ind w:left="0" w:right="0" w:hanging="0"/>
        <w:rPr/>
      </w:pPr>
      <w:hyperlink w:anchor="TOC">
        <w:bookmarkStart w:id="0" w:name="ntes-20221231x20f.htm"/>
        <w:bookmarkStart w:id="1" w:name="ksntes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jc w:val="center"/>
        <w:rPr/>
      </w:pPr>
      <w:bookmarkStart w:id="2" w:name="_e06cb062_a4e1_4a58_89a5_858f53fa9827"/>
      <w:bookmarkEnd w:id="2"/>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20-F</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(Mark One)</w:t>
      </w:r>
    </w:p>
    <w:p>
      <w:pPr>
        <w:pStyle w:val="Normal"/>
        <w:spacing w:before="0" w:after="0"/>
        <w:rPr>
          <w:sz w:val="4"/>
          <w:szCs w:val="4"/>
        </w:rPr>
      </w:pPr>
      <w:r>
        <w:rPr>
          <w:sz w:val="4"/>
          <w:szCs w:val="4"/>
        </w:rPr>
      </w:r>
      <w:bookmarkStart w:id="3" w:name="Tc_wzzsqM7rlkaW8IwvqMmCrg_15_1"/>
      <w:bookmarkStart w:id="4" w:name="Tc_VFiWIpeWtUiVJEs5ytiW2Q_13_0"/>
      <w:bookmarkStart w:id="5" w:name="Tc_BjfRjpj9kk2F82LUGvMVtw_11_1"/>
      <w:bookmarkStart w:id="6" w:name="Tc_l_CI8eLi1E-DZ0YotMu4hQ_9_0"/>
      <w:bookmarkStart w:id="7" w:name="Tc_-7IPDUXlLEGMkOpazNmEkw_7_1"/>
      <w:bookmarkStart w:id="8" w:name="Tc_H-4zaD-a00S1-oKUgJf7fg_6_1"/>
      <w:bookmarkStart w:id="9" w:name="Tc_YJCeTYLbnECZFxha4EoUAA_4_0"/>
      <w:bookmarkStart w:id="10" w:name="Tc_FBo77PZzV0KEeYaRymCRAQ_2_1"/>
      <w:bookmarkStart w:id="11" w:name="_e9ff3971_a098_49d5_895d_962a9ddbe15e"/>
      <w:bookmarkStart w:id="12" w:name="Tc_wzzsqM7rlkaW8IwvqMmCrg_15_1"/>
      <w:bookmarkStart w:id="13" w:name="Tc_VFiWIpeWtUiVJEs5ytiW2Q_13_0"/>
      <w:bookmarkStart w:id="14" w:name="Tc_BjfRjpj9kk2F82LUGvMVtw_11_1"/>
      <w:bookmarkStart w:id="15" w:name="Tc_l_CI8eLi1E-DZ0YotMu4hQ_9_0"/>
      <w:bookmarkStart w:id="16" w:name="Tc_-7IPDUXlLEGMkOpazNmEkw_7_1"/>
      <w:bookmarkStart w:id="17" w:name="Tc_H-4zaD-a00S1-oKUgJf7fg_6_1"/>
      <w:bookmarkStart w:id="18" w:name="Tc_YJCeTYLbnECZFxha4EoUAA_4_0"/>
      <w:bookmarkStart w:id="19" w:name="Tc_FBo77PZzV0KEeYaRymCRAQ_2_1"/>
      <w:bookmarkStart w:id="20" w:name="_e9ff3971_a098_49d5_895d_962a9ddbe15e"/>
      <w:bookmarkEnd w:id="12"/>
      <w:bookmarkEnd w:id="13"/>
      <w:bookmarkEnd w:id="14"/>
      <w:bookmarkEnd w:id="15"/>
      <w:bookmarkEnd w:id="16"/>
      <w:bookmarkEnd w:id="17"/>
      <w:bookmarkEnd w:id="18"/>
      <w:bookmarkEnd w:id="19"/>
      <w:bookmarkEnd w:id="20"/>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REGISTRATION STATEMENT PURSUANT TO SECTION 12(b) OR 12(g) OF THE SECURITIES EXCHANGE ACT OF 1934</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For the fiscal year ended December 31, 2022</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Date of event requiring this shell company report . . . . . . . . . . . . . . . . . .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___________ to __________</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Commission file number : 000-30666</w:t>
      </w:r>
    </w:p>
    <w:p>
      <w:pPr>
        <w:pStyle w:val="TextBody"/>
        <w:spacing w:before="0" w:after="0"/>
        <w:ind w:left="0" w:right="0" w:hanging="0"/>
        <w:rPr/>
      </w:pPr>
      <w:r>
        <w:rPr/>
        <w:t>​</w:t>
      </w:r>
    </w:p>
    <w:p>
      <w:pPr>
        <w:pStyle w:val="Normal"/>
        <w:spacing w:before="0" w:after="0"/>
        <w:rPr>
          <w:sz w:val="4"/>
          <w:szCs w:val="4"/>
        </w:rPr>
      </w:pPr>
      <w:r>
        <w:rPr>
          <w:sz w:val="4"/>
          <w:szCs w:val="4"/>
        </w:rPr>
      </w:r>
      <w:bookmarkStart w:id="21" w:name="Tc_1UewH-G4rUyZQLKyQ9lwVw_14_0"/>
      <w:bookmarkStart w:id="22" w:name="Tc_PrzD2i0iWkGj7_YZ5X8xdw_13_0"/>
      <w:bookmarkStart w:id="23" w:name="Tc_FJhWBiK2IkGlBzM4CQqYHQ_11_0"/>
      <w:bookmarkStart w:id="24" w:name="Tc_sPy4VAgD30e33CBwQzJPHg_10_0"/>
      <w:bookmarkStart w:id="25" w:name="Tc_Efpkr7xRdEqkZDq9gH3XPA_8_0"/>
      <w:bookmarkStart w:id="26" w:name="Tc_VuR9jebMSE-cpoiC0S9EWA_5_0"/>
      <w:bookmarkStart w:id="27" w:name="Tc_bVQtlbg33UeolQZcksM6WA_4_0"/>
      <w:bookmarkStart w:id="28" w:name="Tc_1MaUp8FxwUq33nmtBOJe2A_2_0"/>
      <w:bookmarkStart w:id="29" w:name="_02f1d25e_962a_4637_b88c_c70c7d0c6557"/>
      <w:bookmarkStart w:id="30" w:name="Tc_1UewH-G4rUyZQLKyQ9lwVw_14_0"/>
      <w:bookmarkStart w:id="31" w:name="Tc_PrzD2i0iWkGj7_YZ5X8xdw_13_0"/>
      <w:bookmarkStart w:id="32" w:name="Tc_FJhWBiK2IkGlBzM4CQqYHQ_11_0"/>
      <w:bookmarkStart w:id="33" w:name="Tc_sPy4VAgD30e33CBwQzJPHg_10_0"/>
      <w:bookmarkStart w:id="34" w:name="Tc_Efpkr7xRdEqkZDq9gH3XPA_8_0"/>
      <w:bookmarkStart w:id="35" w:name="Tc_VuR9jebMSE-cpoiC0S9EWA_5_0"/>
      <w:bookmarkStart w:id="36" w:name="Tc_bVQtlbg33UeolQZcksM6WA_4_0"/>
      <w:bookmarkStart w:id="37" w:name="Tc_1MaUp8FxwUq33nmtBOJe2A_2_0"/>
      <w:bookmarkStart w:id="38" w:name="_02f1d25e_962a_4637_b88c_c70c7d0c6557"/>
      <w:bookmarkEnd w:id="30"/>
      <w:bookmarkEnd w:id="31"/>
      <w:bookmarkEnd w:id="32"/>
      <w:bookmarkEnd w:id="33"/>
      <w:bookmarkEnd w:id="34"/>
      <w:bookmarkEnd w:id="35"/>
      <w:bookmarkEnd w:id="36"/>
      <w:bookmarkEnd w:id="37"/>
      <w:bookmarkEnd w:id="38"/>
    </w:p>
    <w:tbl>
      <w:tblPr>
        <w:tblW w:w="6886" w:type="dxa"/>
        <w:jc w:val="left"/>
        <w:tblInd w:w="0" w:type="dxa"/>
        <w:tblCellMar>
          <w:top w:w="0" w:type="dxa"/>
          <w:left w:w="0" w:type="dxa"/>
          <w:bottom w:w="0" w:type="dxa"/>
          <w:right w:w="0" w:type="dxa"/>
        </w:tblCellMar>
      </w:tblPr>
      <w:tblGrid>
        <w:gridCol w:w="6886"/>
      </w:tblGrid>
      <w:tr>
        <w:trPr/>
        <w:tc>
          <w:tcPr>
            <w:tcW w:w="6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372610" cy="175260"/>
                      <wp:effectExtent l="0" t="0" r="0" b="0"/>
                      <wp:wrapNone/>
                      <wp:docPr id="1" name="Frame1"/>
                      <a:graphic xmlns:a="http://schemas.openxmlformats.org/drawingml/2006/main">
                        <a:graphicData uri="http://schemas.microsoft.com/office/word/2010/wordprocessingShape">
                          <wps:wsp>
                            <wps:cNvSpPr txBox="1"/>
                            <wps:spPr>
                              <a:xfrm>
                                <a:off x="0" y="0"/>
                                <a:ext cx="437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36"/>
              </w:rPr>
            </w:pPr>
            <w:r>
              <w:rPr>
                <w:rFonts w:ascii="Times New Roman;Times;serif" w:hAnsi="Times New Roman;Times;serif"/>
                <w:b/>
                <w:sz w:val="36"/>
              </w:rPr>
              <w:t>NETEASE, INC.</w:t>
            </w:r>
          </w:p>
        </w:tc>
      </w:tr>
      <w:tr>
        <w:trPr/>
        <w:tc>
          <w:tcPr>
            <w:tcW w:w="688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c>
      </w:tr>
      <w:tr>
        <w:trPr/>
        <w:tc>
          <w:tcPr>
            <w:tcW w:w="6886" w:type="dxa"/>
            <w:tcBorders/>
            <w:shd w:fill="auto" w:val="clear"/>
            <w:vAlign w:val="center"/>
          </w:tcPr>
          <w:p>
            <w:pPr>
              <w:pStyle w:val="TableContents"/>
              <w:spacing w:before="0" w:after="0"/>
              <w:ind w:left="0" w:right="0" w:hanging="0"/>
              <w:jc w:val="center"/>
              <w:rPr/>
            </w:pPr>
            <w:r>
              <w:rPr/>
              <w:t>​</w:t>
            </w:r>
          </w:p>
        </w:tc>
      </w:tr>
      <w:tr>
        <w:trPr/>
        <w:tc>
          <w:tcPr>
            <w:tcW w:w="6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88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(Translation of Registrant’s name into English)</w:t>
            </w:r>
          </w:p>
        </w:tc>
      </w:tr>
      <w:tr>
        <w:trPr/>
        <w:tc>
          <w:tcPr>
            <w:tcW w:w="6886" w:type="dxa"/>
            <w:tcBorders/>
            <w:shd w:fill="auto" w:val="clear"/>
            <w:vAlign w:val="center"/>
          </w:tcPr>
          <w:p>
            <w:pPr>
              <w:pStyle w:val="TableContents"/>
              <w:spacing w:before="0" w:after="0"/>
              <w:ind w:left="0" w:right="0" w:hanging="0"/>
              <w:jc w:val="center"/>
              <w:rPr/>
            </w:pPr>
            <w:r>
              <w:rPr/>
              <w:t>​</w:t>
            </w:r>
          </w:p>
        </w:tc>
      </w:tr>
      <w:tr>
        <w:trPr/>
        <w:tc>
          <w:tcPr>
            <w:tcW w:w="6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r>
      <w:tr>
        <w:trPr/>
        <w:tc>
          <w:tcPr>
            <w:tcW w:w="688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(Jurisdiction of incorporation or organization)</w:t>
            </w:r>
          </w:p>
        </w:tc>
      </w:tr>
      <w:tr>
        <w:trPr/>
        <w:tc>
          <w:tcPr>
            <w:tcW w:w="6886" w:type="dxa"/>
            <w:tcBorders/>
            <w:shd w:fill="auto" w:val="clear"/>
            <w:vAlign w:val="center"/>
          </w:tcPr>
          <w:p>
            <w:pPr>
              <w:pStyle w:val="TableContents"/>
              <w:spacing w:before="0" w:after="0"/>
              <w:ind w:left="0" w:right="0" w:hanging="0"/>
              <w:jc w:val="center"/>
              <w:rPr/>
            </w:pPr>
            <w:r>
              <w:rPr/>
              <w:t>​</w:t>
            </w:r>
          </w:p>
        </w:tc>
      </w:tr>
      <w:tr>
        <w:trPr/>
        <w:tc>
          <w:tcPr>
            <w:tcW w:w="6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NetEase Building, No. 599 Wangshang Road</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Binjiang District, Hangzhou, 310052</w:t>
            </w:r>
            <w:r>
              <w:rPr>
                <w:rFonts w:ascii="Times New Roman;Times;serif" w:hAnsi="Times New Roman;Times;serif"/>
                <w:sz w:val="20"/>
              </w:rPr>
              <w:t xml:space="preserve"> </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tc>
      </w:tr>
      <w:tr>
        <w:trPr/>
        <w:tc>
          <w:tcPr>
            <w:tcW w:w="688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r>
      <w:tr>
        <w:trPr/>
        <w:tc>
          <w:tcPr>
            <w:tcW w:w="6886" w:type="dxa"/>
            <w:tcBorders/>
            <w:shd w:fill="auto" w:val="clear"/>
            <w:vAlign w:val="center"/>
          </w:tcPr>
          <w:p>
            <w:pPr>
              <w:pStyle w:val="TableContents"/>
              <w:spacing w:before="0" w:after="0"/>
              <w:ind w:left="0" w:right="0" w:hanging="0"/>
              <w:jc w:val="center"/>
              <w:rPr/>
            </w:pPr>
            <w:r>
              <w:rPr/>
              <w:t>​</w:t>
            </w:r>
          </w:p>
        </w:tc>
      </w:tr>
      <w:tr>
        <w:trPr/>
        <w:tc>
          <w:tcPr>
            <w:tcW w:w="6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Charles Zhaoxuan Yang</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NetEase Building, No. 599 Wangshang Road</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Binjiang District, Hangzhou, 310052</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Phone (86</w:t>
            </w:r>
            <w:r>
              <w:rPr>
                <w:rFonts w:ascii="Times New Roman;Times;serif" w:hAnsi="Times New Roman;Times;serif"/>
                <w:sz w:val="20"/>
              </w:rPr>
              <w:t xml:space="preserve"> </w:t>
            </w:r>
            <w:r>
              <w:rPr>
                <w:rFonts w:ascii="Times New Roman;Times;serif" w:hAnsi="Times New Roman;Times;serif"/>
                <w:b/>
                <w:sz w:val="18"/>
              </w:rPr>
              <w:t>571) 8985-3378</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ir@service.netease.com</w:t>
            </w:r>
          </w:p>
        </w:tc>
      </w:tr>
      <w:tr>
        <w:trPr/>
        <w:tc>
          <w:tcPr>
            <w:tcW w:w="688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(Name, Telephone, E-mail and/or Facsimile number and Address of Company Contact Person)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registered or to be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39" w:name="Tc_7oe7gWw0DUCfOLKTy72IBQ_3_2"/>
      <w:bookmarkStart w:id="40" w:name="Tc_1aUzdM5UhUmVw92sxcLdXQ_3_1"/>
      <w:bookmarkStart w:id="41" w:name="Tc_Da62rQd1nEK5NtKsBVCdIQ_3_0"/>
      <w:bookmarkStart w:id="42" w:name="Tc_KkaY6fyMfEG6GpQ-gdB5RA_2_2"/>
      <w:bookmarkStart w:id="43" w:name="Tc_IGgozEvYKkakL1yNaxR66Q_2_0"/>
      <w:bookmarkStart w:id="44" w:name="Tc_OgubuzTWU0mIs2EYri-7iA_0_2"/>
      <w:bookmarkStart w:id="45" w:name="Tc_iz_NaVNx-0S9ZQgxDQSDHQ_0_1"/>
      <w:bookmarkStart w:id="46" w:name="Tc_BOpNhv23rk6-htvJ7yWd0g_0_0"/>
      <w:bookmarkStart w:id="47" w:name="_e06e1d0c_92b0_412d_a49b_692729ba6a5c"/>
      <w:bookmarkStart w:id="48" w:name="Tc_7oe7gWw0DUCfOLKTy72IBQ_3_2"/>
      <w:bookmarkStart w:id="49" w:name="Tc_1aUzdM5UhUmVw92sxcLdXQ_3_1"/>
      <w:bookmarkStart w:id="50" w:name="Tc_Da62rQd1nEK5NtKsBVCdIQ_3_0"/>
      <w:bookmarkStart w:id="51" w:name="Tc_KkaY6fyMfEG6GpQ-gdB5RA_2_2"/>
      <w:bookmarkStart w:id="52" w:name="Tc_IGgozEvYKkakL1yNaxR66Q_2_0"/>
      <w:bookmarkStart w:id="53" w:name="Tc_OgubuzTWU0mIs2EYri-7iA_0_2"/>
      <w:bookmarkStart w:id="54" w:name="Tc_iz_NaVNx-0S9ZQgxDQSDHQ_0_1"/>
      <w:bookmarkStart w:id="55" w:name="Tc_BOpNhv23rk6-htvJ7yWd0g_0_0"/>
      <w:bookmarkStart w:id="56" w:name="_e06e1d0c_92b0_412d_a49b_692729ba6a5c"/>
      <w:bookmarkEnd w:id="48"/>
      <w:bookmarkEnd w:id="49"/>
      <w:bookmarkEnd w:id="50"/>
      <w:bookmarkEnd w:id="51"/>
      <w:bookmarkEnd w:id="52"/>
      <w:bookmarkEnd w:id="53"/>
      <w:bookmarkEnd w:id="54"/>
      <w:bookmarkEnd w:id="55"/>
      <w:bookmarkEnd w:id="56"/>
    </w:p>
    <w:tbl>
      <w:tblPr>
        <w:tblW w:w="10205" w:type="dxa"/>
        <w:jc w:val="left"/>
        <w:tblInd w:w="0" w:type="dxa"/>
        <w:tblCellMar>
          <w:top w:w="0" w:type="dxa"/>
          <w:left w:w="0" w:type="dxa"/>
          <w:bottom w:w="28" w:type="dxa"/>
          <w:right w:w="0" w:type="dxa"/>
        </w:tblCellMar>
      </w:tblPr>
      <w:tblGrid>
        <w:gridCol w:w="6043"/>
        <w:gridCol w:w="1279"/>
        <w:gridCol w:w="2883"/>
      </w:tblGrid>
      <w:tr>
        <w:trPr/>
        <w:tc>
          <w:tcPr>
            <w:tcW w:w="6043"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279"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2883"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6043"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American Depositary Shares, each representing 5 ordinary shares, par value US$0.0001 per share</w:t>
            </w:r>
          </w:p>
        </w:tc>
        <w:tc>
          <w:tcPr>
            <w:tcW w:w="1279"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NTES</w:t>
            </w:r>
          </w:p>
        </w:tc>
        <w:tc>
          <w:tcPr>
            <w:tcW w:w="2883"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NASDAQ Global Select Market</w:t>
            </w:r>
          </w:p>
        </w:tc>
      </w:tr>
      <w:tr>
        <w:trPr/>
        <w:tc>
          <w:tcPr>
            <w:tcW w:w="6043" w:type="dxa"/>
            <w:tcBorders/>
            <w:shd w:fill="auto" w:val="clear"/>
            <w:tcMar>
              <w:bottom w:w="0" w:type="dxa"/>
            </w:tcMar>
            <w:vAlign w:val="center"/>
          </w:tcPr>
          <w:p>
            <w:pPr>
              <w:pStyle w:val="TableContents"/>
              <w:spacing w:before="0" w:after="0"/>
              <w:ind w:left="0" w:right="0" w:hanging="0"/>
              <w:jc w:val="center"/>
              <w:rPr/>
            </w:pPr>
            <w:r>
              <w:rPr/>
              <w:t>​</w:t>
            </w:r>
            <w:r>
              <w:rPr>
                <w:rFonts w:ascii="Times New Roman;Times;serif" w:hAnsi="Times New Roman;Times;serif"/>
                <w:b/>
                <w:sz w:val="18"/>
              </w:rPr>
              <w:br/>
              <w:t>Ordinary shares, par value US$0.0001 per share*</w:t>
            </w:r>
          </w:p>
          <w:p>
            <w:pPr>
              <w:pStyle w:val="TableContents"/>
              <w:spacing w:before="0" w:after="0"/>
              <w:ind w:left="0" w:right="0" w:hanging="0"/>
              <w:jc w:val="center"/>
              <w:rPr/>
            </w:pPr>
            <w:r>
              <w:rPr/>
              <w:t>​</w:t>
            </w:r>
          </w:p>
        </w:tc>
        <w:tc>
          <w:tcPr>
            <w:tcW w:w="1279" w:type="dxa"/>
            <w:tcBorders/>
            <w:shd w:fill="auto" w:val="clear"/>
            <w:tcMar>
              <w:bottom w:w="0" w:type="dxa"/>
            </w:tcMar>
            <w:vAlign w:val="center"/>
          </w:tcPr>
          <w:p>
            <w:pPr>
              <w:pStyle w:val="TableContents"/>
              <w:spacing w:before="0" w:after="0"/>
              <w:ind w:left="0" w:right="0" w:hanging="0"/>
              <w:jc w:val="center"/>
              <w:rPr/>
            </w:pPr>
            <w:r>
              <w:rPr/>
              <w:t>​</w:t>
            </w:r>
          </w:p>
        </w:tc>
        <w:tc>
          <w:tcPr>
            <w:tcW w:w="2883" w:type="dxa"/>
            <w:tcBorders/>
            <w:shd w:fill="auto" w:val="clear"/>
            <w:tcMar>
              <w:bottom w:w="0" w:type="dxa"/>
            </w:tcMar>
            <w:vAlign w:val="center"/>
          </w:tcPr>
          <w:p>
            <w:pPr>
              <w:pStyle w:val="TableContents"/>
              <w:spacing w:before="0" w:after="0"/>
              <w:ind w:left="0" w:right="0" w:hanging="0"/>
              <w:jc w:val="center"/>
              <w:rPr/>
            </w:pPr>
            <w:r>
              <w:rPr/>
              <w:t>​</w:t>
            </w:r>
            <w:r>
              <w:rPr>
                <w:rFonts w:ascii="Times New Roman;Times;serif" w:hAnsi="Times New Roman;Times;serif"/>
                <w:b/>
                <w:sz w:val="18"/>
              </w:rPr>
              <w:br/>
              <w:t>NASDAQ Global Select Market*</w:t>
            </w:r>
          </w:p>
          <w:p>
            <w:pPr>
              <w:pStyle w:val="TableContents"/>
              <w:spacing w:before="0" w:after="0"/>
              <w:ind w:left="0" w:right="0" w:hanging="0"/>
              <w:jc w:val="center"/>
              <w:rPr/>
            </w:pPr>
            <w:r>
              <w:rPr/>
              <w:t>​</w:t>
            </w:r>
          </w:p>
        </w:tc>
      </w:tr>
      <w:tr>
        <w:trPr/>
        <w:tc>
          <w:tcPr>
            <w:tcW w:w="604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Ordinary shares, par value US$0.0001 per share</w:t>
            </w:r>
          </w:p>
        </w:tc>
        <w:tc>
          <w:tcPr>
            <w:tcW w:w="1279"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9999</w:t>
            </w:r>
          </w:p>
        </w:tc>
        <w:tc>
          <w:tcPr>
            <w:tcW w:w="288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The Stock Exchange of Hong Kong Limited</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*Not for trading, but only in connection with the listing of American depositary shares on the NASDAQ Global Select Market.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registered or to be registered pursuant to Section 12(g) of the Act:</w:t>
      </w:r>
    </w:p>
    <w:p>
      <w:pPr>
        <w:pStyle w:val="TextBody"/>
        <w:spacing w:before="0" w:after="0"/>
        <w:ind w:left="0" w:right="0" w:hanging="0"/>
        <w:rPr/>
      </w:pPr>
      <w:r>
        <w:rPr/>
        <w:t>​</w:t>
      </w:r>
    </w:p>
    <w:tbl>
      <w:tblPr>
        <w:tblW w:w="1231" w:type="dxa"/>
        <w:jc w:val="left"/>
        <w:tblInd w:w="0" w:type="dxa"/>
        <w:tblCellMar>
          <w:top w:w="0" w:type="dxa"/>
          <w:left w:w="0" w:type="dxa"/>
          <w:bottom w:w="28" w:type="dxa"/>
          <w:right w:w="0" w:type="dxa"/>
        </w:tblCellMar>
      </w:tblPr>
      <w:tblGrid>
        <w:gridCol w:w="1231"/>
      </w:tblGrid>
      <w:tr>
        <w:trPr/>
        <w:tc>
          <w:tcPr>
            <w:tcW w:w="12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tc>
      </w:tr>
      <w:tr>
        <w:trPr/>
        <w:tc>
          <w:tcPr>
            <w:tcW w:w="123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(Title of Class)</w:t>
            </w:r>
          </w:p>
        </w:tc>
      </w:tr>
    </w:tbl>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for which there is a reporting obligation pursuant to Section 15(d) of the Act:</w:t>
      </w:r>
    </w:p>
    <w:p>
      <w:pPr>
        <w:pStyle w:val="TextBody"/>
        <w:spacing w:before="0" w:after="0"/>
        <w:ind w:left="0" w:right="0" w:hanging="0"/>
        <w:rPr/>
      </w:pPr>
      <w:r>
        <w:rPr/>
        <w:t>​</w:t>
      </w:r>
    </w:p>
    <w:tbl>
      <w:tblPr>
        <w:tblW w:w="1231" w:type="dxa"/>
        <w:jc w:val="left"/>
        <w:tblInd w:w="0" w:type="dxa"/>
        <w:tblCellMar>
          <w:top w:w="0" w:type="dxa"/>
          <w:left w:w="0" w:type="dxa"/>
          <w:bottom w:w="0" w:type="dxa"/>
          <w:right w:w="0" w:type="dxa"/>
        </w:tblCellMar>
      </w:tblPr>
      <w:tblGrid>
        <w:gridCol w:w="1231"/>
      </w:tblGrid>
      <w:tr>
        <w:trPr/>
        <w:tc>
          <w:tcPr>
            <w:tcW w:w="123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r>
      <w:tr>
        <w:trPr/>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tc>
      </w:tr>
      <w:tr>
        <w:trPr/>
        <w:tc>
          <w:tcPr>
            <w:tcW w:w="12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(Title of Class)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w:t>
      </w:r>
    </w:p>
    <w:tbl>
      <w:tblPr>
        <w:tblW w:w="4790" w:type="dxa"/>
        <w:jc w:val="left"/>
        <w:tblInd w:w="0" w:type="dxa"/>
        <w:tblCellMar>
          <w:top w:w="0" w:type="dxa"/>
          <w:left w:w="0" w:type="dxa"/>
          <w:bottom w:w="0" w:type="dxa"/>
          <w:right w:w="0" w:type="dxa"/>
        </w:tblCellMar>
      </w:tblPr>
      <w:tblGrid>
        <w:gridCol w:w="124"/>
        <w:gridCol w:w="4666"/>
      </w:tblGrid>
      <w:tr>
        <w:trPr/>
        <w:tc>
          <w:tcPr>
            <w:tcW w:w="124" w:type="dxa"/>
            <w:tcBorders/>
            <w:shd w:fill="auto" w:val="clear"/>
            <w:vAlign w:val="center"/>
          </w:tcPr>
          <w:p>
            <w:pPr>
              <w:pStyle w:val="TableContents"/>
              <w:spacing w:before="0" w:after="0"/>
              <w:ind w:left="0" w:right="0" w:hanging="0"/>
              <w:rPr/>
            </w:pPr>
            <w:r>
              <w:rPr/>
              <w:t>​</w:t>
            </w:r>
          </w:p>
        </w:tc>
        <w:tc>
          <w:tcPr>
            <w:tcW w:w="46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3,223,623,596 ordinary shares, par value US$0.0001 per share.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If this report is an annual or transition report, indicate by check mark if the registrant is not required to file reports pursuant to Section 13 or (15) (d) of the Securities Exchange Act of 1934.</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spacing w:before="0" w:after="0"/>
        <w:ind w:left="0" w:right="0" w:hanging="0"/>
        <w:rPr/>
      </w:pPr>
      <w:r>
        <w:rPr/>
        <w:t>​</w:t>
      </w:r>
    </w:p>
    <w:tbl>
      <w:tblPr>
        <w:tblW w:w="7459" w:type="dxa"/>
        <w:jc w:val="left"/>
        <w:tblInd w:w="0" w:type="dxa"/>
        <w:tblCellMar>
          <w:top w:w="0" w:type="dxa"/>
          <w:left w:w="0" w:type="dxa"/>
          <w:bottom w:w="0" w:type="dxa"/>
          <w:right w:w="0" w:type="dxa"/>
        </w:tblCellMar>
      </w:tblPr>
      <w:tblGrid>
        <w:gridCol w:w="1891"/>
        <w:gridCol w:w="1471"/>
        <w:gridCol w:w="1786"/>
        <w:gridCol w:w="2311"/>
      </w:tblGrid>
      <w:tr>
        <w:trPr/>
        <w:tc>
          <w:tcPr>
            <w:tcW w:w="1891"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c>
          <w:tcPr>
            <w:tcW w:w="178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pPr>
      <w:r>
        <w:rPr/>
        <w:t>​</w:t>
      </w:r>
    </w:p>
    <w:p>
      <w:pPr>
        <w:pStyle w:val="TextBody"/>
        <w:spacing w:before="0" w:after="0"/>
        <w:ind w:left="0" w:right="0" w:hanging="0"/>
        <w:rPr/>
      </w:pPr>
      <w:r>
        <w:rPr/>
        <w:t xml:space="preserve">† </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spacing w:before="0" w:after="0"/>
        <w:ind w:left="0" w:right="0" w:hanging="0"/>
        <w:rPr/>
      </w:pPr>
      <w:r>
        <w:rPr/>
        <w:t>​</w:t>
      </w:r>
    </w:p>
    <w:tbl>
      <w:tblPr>
        <w:tblW w:w="6520" w:type="dxa"/>
        <w:jc w:val="left"/>
        <w:tblInd w:w="0" w:type="dxa"/>
        <w:tblCellMar>
          <w:top w:w="0" w:type="dxa"/>
          <w:left w:w="0" w:type="dxa"/>
          <w:bottom w:w="0" w:type="dxa"/>
          <w:right w:w="0" w:type="dxa"/>
        </w:tblCellMar>
      </w:tblPr>
      <w:tblGrid>
        <w:gridCol w:w="1231"/>
        <w:gridCol w:w="326"/>
        <w:gridCol w:w="3871"/>
        <w:gridCol w:w="326"/>
        <w:gridCol w:w="766"/>
      </w:tblGrid>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r>
      <w:tr>
        <w:trPr/>
        <w:tc>
          <w:tcPr>
            <w:tcW w:w="12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U.S. GAAP</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International Financial Reporting Standards as issued</w:t>
              <w:br/>
              <w:t>by the International Accounting Standards Board ☐</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Other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Item 17 ☐ Item 18</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If this is an annual report, indicate by check mark whether the registrant is a shell company (as defined in Rule 12b-2 of the Exchange Act).</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spacing w:before="0" w:after="0"/>
        <w:ind w:left="0" w:right="0" w:hanging="0"/>
        <w:jc w:val="right"/>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spacing w:before="0" w:after="0"/>
        <w:ind w:left="0" w:right="0" w:hanging="0"/>
        <w:rPr/>
      </w:pPr>
      <w:r>
        <w:rPr/>
        <w:t>​</w:t>
      </w:r>
    </w:p>
    <w:p>
      <w:pPr>
        <w:pStyle w:val="TextBody"/>
        <w:spacing w:before="0" w:after="0"/>
        <w:ind w:left="0" w:right="0" w:hanging="0"/>
        <w:jc w:val="right"/>
        <w:rPr/>
      </w:pPr>
      <w:r>
        <w:rPr/>
        <w:t xml:space="preserve">☐ </w:t>
      </w:r>
      <w:r>
        <w:rPr>
          <w:rFonts w:ascii="Times New Roman;Times;serif" w:hAnsi="Times New Roman;Times;serif"/>
          <w:sz w:val="18"/>
        </w:rPr>
        <w:t>Yes ☐ No</w:t>
      </w:r>
    </w:p>
    <w:p>
      <w:pPr>
        <w:pStyle w:val="TextBody"/>
        <w:spacing w:before="0" w:after="0"/>
        <w:ind w:left="0" w:right="0" w:hanging="0"/>
        <w:jc w:val="right"/>
        <w:rPr/>
      </w:pPr>
      <w:r>
        <w:rPr/>
        <w:t>​</w:t>
      </w:r>
    </w:p>
    <w:p>
      <w:pPr>
        <w:pStyle w:val="TextBody"/>
        <w:pBdr>
          <w:top w:val="single" w:sz="8" w:space="1" w:color="000000"/>
          <w:bottom w:val="single" w:sz="24" w:space="1" w:color="000000"/>
        </w:pBdr>
        <w:spacing w:before="0" w:after="0"/>
        <w:ind w:left="0" w:right="0" w:hanging="0"/>
        <w:jc w:val="right"/>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7" w:name="TOC"/>
      <w:bookmarkStart w:id="58" w:name="_ecc1dfc6_e2a3_4e30_8ebf_94c75b40ba06"/>
      <w:bookmarkEnd w:id="57"/>
      <w:bookmarkEnd w:id="58"/>
      <w:r>
        <w:rPr>
          <w:rFonts w:ascii="Times New Roman;Times;serif" w:hAnsi="Times New Roman;Times;serif"/>
          <w:b/>
          <w:sz w:val="20"/>
        </w:rPr>
        <w:t>TABLE OF CONTENTS</w:t>
      </w:r>
    </w:p>
    <w:tbl>
      <w:tblPr>
        <w:tblW w:w="7788" w:type="dxa"/>
        <w:jc w:val="left"/>
        <w:tblInd w:w="0" w:type="dxa"/>
        <w:tblCellMar>
          <w:top w:w="0" w:type="dxa"/>
          <w:left w:w="0" w:type="dxa"/>
          <w:bottom w:w="0" w:type="dxa"/>
          <w:right w:w="0" w:type="dxa"/>
        </w:tblCellMar>
      </w:tblPr>
      <w:tblGrid>
        <w:gridCol w:w="916"/>
        <w:gridCol w:w="6361"/>
        <w:gridCol w:w="511"/>
      </w:tblGrid>
      <w:tr>
        <w:trPr/>
        <w:tc>
          <w:tcPr>
            <w:tcW w:w="91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1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277" w:type="dxa"/>
            <w:gridSpan w:val="2"/>
            <w:tcBorders/>
            <w:shd w:fill="CCEEFF" w:val="clear"/>
            <w:vAlign w:val="center"/>
          </w:tcPr>
          <w:p>
            <w:pPr>
              <w:pStyle w:val="TableContents"/>
              <w:spacing w:before="0" w:after="0"/>
              <w:ind w:left="0" w:right="0" w:hanging="0"/>
              <w:rPr/>
            </w:pPr>
            <w:hyperlink w:anchor="INTRODUCTION_439907">
              <w:r>
                <w:rPr>
                  <w:rStyle w:val="InternetLink"/>
                  <w:rFonts w:ascii="Times New Roman;Times;serif" w:hAnsi="Times New Roman;Times;serif"/>
                  <w:b w:val="false"/>
                  <w:i w:val="false"/>
                  <w:caps w:val="false"/>
                  <w:smallCaps w:val="false"/>
                  <w:sz w:val="20"/>
                </w:rPr>
                <w:t>INTRODUCTION</w:t>
              </w:r>
            </w:hyperlink>
          </w:p>
        </w:tc>
        <w:tc>
          <w:tcPr>
            <w:tcW w:w="5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1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6" w:type="dxa"/>
            <w:tcBorders/>
            <w:shd w:fill="CCEEFF" w:val="clear"/>
            <w:vAlign w:val="center"/>
          </w:tcPr>
          <w:p>
            <w:pPr>
              <w:pStyle w:val="TableContents"/>
              <w:spacing w:before="0" w:after="0"/>
              <w:ind w:left="0" w:right="0" w:hanging="0"/>
              <w:rPr/>
            </w:pPr>
            <w:hyperlink w:anchor="PARTI_501792">
              <w:r>
                <w:rPr>
                  <w:rStyle w:val="InternetLink"/>
                  <w:rFonts w:ascii="Times New Roman;Times;serif" w:hAnsi="Times New Roman;Times;serif"/>
                  <w:b w:val="false"/>
                  <w:i w:val="false"/>
                  <w:caps w:val="false"/>
                  <w:smallCaps w:val="false"/>
                  <w:sz w:val="20"/>
                </w:rPr>
                <w:t>PART I</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shd w:fill="auto" w:val="clear"/>
            <w:vAlign w:val="center"/>
          </w:tcPr>
          <w:p>
            <w:pPr>
              <w:pStyle w:val="TableContents"/>
              <w:pBdr/>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6" w:type="dxa"/>
            <w:tcBorders/>
            <w:shd w:fill="CCEEFF"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Advisors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shd w:fill="CCEEFF" w:val="clear"/>
            <w:vAlign w:val="center"/>
          </w:tcPr>
          <w:p>
            <w:pPr>
              <w:pStyle w:val="TableContents"/>
              <w:spacing w:before="0" w:after="0"/>
              <w:ind w:left="0" w:right="0" w:hanging="0"/>
              <w:rPr/>
            </w:pPr>
            <w:hyperlink w:anchor="Item3KeyInformation_2356">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3KeyInformation_2356">
              <w:r>
                <w:rPr>
                  <w:rStyle w:val="InternetLink"/>
                  <w:rFonts w:ascii="Times New Roman;Times;serif" w:hAnsi="Times New Roman;Times;serif"/>
                  <w:b w:val="false"/>
                  <w:i w:val="false"/>
                  <w:caps w:val="false"/>
                  <w:smallCaps w:val="false"/>
                  <w:sz w:val="20"/>
                </w:rPr>
                <w:t>Key Information</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shd w:fill="auto" w:val="clear"/>
            <w:vAlign w:val="center"/>
          </w:tcPr>
          <w:p>
            <w:pPr>
              <w:pStyle w:val="TableContents"/>
              <w:spacing w:before="0" w:after="0"/>
              <w:ind w:left="0" w:right="0" w:hanging="0"/>
              <w:rPr/>
            </w:pPr>
            <w:hyperlink w:anchor="Item4InformationontheCompany_628867">
              <w:r>
                <w:rPr>
                  <w:rStyle w:val="InternetLink"/>
                  <w:rFonts w:ascii="Times New Roman;Times;serif" w:hAnsi="Times New Roman;Times;serif"/>
                  <w:b w:val="false"/>
                  <w:i w:val="false"/>
                  <w:caps w:val="false"/>
                  <w:smallCaps w:val="false"/>
                  <w:sz w:val="20"/>
                </w:rPr>
                <w:t>Item 4.</w:t>
              </w:r>
            </w:hyperlink>
          </w:p>
        </w:tc>
        <w:tc>
          <w:tcPr>
            <w:tcW w:w="6361" w:type="dxa"/>
            <w:tcBorders/>
            <w:shd w:fill="auto" w:val="clear"/>
            <w:vAlign w:val="center"/>
          </w:tcPr>
          <w:p>
            <w:pPr>
              <w:pStyle w:val="TableContents"/>
              <w:spacing w:before="0" w:after="0"/>
              <w:ind w:left="0" w:right="0" w:hanging="0"/>
              <w:rPr/>
            </w:pPr>
            <w:hyperlink w:anchor="Item4InformationontheCompany_628867">
              <w:r>
                <w:rPr>
                  <w:rStyle w:val="InternetLink"/>
                  <w:rFonts w:ascii="Times New Roman;Times;serif" w:hAnsi="Times New Roman;Times;serif"/>
                  <w:b w:val="false"/>
                  <w:i w:val="false"/>
                  <w:caps w:val="false"/>
                  <w:smallCaps w:val="false"/>
                  <w:sz w:val="20"/>
                </w:rPr>
                <w:t>Information on the Company</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916" w:type="dxa"/>
            <w:tcBorders/>
            <w:shd w:fill="CCEEFF"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16"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916" w:type="dxa"/>
            <w:tcBorders/>
            <w:shd w:fill="CCEEFF"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16" w:type="dxa"/>
            <w:tcBorders/>
            <w:shd w:fill="auto" w:val="clear"/>
            <w:vAlign w:val="center"/>
          </w:tcPr>
          <w:p>
            <w:pPr>
              <w:pStyle w:val="TableContents"/>
              <w:spacing w:before="0" w:after="0"/>
              <w:ind w:left="0" w:right="0" w:hanging="0"/>
              <w:rPr/>
            </w:pPr>
            <w:hyperlink w:anchor="Item8FinancialInformation_197711">
              <w:r>
                <w:rPr>
                  <w:rStyle w:val="InternetLink"/>
                  <w:rFonts w:ascii="Times New Roman;Times;serif" w:hAnsi="Times New Roman;Times;serif"/>
                  <w:b w:val="false"/>
                  <w:i w:val="false"/>
                  <w:caps w:val="false"/>
                  <w:smallCaps w:val="false"/>
                  <w:sz w:val="20"/>
                </w:rPr>
                <w:t>Item 8</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8FinancialInformation_197711">
              <w:r>
                <w:rPr>
                  <w:rStyle w:val="InternetLink"/>
                  <w:rFonts w:ascii="Times New Roman;Times;serif" w:hAnsi="Times New Roman;Times;serif"/>
                  <w:b w:val="false"/>
                  <w:i w:val="false"/>
                  <w:caps w:val="false"/>
                  <w:smallCaps w:val="false"/>
                  <w:sz w:val="20"/>
                </w:rPr>
                <w:t>Financial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916" w:type="dxa"/>
            <w:tcBorders/>
            <w:shd w:fill="CCEEFF" w:val="clear"/>
            <w:vAlign w:val="center"/>
          </w:tcPr>
          <w:p>
            <w:pPr>
              <w:pStyle w:val="TableContents"/>
              <w:spacing w:before="0" w:after="0"/>
              <w:ind w:left="0" w:right="0" w:hanging="0"/>
              <w:rPr/>
            </w:pPr>
            <w:hyperlink w:anchor="Item9TheOfferandListing_212738">
              <w:r>
                <w:rPr>
                  <w:rStyle w:val="InternetLink"/>
                  <w:rFonts w:ascii="Times New Roman;Times;serif" w:hAnsi="Times New Roman;Times;serif"/>
                  <w:b w:val="false"/>
                  <w:i w:val="false"/>
                  <w:caps w:val="false"/>
                  <w:smallCaps w:val="false"/>
                  <w:sz w:val="20"/>
                </w:rPr>
                <w:t>Item 9</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9TheOfferandListing_212738">
              <w:r>
                <w:rPr>
                  <w:rStyle w:val="InternetLink"/>
                  <w:rFonts w:ascii="Times New Roman;Times;serif" w:hAnsi="Times New Roman;Times;serif"/>
                  <w:b w:val="false"/>
                  <w:i w:val="false"/>
                  <w:caps w:val="false"/>
                  <w:smallCaps w:val="false"/>
                  <w:sz w:val="20"/>
                </w:rPr>
                <w:t>The Offer and Listing</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916" w:type="dxa"/>
            <w:tcBorders/>
            <w:shd w:fill="auto" w:val="clear"/>
            <w:vAlign w:val="center"/>
          </w:tcPr>
          <w:p>
            <w:pPr>
              <w:pStyle w:val="TableContents"/>
              <w:spacing w:before="0" w:after="0"/>
              <w:ind w:left="0" w:right="0" w:hanging="0"/>
              <w:rPr/>
            </w:pPr>
            <w:hyperlink w:anchor="Item10AdditionalInformation_69482">
              <w:r>
                <w:rPr>
                  <w:rStyle w:val="InternetLink"/>
                  <w:rFonts w:ascii="Times New Roman;Times;serif" w:hAnsi="Times New Roman;Times;serif"/>
                  <w:b w:val="false"/>
                  <w:i w:val="false"/>
                  <w:caps w:val="false"/>
                  <w:smallCaps w:val="false"/>
                  <w:sz w:val="20"/>
                </w:rPr>
                <w:t>Item 10</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10AdditionalInformation_69482">
              <w:r>
                <w:rPr>
                  <w:rStyle w:val="InternetLink"/>
                  <w:rFonts w:ascii="Times New Roman;Times;serif" w:hAnsi="Times New Roman;Times;serif"/>
                  <w:b w:val="false"/>
                  <w:i w:val="false"/>
                  <w:caps w:val="false"/>
                  <w:smallCaps w:val="false"/>
                  <w:sz w:val="20"/>
                </w:rPr>
                <w:t>Additional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916" w:type="dxa"/>
            <w:tcBorders/>
            <w:shd w:fill="CCEEFF"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916" w:type="dxa"/>
            <w:tcBorders/>
            <w:shd w:fill="CCEEFF" w:val="clear"/>
            <w:vAlign w:val="center"/>
          </w:tcPr>
          <w:p>
            <w:pPr>
              <w:pStyle w:val="TableContents"/>
              <w:spacing w:before="0" w:after="0"/>
              <w:ind w:left="0" w:right="0" w:hanging="0"/>
              <w:rPr/>
            </w:pPr>
            <w:r>
              <w:rPr/>
              <w:t>​</w:t>
            </w:r>
          </w:p>
        </w:tc>
        <w:tc>
          <w:tcPr>
            <w:tcW w:w="6361"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r>
      <w:tr>
        <w:trPr/>
        <w:tc>
          <w:tcPr>
            <w:tcW w:w="916" w:type="dxa"/>
            <w:tcBorders/>
            <w:shd w:fill="auto" w:val="clear"/>
            <w:vAlign w:val="center"/>
          </w:tcPr>
          <w:p>
            <w:pPr>
              <w:pStyle w:val="TableContents"/>
              <w:spacing w:before="0" w:after="0"/>
              <w:ind w:left="0" w:right="0" w:hanging="0"/>
              <w:rPr/>
            </w:pPr>
            <w:hyperlink w:anchor="PARTII_489037">
              <w:r>
                <w:rPr>
                  <w:rStyle w:val="InternetLink"/>
                  <w:rFonts w:ascii="Times New Roman;Times;serif" w:hAnsi="Times New Roman;Times;serif"/>
                  <w:b w:val="false"/>
                  <w:i w:val="false"/>
                  <w:caps w:val="false"/>
                  <w:smallCaps w:val="false"/>
                  <w:sz w:val="20"/>
                </w:rPr>
                <w:t>PART II</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CCEEFF" w:val="clear"/>
            <w:vAlign w:val="center"/>
          </w:tcPr>
          <w:p>
            <w:pPr>
              <w:pStyle w:val="TableContents"/>
              <w:pBdr/>
              <w:spacing w:before="0" w:after="0"/>
              <w:ind w:left="0" w:right="0" w:hanging="0"/>
              <w:rPr/>
            </w:pPr>
            <w:r>
              <w:rPr/>
              <w:t>​</w:t>
            </w:r>
          </w:p>
        </w:tc>
        <w:tc>
          <w:tcPr>
            <w:tcW w:w="6361"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r>
      <w:tr>
        <w:trPr/>
        <w:tc>
          <w:tcPr>
            <w:tcW w:w="916"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CCEEFF"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auto" w:val="clear"/>
            <w:vAlign w:val="center"/>
          </w:tcPr>
          <w:p>
            <w:pPr>
              <w:pStyle w:val="TableContents"/>
              <w:spacing w:before="0" w:after="0"/>
              <w:ind w:left="0" w:right="0" w:hanging="0"/>
              <w:rPr/>
            </w:pPr>
            <w:hyperlink w:anchor="Item15ControlsandProcedures_447054">
              <w:r>
                <w:rPr>
                  <w:rStyle w:val="InternetLink"/>
                  <w:rFonts w:ascii="Times New Roman;Times;serif" w:hAnsi="Times New Roman;Times;serif"/>
                  <w:b w:val="false"/>
                  <w:i w:val="false"/>
                  <w:caps w:val="false"/>
                  <w:smallCaps w:val="false"/>
                  <w:sz w:val="20"/>
                </w:rPr>
                <w:t>Item 15</w:t>
              </w:r>
            </w:hyperlink>
            <w:r>
              <w:rPr>
                <w:rFonts w:ascii="Times New Roman;Times;serif" w:hAnsi="Times New Roman;Times;serif"/>
                <w:sz w:val="20"/>
              </w:rPr>
              <w:t>.</w:t>
            </w:r>
          </w:p>
        </w:tc>
        <w:tc>
          <w:tcPr>
            <w:tcW w:w="6361" w:type="dxa"/>
            <w:tcBorders/>
            <w:shd w:fill="auto" w:val="clear"/>
            <w:vAlign w:val="center"/>
          </w:tcPr>
          <w:p>
            <w:pPr>
              <w:pStyle w:val="TableContents"/>
              <w:spacing w:before="0" w:after="0"/>
              <w:ind w:left="0" w:right="0" w:hanging="0"/>
              <w:rPr/>
            </w:pPr>
            <w:hyperlink w:anchor="Item15ControlsandProcedures_447054">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CCEEFF" w:val="clear"/>
            <w:vAlign w:val="center"/>
          </w:tcPr>
          <w:p>
            <w:pPr>
              <w:pStyle w:val="TableContents"/>
              <w:spacing w:before="0" w:after="0"/>
              <w:ind w:left="0" w:right="0" w:hanging="0"/>
              <w:rPr/>
            </w:pPr>
            <w:hyperlink w:anchor="Item16AAuditCommitteeFinancialExpert_670">
              <w:r>
                <w:rPr>
                  <w:rStyle w:val="InternetLink"/>
                  <w:rFonts w:ascii="Times New Roman;Times;serif" w:hAnsi="Times New Roman;Times;serif"/>
                  <w:b w:val="false"/>
                  <w:i w:val="false"/>
                  <w:caps w:val="false"/>
                  <w:smallCaps w:val="false"/>
                  <w:sz w:val="20"/>
                </w:rPr>
                <w:t>Item 16A.</w:t>
              </w:r>
            </w:hyperlink>
          </w:p>
        </w:tc>
        <w:tc>
          <w:tcPr>
            <w:tcW w:w="6361" w:type="dxa"/>
            <w:tcBorders/>
            <w:shd w:fill="CCEEFF" w:val="clear"/>
            <w:vAlign w:val="center"/>
          </w:tcPr>
          <w:p>
            <w:pPr>
              <w:pStyle w:val="TableContents"/>
              <w:spacing w:before="0" w:after="0"/>
              <w:ind w:left="0" w:right="0" w:hanging="0"/>
              <w:rPr/>
            </w:pPr>
            <w:hyperlink w:anchor="Item16AAuditCommitteeFinancialExpert_670">
              <w:r>
                <w:rPr>
                  <w:rStyle w:val="InternetLink"/>
                  <w:rFonts w:ascii="Times New Roman;Times;serif" w:hAnsi="Times New Roman;Times;serif"/>
                  <w:b w:val="false"/>
                  <w:i w:val="false"/>
                  <w:caps w:val="false"/>
                  <w:smallCaps w:val="false"/>
                  <w:sz w:val="20"/>
                </w:rPr>
                <w:t>Audit Committee Financial Expert</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auto" w:val="clear"/>
            <w:vAlign w:val="center"/>
          </w:tcPr>
          <w:p>
            <w:pPr>
              <w:pStyle w:val="TableContents"/>
              <w:spacing w:before="0" w:after="0"/>
              <w:ind w:left="0" w:right="0" w:hanging="0"/>
              <w:rPr/>
            </w:pPr>
            <w:hyperlink w:anchor="Item16BCodeofEthics_580028">
              <w:r>
                <w:rPr>
                  <w:rStyle w:val="InternetLink"/>
                  <w:rFonts w:ascii="Times New Roman;Times;serif" w:hAnsi="Times New Roman;Times;serif"/>
                  <w:b w:val="false"/>
                  <w:i w:val="false"/>
                  <w:caps w:val="false"/>
                  <w:smallCaps w:val="false"/>
                  <w:sz w:val="20"/>
                </w:rPr>
                <w:t>Item 16B.</w:t>
              </w:r>
            </w:hyperlink>
          </w:p>
        </w:tc>
        <w:tc>
          <w:tcPr>
            <w:tcW w:w="6361" w:type="dxa"/>
            <w:tcBorders/>
            <w:shd w:fill="auto" w:val="clear"/>
            <w:vAlign w:val="center"/>
          </w:tcPr>
          <w:p>
            <w:pPr>
              <w:pStyle w:val="TableContents"/>
              <w:spacing w:before="0" w:after="0"/>
              <w:ind w:left="0" w:right="0" w:hanging="0"/>
              <w:rPr/>
            </w:pPr>
            <w:hyperlink w:anchor="Item16BCodeofEthics_580028">
              <w:r>
                <w:rPr>
                  <w:rStyle w:val="InternetLink"/>
                  <w:rFonts w:ascii="Times New Roman;Times;serif" w:hAnsi="Times New Roman;Times;serif"/>
                  <w:b w:val="false"/>
                  <w:i w:val="false"/>
                  <w:caps w:val="false"/>
                  <w:smallCaps w:val="false"/>
                  <w:sz w:val="20"/>
                </w:rPr>
                <w:t>Code of Ethics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CCEEFF"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shd w:fill="CCEEFF"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916" w:type="dxa"/>
            <w:tcBorders/>
            <w:shd w:fill="auto" w:val="clear"/>
            <w:vAlign w:val="center"/>
          </w:tcPr>
          <w:p>
            <w:pPr>
              <w:pStyle w:val="TableContents"/>
              <w:spacing w:before="0" w:after="0"/>
              <w:ind w:left="0" w:right="0" w:hanging="0"/>
              <w:rPr/>
            </w:pPr>
            <w:hyperlink w:anchor="Item16DExemptionsfromtheListing_391120">
              <w:r>
                <w:rPr>
                  <w:rStyle w:val="InternetLink"/>
                  <w:rFonts w:ascii="Times New Roman;Times;serif" w:hAnsi="Times New Roman;Times;serif"/>
                  <w:b w:val="false"/>
                  <w:i w:val="false"/>
                  <w:caps w:val="false"/>
                  <w:smallCaps w:val="false"/>
                  <w:sz w:val="20"/>
                </w:rPr>
                <w:t>Item 16D.</w:t>
              </w:r>
            </w:hyperlink>
          </w:p>
        </w:tc>
        <w:tc>
          <w:tcPr>
            <w:tcW w:w="6361" w:type="dxa"/>
            <w:tcBorders/>
            <w:shd w:fill="auto" w:val="clear"/>
            <w:vAlign w:val="center"/>
          </w:tcPr>
          <w:p>
            <w:pPr>
              <w:pStyle w:val="TableContents"/>
              <w:spacing w:before="0" w:after="0"/>
              <w:ind w:left="0" w:right="0" w:hanging="0"/>
              <w:rPr/>
            </w:pPr>
            <w:hyperlink w:anchor="Item16DExemptionsfromtheListing_391120">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916" w:type="dxa"/>
            <w:tcBorders/>
            <w:shd w:fill="CCEEFF" w:val="clear"/>
            <w:vAlign w:val="center"/>
          </w:tcPr>
          <w:p>
            <w:pPr>
              <w:pStyle w:val="TableContents"/>
              <w:spacing w:before="0" w:after="0"/>
              <w:ind w:left="0" w:right="0" w:hanging="0"/>
              <w:rPr/>
            </w:pPr>
            <w:hyperlink w:anchor="Item16EPurchasesofEquitySecurities_37894">
              <w:r>
                <w:rPr>
                  <w:rStyle w:val="InternetLink"/>
                  <w:rFonts w:ascii="Times New Roman;Times;serif" w:hAnsi="Times New Roman;Times;serif"/>
                  <w:b w:val="false"/>
                  <w:i w:val="false"/>
                  <w:caps w:val="false"/>
                  <w:smallCaps w:val="false"/>
                  <w:sz w:val="20"/>
                </w:rPr>
                <w:t>Item 16E.</w:t>
              </w:r>
            </w:hyperlink>
          </w:p>
        </w:tc>
        <w:tc>
          <w:tcPr>
            <w:tcW w:w="6361" w:type="dxa"/>
            <w:tcBorders/>
            <w:shd w:fill="CCEEFF" w:val="clear"/>
            <w:vAlign w:val="center"/>
          </w:tcPr>
          <w:p>
            <w:pPr>
              <w:pStyle w:val="TableContents"/>
              <w:spacing w:before="0" w:after="0"/>
              <w:ind w:left="0" w:right="0" w:hanging="0"/>
              <w:rPr/>
            </w:pPr>
            <w:hyperlink w:anchor="Item16EPurchasesofEquitySecurities_37894">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916" w:type="dxa"/>
            <w:tcBorders/>
            <w:shd w:fill="auto" w:val="clear"/>
            <w:vAlign w:val="center"/>
          </w:tcPr>
          <w:p>
            <w:pPr>
              <w:pStyle w:val="TableContents"/>
              <w:spacing w:before="0" w:after="0"/>
              <w:ind w:left="0" w:right="0" w:hanging="0"/>
              <w:rPr/>
            </w:pPr>
            <w:hyperlink w:anchor="Item16FChangeinRegistrantsCertifying_900">
              <w:r>
                <w:rPr>
                  <w:rStyle w:val="InternetLink"/>
                  <w:rFonts w:ascii="Times New Roman;Times;serif" w:hAnsi="Times New Roman;Times;serif"/>
                  <w:b w:val="false"/>
                  <w:i w:val="false"/>
                  <w:caps w:val="false"/>
                  <w:smallCaps w:val="false"/>
                  <w:sz w:val="20"/>
                </w:rPr>
                <w:t>Item 16F.</w:t>
              </w:r>
            </w:hyperlink>
          </w:p>
        </w:tc>
        <w:tc>
          <w:tcPr>
            <w:tcW w:w="6361" w:type="dxa"/>
            <w:tcBorders/>
            <w:shd w:fill="auto" w:val="clear"/>
            <w:vAlign w:val="center"/>
          </w:tcPr>
          <w:p>
            <w:pPr>
              <w:pStyle w:val="TableContents"/>
              <w:spacing w:before="0" w:after="0"/>
              <w:ind w:left="0" w:right="0" w:hanging="0"/>
              <w:rPr/>
            </w:pPr>
            <w:hyperlink w:anchor="Item16FChangeinRegistrantsCertifying_900">
              <w:r>
                <w:rPr>
                  <w:rStyle w:val="InternetLink"/>
                  <w:rFonts w:ascii="Times New Roman;Times;serif" w:hAnsi="Times New Roman;Times;serif"/>
                  <w:b w:val="false"/>
                  <w:i w:val="false"/>
                  <w:caps w:val="false"/>
                  <w:smallCaps w:val="false"/>
                  <w:sz w:val="20"/>
                </w:rPr>
                <w:t>Change in Registrant’s Certifying Accountants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916" w:type="dxa"/>
            <w:tcBorders/>
            <w:shd w:fill="CCEEFF" w:val="clear"/>
            <w:vAlign w:val="center"/>
          </w:tcPr>
          <w:p>
            <w:pPr>
              <w:pStyle w:val="TableContents"/>
              <w:spacing w:before="0" w:after="0"/>
              <w:ind w:left="0" w:right="0" w:hanging="0"/>
              <w:rPr/>
            </w:pPr>
            <w:hyperlink w:anchor="Item16GCorporateGovernance_267373">
              <w:r>
                <w:rPr>
                  <w:rStyle w:val="InternetLink"/>
                  <w:rFonts w:ascii="Times New Roman;Times;serif" w:hAnsi="Times New Roman;Times;serif"/>
                  <w:b w:val="false"/>
                  <w:i w:val="false"/>
                  <w:caps w:val="false"/>
                  <w:smallCaps w:val="false"/>
                  <w:sz w:val="20"/>
                </w:rPr>
                <w:t>Item 16G.</w:t>
              </w:r>
            </w:hyperlink>
          </w:p>
        </w:tc>
        <w:tc>
          <w:tcPr>
            <w:tcW w:w="6361" w:type="dxa"/>
            <w:tcBorders/>
            <w:shd w:fill="CCEEFF" w:val="clear"/>
            <w:vAlign w:val="center"/>
          </w:tcPr>
          <w:p>
            <w:pPr>
              <w:pStyle w:val="TableContents"/>
              <w:spacing w:before="0" w:after="0"/>
              <w:ind w:left="0" w:right="0" w:hanging="0"/>
              <w:rPr/>
            </w:pPr>
            <w:hyperlink w:anchor="Item16GCorporateGovernance_267373">
              <w:r>
                <w:rPr>
                  <w:rStyle w:val="InternetLink"/>
                  <w:rFonts w:ascii="Times New Roman;Times;serif" w:hAnsi="Times New Roman;Times;serif"/>
                  <w:b w:val="false"/>
                  <w:i w:val="false"/>
                  <w:caps w:val="false"/>
                  <w:smallCaps w:val="false"/>
                  <w:sz w:val="20"/>
                </w:rPr>
                <w:t>Corporate Governance</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auto" w:val="clear"/>
            <w:vAlign w:val="center"/>
          </w:tcPr>
          <w:p>
            <w:pPr>
              <w:pStyle w:val="TableContents"/>
              <w:spacing w:before="0" w:after="0"/>
              <w:ind w:left="0" w:right="0" w:hanging="0"/>
              <w:rPr/>
            </w:pPr>
            <w:hyperlink w:anchor="Item16HMineSafetyDisclosure_744095">
              <w:r>
                <w:rPr>
                  <w:rStyle w:val="InternetLink"/>
                  <w:rFonts w:ascii="Times New Roman;Times;serif" w:hAnsi="Times New Roman;Times;serif"/>
                  <w:b w:val="false"/>
                  <w:i w:val="false"/>
                  <w:caps w:val="false"/>
                  <w:smallCaps w:val="false"/>
                  <w:sz w:val="20"/>
                </w:rPr>
                <w:t>Item 16H.</w:t>
              </w:r>
            </w:hyperlink>
          </w:p>
        </w:tc>
        <w:tc>
          <w:tcPr>
            <w:tcW w:w="6361" w:type="dxa"/>
            <w:tcBorders/>
            <w:shd w:fill="auto" w:val="clear"/>
            <w:vAlign w:val="center"/>
          </w:tcPr>
          <w:p>
            <w:pPr>
              <w:pStyle w:val="TableContents"/>
              <w:spacing w:before="0" w:after="0"/>
              <w:ind w:left="0" w:right="0" w:hanging="0"/>
              <w:rPr/>
            </w:pPr>
            <w:hyperlink w:anchor="Item16HMineSafetyDisclosure_744095">
              <w:r>
                <w:rPr>
                  <w:rStyle w:val="InternetLink"/>
                  <w:rFonts w:ascii="Times New Roman;Times;serif" w:hAnsi="Times New Roman;Times;serif"/>
                  <w:b w:val="false"/>
                  <w:i w:val="false"/>
                  <w:caps w:val="false"/>
                  <w:smallCaps w:val="false"/>
                  <w:sz w:val="20"/>
                </w:rPr>
                <w:t>Mine Safety Disclosure</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CCEEFF"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6361" w:type="dxa"/>
            <w:tcBorders/>
            <w:shd w:fill="CCEEFF"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6" w:type="dxa"/>
            <w:tcBorders/>
            <w:shd w:fill="CCEEFF" w:val="clear"/>
            <w:vAlign w:val="center"/>
          </w:tcPr>
          <w:p>
            <w:pPr>
              <w:pStyle w:val="TableContents"/>
              <w:spacing w:before="0" w:after="0"/>
              <w:ind w:left="0" w:right="0" w:hanging="0"/>
              <w:rPr/>
            </w:pPr>
            <w:hyperlink w:anchor="PARTIII_277948">
              <w:r>
                <w:rPr>
                  <w:rStyle w:val="InternetLink"/>
                  <w:rFonts w:ascii="Times New Roman;Times;serif" w:hAnsi="Times New Roman;Times;serif"/>
                  <w:b w:val="false"/>
                  <w:i w:val="false"/>
                  <w:caps w:val="false"/>
                  <w:smallCaps w:val="false"/>
                  <w:sz w:val="20"/>
                </w:rPr>
                <w:t>PART III</w:t>
              </w:r>
            </w:hyperlink>
            <w:r>
              <w:rPr>
                <w:rFonts w:ascii="Times New Roman;Times;serif" w:hAnsi="Times New Roman;Times;serif"/>
                <w:sz w:val="20"/>
              </w:rPr>
              <w:t>.</w:t>
            </w:r>
          </w:p>
        </w:tc>
        <w:tc>
          <w:tcPr>
            <w:tcW w:w="6361"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6" w:type="dxa"/>
            <w:tcBorders/>
            <w:shd w:fill="CCEEFF" w:val="clear"/>
            <w:vAlign w:val="center"/>
          </w:tcPr>
          <w:p>
            <w:pPr>
              <w:pStyle w:val="TableContents"/>
              <w:spacing w:before="0" w:after="0"/>
              <w:ind w:left="0" w:right="0" w:hanging="0"/>
              <w:rPr/>
            </w:pPr>
            <w:hyperlink w:anchor="Item17FinancialStatements_687804">
              <w:r>
                <w:rPr>
                  <w:rStyle w:val="InternetLink"/>
                  <w:rFonts w:ascii="Times New Roman;Times;serif" w:hAnsi="Times New Roman;Times;serif"/>
                  <w:b w:val="false"/>
                  <w:i w:val="false"/>
                  <w:caps w:val="false"/>
                  <w:smallCaps w:val="false"/>
                  <w:sz w:val="20"/>
                </w:rPr>
                <w:t>Item 17.</w:t>
              </w:r>
            </w:hyperlink>
          </w:p>
        </w:tc>
        <w:tc>
          <w:tcPr>
            <w:tcW w:w="6361" w:type="dxa"/>
            <w:tcBorders/>
            <w:shd w:fill="CCEEFF" w:val="clear"/>
            <w:vAlign w:val="center"/>
          </w:tcPr>
          <w:p>
            <w:pPr>
              <w:pStyle w:val="TableContents"/>
              <w:spacing w:before="0" w:after="0"/>
              <w:ind w:left="0" w:right="0" w:hanging="0"/>
              <w:rPr/>
            </w:pPr>
            <w:hyperlink w:anchor="Item17FinancialStatements_687804">
              <w:r>
                <w:rPr>
                  <w:rStyle w:val="InternetLink"/>
                  <w:rFonts w:ascii="Times New Roman;Times;serif" w:hAnsi="Times New Roman;Times;serif"/>
                  <w:b w:val="false"/>
                  <w:i w:val="false"/>
                  <w:caps w:val="false"/>
                  <w:smallCaps w:val="false"/>
                  <w:sz w:val="20"/>
                </w:rPr>
                <w:t>Financial Statements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auto" w:val="clear"/>
            <w:vAlign w:val="center"/>
          </w:tcPr>
          <w:p>
            <w:pPr>
              <w:pStyle w:val="TableContents"/>
              <w:spacing w:before="0" w:after="0"/>
              <w:ind w:left="0" w:right="0" w:hanging="0"/>
              <w:rPr/>
            </w:pPr>
            <w:hyperlink w:anchor="Item18FinancialStatements_986144">
              <w:r>
                <w:rPr>
                  <w:rStyle w:val="InternetLink"/>
                  <w:rFonts w:ascii="Times New Roman;Times;serif" w:hAnsi="Times New Roman;Times;serif"/>
                  <w:b w:val="false"/>
                  <w:i w:val="false"/>
                  <w:caps w:val="false"/>
                  <w:smallCaps w:val="false"/>
                  <w:sz w:val="20"/>
                </w:rPr>
                <w:t>Item 18.</w:t>
              </w:r>
            </w:hyperlink>
          </w:p>
        </w:tc>
        <w:tc>
          <w:tcPr>
            <w:tcW w:w="6361" w:type="dxa"/>
            <w:tcBorders/>
            <w:shd w:fill="auto" w:val="clear"/>
            <w:vAlign w:val="center"/>
          </w:tcPr>
          <w:p>
            <w:pPr>
              <w:pStyle w:val="TableContents"/>
              <w:spacing w:before="0" w:after="0"/>
              <w:ind w:left="0" w:right="0" w:hanging="0"/>
              <w:rPr/>
            </w:pPr>
            <w:hyperlink w:anchor="Item18FinancialStatements_986144">
              <w:r>
                <w:rPr>
                  <w:rStyle w:val="InternetLink"/>
                  <w:rFonts w:ascii="Times New Roman;Times;serif" w:hAnsi="Times New Roman;Times;serif"/>
                  <w:b w:val="false"/>
                  <w:i w:val="false"/>
                  <w:caps w:val="false"/>
                  <w:smallCaps w:val="false"/>
                  <w:sz w:val="20"/>
                </w:rPr>
                <w:t>Financial Statements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CCEEFF" w:val="clear"/>
            <w:vAlign w:val="center"/>
          </w:tcPr>
          <w:p>
            <w:pPr>
              <w:pStyle w:val="TableContents"/>
              <w:spacing w:before="0" w:after="0"/>
              <w:ind w:left="0" w:right="0" w:hanging="0"/>
              <w:rPr/>
            </w:pPr>
            <w:hyperlink w:anchor="Item19Exhibits_836195">
              <w:r>
                <w:rPr>
                  <w:rStyle w:val="InternetLink"/>
                  <w:rFonts w:ascii="Times New Roman;Times;serif" w:hAnsi="Times New Roman;Times;serif"/>
                  <w:b w:val="false"/>
                  <w:i w:val="false"/>
                  <w:caps w:val="false"/>
                  <w:smallCaps w:val="false"/>
                  <w:sz w:val="20"/>
                </w:rPr>
                <w:t>Item 19.</w:t>
              </w:r>
            </w:hyperlink>
          </w:p>
        </w:tc>
        <w:tc>
          <w:tcPr>
            <w:tcW w:w="6361" w:type="dxa"/>
            <w:tcBorders/>
            <w:shd w:fill="CCEEFF" w:val="clear"/>
            <w:vAlign w:val="center"/>
          </w:tcPr>
          <w:p>
            <w:pPr>
              <w:pStyle w:val="TableContents"/>
              <w:spacing w:before="0" w:after="0"/>
              <w:ind w:left="0" w:right="0" w:hanging="0"/>
              <w:rPr/>
            </w:pPr>
            <w:hyperlink w:anchor="Item19Exhibits_836195">
              <w:r>
                <w:rPr>
                  <w:rStyle w:val="InternetLink"/>
                  <w:rFonts w:ascii="Times New Roman;Times;serif" w:hAnsi="Times New Roman;Times;serif"/>
                  <w:b w:val="false"/>
                  <w:i w:val="false"/>
                  <w:caps w:val="false"/>
                  <w:smallCaps w:val="false"/>
                  <w:sz w:val="20"/>
                </w:rPr>
                <w:t>Exhibits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9" w:name="INTRODUCTION_439907"/>
      <w:bookmarkStart w:id="60" w:name="_377187df_5ac0_467a_97c4_7fcf04c38ba7"/>
      <w:bookmarkEnd w:id="59"/>
      <w:bookmarkEnd w:id="60"/>
      <w:r>
        <w:rPr>
          <w:rFonts w:ascii="Times New Roman;Times;serif" w:hAnsi="Times New Roman;Times;serif"/>
          <w:b/>
          <w:sz w:val="20"/>
        </w:rPr>
        <w:t>INTRODUCTION</w:t>
      </w:r>
    </w:p>
    <w:p>
      <w:pPr>
        <w:pStyle w:val="TextBody"/>
        <w:spacing w:before="0" w:after="220"/>
        <w:ind w:left="0" w:right="0" w:firstLine="720"/>
        <w:jc w:val="both"/>
        <w:rPr>
          <w:rFonts w:ascii="Times New Roman;Times;serif" w:hAnsi="Times New Roman;Times;serif"/>
          <w:sz w:val="20"/>
        </w:rPr>
      </w:pPr>
      <w:r>
        <w:rPr>
          <w:rFonts w:ascii="Times New Roman;Times;serif" w:hAnsi="Times New Roman;Times;serif"/>
          <w:sz w:val="20"/>
        </w:rPr>
        <w:t>This annual report on Form 20-F includes our audited consolidated financial statements as of December 31, 2021 and 2022 and for the years ended December 31, 2020, 2021 and 2022. Translations in this annual report of amounts from RMB into U.S. dollars for the convenience of the reader were calculated at the noon buying rate of US$1.00: RMB6.8972 on the last trading day of 2022 (December 30, 2022) as set forth in the H.10 statistical release of the U.S. Federal Reserve Board.</w:t>
      </w:r>
    </w:p>
    <w:p>
      <w:pPr>
        <w:pStyle w:val="TextBody"/>
        <w:spacing w:before="0" w:after="220"/>
        <w:ind w:left="0" w:right="0" w:hanging="0"/>
        <w:jc w:val="both"/>
        <w:rPr>
          <w:rFonts w:ascii="Times New Roman;Times;serif" w:hAnsi="Times New Roman;Times;serif"/>
          <w:b/>
          <w:sz w:val="20"/>
        </w:rPr>
      </w:pPr>
      <w:r>
        <w:rPr>
          <w:rFonts w:ascii="Times New Roman;Times;serif" w:hAnsi="Times New Roman;Times;serif"/>
          <w:b/>
          <w:sz w:val="20"/>
        </w:rPr>
        <w:t>Conventions that Apply to This Annual Report on Form 20-F</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Unless the context otherwise requires, references in this annual report on Form 20-F to:</w:t>
      </w:r>
    </w:p>
    <w:tbl>
      <w:tblPr>
        <w:tblW w:w="7637" w:type="dxa"/>
        <w:jc w:val="left"/>
        <w:tblInd w:w="0" w:type="dxa"/>
        <w:tblCellMar>
          <w:top w:w="0" w:type="dxa"/>
          <w:left w:w="0" w:type="dxa"/>
          <w:bottom w:w="0" w:type="dxa"/>
          <w:right w:w="0" w:type="dxa"/>
        </w:tblCellMar>
      </w:tblPr>
      <w:tblGrid>
        <w:gridCol w:w="271"/>
        <w:gridCol w:w="7366"/>
      </w:tblGrid>
      <w:tr>
        <w:trPr/>
        <w:tc>
          <w:tcPr>
            <w:tcW w:w="271" w:type="dxa"/>
            <w:tcBorders/>
            <w:shd w:fill="auto" w:val="clear"/>
            <w:vAlign w:val="center"/>
          </w:tcPr>
          <w:p>
            <w:pPr>
              <w:pStyle w:val="TableContents"/>
              <w:spacing w:before="0" w:after="283"/>
              <w:rPr/>
            </w:pPr>
            <w:r>
              <w:rPr/>
              <w:t>●</w:t>
            </w:r>
          </w:p>
        </w:tc>
        <w:tc>
          <w:tcPr>
            <w:tcW w:w="736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2009 RSU Plan” are to our 2009 Restricted Share Unit Plan adopted in November 2009;</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2019 Share Plan” are to our Amended and Restated 2019 Share Incentive Plan adopted in October 2019 and amended and restated in February 2023;</w:t>
            </w:r>
          </w:p>
        </w:tc>
      </w:tr>
    </w:tbl>
    <w:tbl>
      <w:tblPr>
        <w:tblW w:w="7892" w:type="dxa"/>
        <w:jc w:val="left"/>
        <w:tblInd w:w="0" w:type="dxa"/>
        <w:tblCellMar>
          <w:top w:w="0" w:type="dxa"/>
          <w:left w:w="0" w:type="dxa"/>
          <w:bottom w:w="0" w:type="dxa"/>
          <w:right w:w="0" w:type="dxa"/>
        </w:tblCellMar>
      </w:tblPr>
      <w:tblGrid>
        <w:gridCol w:w="271"/>
        <w:gridCol w:w="7621"/>
      </w:tblGrid>
      <w:tr>
        <w:trPr/>
        <w:tc>
          <w:tcPr>
            <w:tcW w:w="271" w:type="dxa"/>
            <w:tcBorders/>
            <w:shd w:fill="auto" w:val="clear"/>
            <w:vAlign w:val="center"/>
          </w:tcPr>
          <w:p>
            <w:pPr>
              <w:pStyle w:val="TableContents"/>
              <w:spacing w:before="0" w:after="283"/>
              <w:rPr/>
            </w:pPr>
            <w:r>
              <w:rPr/>
              <w:t>●</w:t>
            </w:r>
          </w:p>
        </w:tc>
        <w:tc>
          <w:tcPr>
            <w:tcW w:w="762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the American depositary shares, each of which represents five ordinary shares;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Boguan” are to Guangzhou Boguan Telecommunication Technology Co., Ltd., a company established under PRC laws;</w:t>
            </w:r>
          </w:p>
        </w:tc>
      </w:tr>
    </w:tbl>
    <w:tbl>
      <w:tblPr>
        <w:tblW w:w="4892" w:type="dxa"/>
        <w:jc w:val="left"/>
        <w:tblInd w:w="0" w:type="dxa"/>
        <w:tblCellMar>
          <w:top w:w="0" w:type="dxa"/>
          <w:left w:w="0" w:type="dxa"/>
          <w:bottom w:w="0" w:type="dxa"/>
          <w:right w:w="0" w:type="dxa"/>
        </w:tblCellMar>
      </w:tblPr>
      <w:tblGrid>
        <w:gridCol w:w="271"/>
        <w:gridCol w:w="4621"/>
      </w:tblGrid>
      <w:tr>
        <w:trPr/>
        <w:tc>
          <w:tcPr>
            <w:tcW w:w="271" w:type="dxa"/>
            <w:tcBorders/>
            <w:shd w:fill="auto" w:val="clear"/>
            <w:vAlign w:val="center"/>
          </w:tcPr>
          <w:p>
            <w:pPr>
              <w:pStyle w:val="TableContents"/>
              <w:spacing w:before="0" w:after="283"/>
              <w:rPr/>
            </w:pPr>
            <w:r>
              <w:rPr/>
              <w:t>●</w:t>
            </w:r>
          </w:p>
        </w:tc>
        <w:tc>
          <w:tcPr>
            <w:tcW w:w="462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CAC” are to the Cyberspace Administration of China;</w:t>
            </w:r>
          </w:p>
        </w:tc>
      </w:tr>
    </w:tbl>
    <w:tbl>
      <w:tblPr>
        <w:tblW w:w="6557" w:type="dxa"/>
        <w:jc w:val="left"/>
        <w:tblInd w:w="0" w:type="dxa"/>
        <w:tblCellMar>
          <w:top w:w="0" w:type="dxa"/>
          <w:left w:w="0" w:type="dxa"/>
          <w:bottom w:w="0" w:type="dxa"/>
          <w:right w:w="0" w:type="dxa"/>
        </w:tblCellMar>
      </w:tblPr>
      <w:tblGrid>
        <w:gridCol w:w="271"/>
        <w:gridCol w:w="6286"/>
      </w:tblGrid>
      <w:tr>
        <w:trPr/>
        <w:tc>
          <w:tcPr>
            <w:tcW w:w="271" w:type="dxa"/>
            <w:tcBorders/>
            <w:shd w:fill="auto" w:val="clear"/>
            <w:vAlign w:val="center"/>
          </w:tcPr>
          <w:p>
            <w:pPr>
              <w:pStyle w:val="TableContents"/>
              <w:spacing w:before="0" w:after="283"/>
              <w:rPr/>
            </w:pPr>
            <w:r>
              <w:rPr/>
              <w:t>●</w:t>
            </w:r>
          </w:p>
        </w:tc>
        <w:tc>
          <w:tcPr>
            <w:tcW w:w="628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CBIRC” are to the China Banking and Insurance Regulatory Commission;</w:t>
            </w:r>
          </w:p>
        </w:tc>
      </w:tr>
    </w:tbl>
    <w:tbl>
      <w:tblPr>
        <w:tblW w:w="5327" w:type="dxa"/>
        <w:jc w:val="left"/>
        <w:tblInd w:w="0" w:type="dxa"/>
        <w:tblCellMar>
          <w:top w:w="0" w:type="dxa"/>
          <w:left w:w="0" w:type="dxa"/>
          <w:bottom w:w="0" w:type="dxa"/>
          <w:right w:w="0" w:type="dxa"/>
        </w:tblCellMar>
      </w:tblPr>
      <w:tblGrid>
        <w:gridCol w:w="271"/>
        <w:gridCol w:w="5056"/>
      </w:tblGrid>
      <w:tr>
        <w:trPr/>
        <w:tc>
          <w:tcPr>
            <w:tcW w:w="271" w:type="dxa"/>
            <w:tcBorders/>
            <w:shd w:fill="auto" w:val="clear"/>
            <w:vAlign w:val="center"/>
          </w:tcPr>
          <w:p>
            <w:pPr>
              <w:pStyle w:val="TableContents"/>
              <w:spacing w:before="0" w:after="283"/>
              <w:rPr/>
            </w:pPr>
            <w:r>
              <w:rPr/>
              <w:t>●</w:t>
            </w:r>
          </w:p>
        </w:tc>
        <w:tc>
          <w:tcPr>
            <w:tcW w:w="505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CBRC” are to the China Banking Regulatory Commission;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CCASS” are to the Central Clearing and Settlement System established and operated by Hong Kong Securities Clearing Company Limited, a wholly-owned subsidiary of Hong Kong Exchange and Clearing Limited;</w:t>
            </w:r>
          </w:p>
        </w:tc>
      </w:tr>
    </w:tbl>
    <w:tbl>
      <w:tblPr>
        <w:tblW w:w="3512" w:type="dxa"/>
        <w:jc w:val="left"/>
        <w:tblInd w:w="0" w:type="dxa"/>
        <w:tblCellMar>
          <w:top w:w="0" w:type="dxa"/>
          <w:left w:w="0" w:type="dxa"/>
          <w:bottom w:w="0" w:type="dxa"/>
          <w:right w:w="0" w:type="dxa"/>
        </w:tblCellMar>
      </w:tblPr>
      <w:tblGrid>
        <w:gridCol w:w="271"/>
        <w:gridCol w:w="3241"/>
      </w:tblGrid>
      <w:tr>
        <w:trPr/>
        <w:tc>
          <w:tcPr>
            <w:tcW w:w="271" w:type="dxa"/>
            <w:tcBorders/>
            <w:shd w:fill="auto" w:val="clear"/>
            <w:vAlign w:val="center"/>
          </w:tcPr>
          <w:p>
            <w:pPr>
              <w:pStyle w:val="TableContents"/>
              <w:spacing w:before="0" w:after="283"/>
              <w:rPr/>
            </w:pPr>
            <w:r>
              <w:rPr/>
              <w:t>●</w:t>
            </w:r>
          </w:p>
        </w:tc>
        <w:tc>
          <w:tcPr>
            <w:tcW w:w="324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CCGs” are to collectible card games;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and only in the context of describing PRC rules, laws, regulations, regulatory authority and other legal or tax matters in this annual report, excludes Taiwan, Hong Kong, and Macau (also referred to as “China mainland” or “Chinese mainland” in this annual report);</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Cloud Music” are to Cloud Music Inc. (formerly named Cloud Village Inc.), a company incorporated under Cayman Islands laws, and listed on the Hong Kong Stock Exchange under the stock code “9899” in December 2021 and a majority-controlled subsidiary of our company;</w:t>
            </w:r>
          </w:p>
        </w:tc>
      </w:tr>
    </w:tbl>
    <w:tbl>
      <w:tblPr>
        <w:tblW w:w="5387" w:type="dxa"/>
        <w:jc w:val="left"/>
        <w:tblInd w:w="0" w:type="dxa"/>
        <w:tblCellMar>
          <w:top w:w="0" w:type="dxa"/>
          <w:left w:w="0" w:type="dxa"/>
          <w:bottom w:w="0" w:type="dxa"/>
          <w:right w:w="0" w:type="dxa"/>
        </w:tblCellMar>
      </w:tblPr>
      <w:tblGrid>
        <w:gridCol w:w="271"/>
        <w:gridCol w:w="5116"/>
      </w:tblGrid>
      <w:tr>
        <w:trPr/>
        <w:tc>
          <w:tcPr>
            <w:tcW w:w="271" w:type="dxa"/>
            <w:tcBorders/>
            <w:shd w:fill="auto" w:val="clear"/>
            <w:vAlign w:val="center"/>
          </w:tcPr>
          <w:p>
            <w:pPr>
              <w:pStyle w:val="TableContents"/>
              <w:spacing w:before="0" w:after="283"/>
              <w:rPr/>
            </w:pPr>
            <w:r>
              <w:rPr/>
              <w:t>●</w:t>
            </w:r>
          </w:p>
        </w:tc>
        <w:tc>
          <w:tcPr>
            <w:tcW w:w="511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CSRC” are to the China Securities Regulatory Commission;</w:t>
            </w:r>
          </w:p>
        </w:tc>
      </w:tr>
    </w:tbl>
    <w:tbl>
      <w:tblPr>
        <w:tblW w:w="9107" w:type="dxa"/>
        <w:jc w:val="left"/>
        <w:tblInd w:w="0" w:type="dxa"/>
        <w:tblCellMar>
          <w:top w:w="0" w:type="dxa"/>
          <w:left w:w="0" w:type="dxa"/>
          <w:bottom w:w="0" w:type="dxa"/>
          <w:right w:w="0" w:type="dxa"/>
        </w:tblCellMar>
      </w:tblPr>
      <w:tblGrid>
        <w:gridCol w:w="271"/>
        <w:gridCol w:w="8836"/>
      </w:tblGrid>
      <w:tr>
        <w:trPr/>
        <w:tc>
          <w:tcPr>
            <w:tcW w:w="271" w:type="dxa"/>
            <w:tcBorders/>
            <w:shd w:fill="auto" w:val="clear"/>
            <w:vAlign w:val="center"/>
          </w:tcPr>
          <w:p>
            <w:pPr>
              <w:pStyle w:val="TableContents"/>
              <w:spacing w:before="0" w:after="283"/>
              <w:rPr/>
            </w:pPr>
            <w:r>
              <w:rPr/>
              <w:t>●</w:t>
            </w:r>
          </w:p>
        </w:tc>
        <w:tc>
          <w:tcPr>
            <w:tcW w:w="883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GAPP” are to the General Administration of Press and Publication of China, currently known as the NPPA;</w:t>
            </w:r>
          </w:p>
        </w:tc>
      </w:tr>
    </w:tbl>
    <w:tbl>
      <w:tblPr>
        <w:tblW w:w="10067" w:type="dxa"/>
        <w:jc w:val="left"/>
        <w:tblInd w:w="0" w:type="dxa"/>
        <w:tblCellMar>
          <w:top w:w="0" w:type="dxa"/>
          <w:left w:w="0" w:type="dxa"/>
          <w:bottom w:w="0" w:type="dxa"/>
          <w:right w:w="0" w:type="dxa"/>
        </w:tblCellMar>
      </w:tblPr>
      <w:tblGrid>
        <w:gridCol w:w="271"/>
        <w:gridCol w:w="9796"/>
      </w:tblGrid>
      <w:tr>
        <w:trPr/>
        <w:tc>
          <w:tcPr>
            <w:tcW w:w="271" w:type="dxa"/>
            <w:tcBorders/>
            <w:shd w:fill="auto" w:val="clear"/>
            <w:vAlign w:val="center"/>
          </w:tcPr>
          <w:p>
            <w:pPr>
              <w:pStyle w:val="TableContents"/>
              <w:spacing w:before="0" w:after="283"/>
              <w:rPr/>
            </w:pPr>
            <w:r>
              <w:rPr/>
              <w:t>●</w:t>
            </w:r>
          </w:p>
        </w:tc>
        <w:tc>
          <w:tcPr>
            <w:tcW w:w="979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Guangzhou NetEase” are to Guangzhou NetEase Computer System Co., Ltd., a company established under PRC laws;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Hangzhou Leihuo” are to Hangzhou NetEase Leihuo Technology Co., Ltd. (formerly named Hangzhou NetEase Leihuo Network Co., Ltd.), a company established under PRC laws;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Hangzhou NetEase Cloud Music” are to Hangzhou NetEase Cloud Music Technology Co., Ltd., a company established under PRC laws;</w:t>
            </w:r>
          </w:p>
        </w:tc>
      </w:tr>
    </w:tbl>
    <w:tbl>
      <w:tblPr>
        <w:tblW w:w="9122" w:type="dxa"/>
        <w:jc w:val="left"/>
        <w:tblInd w:w="0" w:type="dxa"/>
        <w:tblCellMar>
          <w:top w:w="0" w:type="dxa"/>
          <w:left w:w="0" w:type="dxa"/>
          <w:bottom w:w="0" w:type="dxa"/>
          <w:right w:w="0" w:type="dxa"/>
        </w:tblCellMar>
      </w:tblPr>
      <w:tblGrid>
        <w:gridCol w:w="271"/>
        <w:gridCol w:w="8851"/>
      </w:tblGrid>
      <w:tr>
        <w:trPr/>
        <w:tc>
          <w:tcPr>
            <w:tcW w:w="271" w:type="dxa"/>
            <w:tcBorders/>
            <w:shd w:fill="auto" w:val="clear"/>
            <w:vAlign w:val="center"/>
          </w:tcPr>
          <w:p>
            <w:pPr>
              <w:pStyle w:val="TableContents"/>
              <w:spacing w:before="0" w:after="283"/>
              <w:rPr/>
            </w:pPr>
            <w:r>
              <w:rPr/>
              <w:t>●</w:t>
            </w:r>
          </w:p>
        </w:tc>
        <w:tc>
          <w:tcPr>
            <w:tcW w:w="885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Hangzhou Yuedu” are to Hangzhou Yuedu Technology Co., Ltd., a company established under PRC laws;</w:t>
            </w:r>
          </w:p>
        </w:tc>
      </w:tr>
    </w:tbl>
    <w:tbl>
      <w:tblPr>
        <w:tblW w:w="5552" w:type="dxa"/>
        <w:jc w:val="left"/>
        <w:tblInd w:w="0" w:type="dxa"/>
        <w:tblCellMar>
          <w:top w:w="0" w:type="dxa"/>
          <w:left w:w="0" w:type="dxa"/>
          <w:bottom w:w="0" w:type="dxa"/>
          <w:right w:w="0" w:type="dxa"/>
        </w:tblCellMar>
      </w:tblPr>
      <w:tblGrid>
        <w:gridCol w:w="271"/>
        <w:gridCol w:w="5281"/>
      </w:tblGrid>
      <w:tr>
        <w:trPr/>
        <w:tc>
          <w:tcPr>
            <w:tcW w:w="271" w:type="dxa"/>
            <w:tcBorders/>
            <w:shd w:fill="auto" w:val="clear"/>
            <w:vAlign w:val="center"/>
          </w:tcPr>
          <w:p>
            <w:pPr>
              <w:pStyle w:val="TableContents"/>
              <w:spacing w:before="0" w:after="283"/>
              <w:rPr/>
            </w:pPr>
            <w:r>
              <w:rPr/>
              <w:t>●</w:t>
            </w:r>
          </w:p>
        </w:tc>
        <w:tc>
          <w:tcPr>
            <w:tcW w:w="528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HK$” or “HK dollars” are to the legal currency of Hong Kong;</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937" w:type="dxa"/>
        <w:jc w:val="left"/>
        <w:tblInd w:w="0" w:type="dxa"/>
        <w:tblCellMar>
          <w:top w:w="0" w:type="dxa"/>
          <w:left w:w="0" w:type="dxa"/>
          <w:bottom w:w="0" w:type="dxa"/>
          <w:right w:w="0" w:type="dxa"/>
        </w:tblCellMar>
      </w:tblPr>
      <w:tblGrid>
        <w:gridCol w:w="271"/>
        <w:gridCol w:w="4666"/>
      </w:tblGrid>
      <w:tr>
        <w:trPr/>
        <w:tc>
          <w:tcPr>
            <w:tcW w:w="271" w:type="dxa"/>
            <w:tcBorders/>
            <w:shd w:fill="auto" w:val="clear"/>
            <w:vAlign w:val="center"/>
          </w:tcPr>
          <w:p>
            <w:pPr>
              <w:pStyle w:val="TableContents"/>
              <w:spacing w:before="0" w:after="283"/>
              <w:rPr/>
            </w:pPr>
            <w:r>
              <w:rPr/>
              <w:t>●</w:t>
            </w:r>
          </w:p>
        </w:tc>
        <w:tc>
          <w:tcPr>
            <w:tcW w:w="466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HNTEs” are to High and New Technology Enterprises;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 are to the Rules Governing the Listing of Securities on The Stock Exchange of Hong Kong Limited, as amended or supplemented from time to time;</w:t>
            </w:r>
          </w:p>
        </w:tc>
      </w:tr>
    </w:tbl>
    <w:tbl>
      <w:tblPr>
        <w:tblW w:w="7097" w:type="dxa"/>
        <w:jc w:val="left"/>
        <w:tblInd w:w="0" w:type="dxa"/>
        <w:tblCellMar>
          <w:top w:w="0" w:type="dxa"/>
          <w:left w:w="0" w:type="dxa"/>
          <w:bottom w:w="0" w:type="dxa"/>
          <w:right w:w="0" w:type="dxa"/>
        </w:tblCellMar>
      </w:tblPr>
      <w:tblGrid>
        <w:gridCol w:w="271"/>
        <w:gridCol w:w="6826"/>
      </w:tblGrid>
      <w:tr>
        <w:trPr/>
        <w:tc>
          <w:tcPr>
            <w:tcW w:w="271" w:type="dxa"/>
            <w:tcBorders/>
            <w:shd w:fill="auto" w:val="clear"/>
            <w:vAlign w:val="center"/>
          </w:tcPr>
          <w:p>
            <w:pPr>
              <w:pStyle w:val="TableContents"/>
              <w:spacing w:before="0" w:after="283"/>
              <w:rPr/>
            </w:pPr>
            <w:r>
              <w:rPr/>
              <w:t>●</w:t>
            </w:r>
          </w:p>
        </w:tc>
        <w:tc>
          <w:tcPr>
            <w:tcW w:w="682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Stock Exchange” are to The Stock Exchange of Hong Kong Limited;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Hong Kong NetEase” are to Hong Kong NetEase Interactive Entertainment Limited, a company incorporated under Hong Kong laws; </w:t>
            </w:r>
          </w:p>
        </w:tc>
      </w:tr>
    </w:tbl>
    <w:tbl>
      <w:tblPr>
        <w:tblW w:w="3977" w:type="dxa"/>
        <w:jc w:val="left"/>
        <w:tblInd w:w="0" w:type="dxa"/>
        <w:tblCellMar>
          <w:top w:w="0" w:type="dxa"/>
          <w:left w:w="0" w:type="dxa"/>
          <w:bottom w:w="0" w:type="dxa"/>
          <w:right w:w="0" w:type="dxa"/>
        </w:tblCellMar>
      </w:tblPr>
      <w:tblGrid>
        <w:gridCol w:w="271"/>
        <w:gridCol w:w="3706"/>
      </w:tblGrid>
      <w:tr>
        <w:trPr/>
        <w:tc>
          <w:tcPr>
            <w:tcW w:w="271" w:type="dxa"/>
            <w:tcBorders/>
            <w:shd w:fill="auto" w:val="clear"/>
            <w:vAlign w:val="center"/>
          </w:tcPr>
          <w:p>
            <w:pPr>
              <w:pStyle w:val="TableContents"/>
              <w:spacing w:before="0" w:after="283"/>
              <w:rPr/>
            </w:pPr>
            <w:r>
              <w:rPr/>
              <w:t>●</w:t>
            </w:r>
          </w:p>
        </w:tc>
        <w:tc>
          <w:tcPr>
            <w:tcW w:w="370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ICP(s)” are to internet content provider(s);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in-house developed games” are primarily to games developed solely by our game development teams as well as, in some instances, games co-developed with our collaboration partners;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MAUs” for Cloud Music’ online music services are to the monthly average number of users in a given period that have accessed the NetEase Cloud Music application at least once in a given month through mobile devices or PC devices, as the case may be; duplicate access is eliminated from the calculation based on our estimates by user account;</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 device; </w:t>
            </w:r>
          </w:p>
        </w:tc>
      </w:tr>
    </w:tbl>
    <w:tbl>
      <w:tblPr>
        <w:tblW w:w="6242" w:type="dxa"/>
        <w:jc w:val="left"/>
        <w:tblInd w:w="0" w:type="dxa"/>
        <w:tblCellMar>
          <w:top w:w="0" w:type="dxa"/>
          <w:left w:w="0" w:type="dxa"/>
          <w:bottom w:w="0" w:type="dxa"/>
          <w:right w:w="0" w:type="dxa"/>
        </w:tblCellMar>
      </w:tblPr>
      <w:tblGrid>
        <w:gridCol w:w="271"/>
        <w:gridCol w:w="5971"/>
      </w:tblGrid>
      <w:tr>
        <w:trPr/>
        <w:tc>
          <w:tcPr>
            <w:tcW w:w="271" w:type="dxa"/>
            <w:tcBorders/>
            <w:shd w:fill="auto" w:val="clear"/>
            <w:vAlign w:val="center"/>
          </w:tcPr>
          <w:p>
            <w:pPr>
              <w:pStyle w:val="TableContents"/>
              <w:spacing w:before="0" w:after="283"/>
              <w:rPr/>
            </w:pPr>
            <w:r>
              <w:rPr/>
              <w:t>●</w:t>
            </w:r>
          </w:p>
        </w:tc>
        <w:tc>
          <w:tcPr>
            <w:tcW w:w="597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MMORPGs” are to massively multi-player online role-playing games;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MII” and later “MIIT” are to the Ministry of Information Industry of China, which later became the Ministry of Industry and Information Technology of China;</w:t>
            </w:r>
          </w:p>
        </w:tc>
      </w:tr>
    </w:tbl>
    <w:tbl>
      <w:tblPr>
        <w:tblW w:w="4367" w:type="dxa"/>
        <w:jc w:val="left"/>
        <w:tblInd w:w="0" w:type="dxa"/>
        <w:tblCellMar>
          <w:top w:w="0" w:type="dxa"/>
          <w:left w:w="0" w:type="dxa"/>
          <w:bottom w:w="0" w:type="dxa"/>
          <w:right w:w="0" w:type="dxa"/>
        </w:tblCellMar>
      </w:tblPr>
      <w:tblGrid>
        <w:gridCol w:w="271"/>
        <w:gridCol w:w="4096"/>
      </w:tblGrid>
      <w:tr>
        <w:trPr/>
        <w:tc>
          <w:tcPr>
            <w:tcW w:w="271" w:type="dxa"/>
            <w:tcBorders/>
            <w:shd w:fill="auto" w:val="clear"/>
            <w:vAlign w:val="center"/>
          </w:tcPr>
          <w:p>
            <w:pPr>
              <w:pStyle w:val="TableContents"/>
              <w:spacing w:before="0" w:after="283"/>
              <w:rPr/>
            </w:pPr>
            <w:r>
              <w:rPr/>
              <w:t>●</w:t>
            </w:r>
          </w:p>
        </w:tc>
        <w:tc>
          <w:tcPr>
            <w:tcW w:w="409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MOBA” are to multi-player online battle arena;</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MOC” and later “MOCT” are to the Ministry of Culture of China which later became the Ministry of Culture and Tourism of China;</w:t>
            </w:r>
          </w:p>
        </w:tc>
      </w:tr>
    </w:tbl>
    <w:tbl>
      <w:tblPr>
        <w:tblW w:w="4292" w:type="dxa"/>
        <w:jc w:val="left"/>
        <w:tblInd w:w="0" w:type="dxa"/>
        <w:tblCellMar>
          <w:top w:w="0" w:type="dxa"/>
          <w:left w:w="0" w:type="dxa"/>
          <w:bottom w:w="0" w:type="dxa"/>
          <w:right w:w="0" w:type="dxa"/>
        </w:tblCellMar>
      </w:tblPr>
      <w:tblGrid>
        <w:gridCol w:w="271"/>
        <w:gridCol w:w="4021"/>
      </w:tblGrid>
      <w:tr>
        <w:trPr/>
        <w:tc>
          <w:tcPr>
            <w:tcW w:w="271" w:type="dxa"/>
            <w:tcBorders/>
            <w:shd w:fill="auto" w:val="clear"/>
            <w:vAlign w:val="center"/>
          </w:tcPr>
          <w:p>
            <w:pPr>
              <w:pStyle w:val="TableContents"/>
              <w:spacing w:before="0" w:after="283"/>
              <w:rPr/>
            </w:pPr>
            <w:r>
              <w:rPr/>
              <w:t>●</w:t>
            </w:r>
          </w:p>
        </w:tc>
        <w:tc>
          <w:tcPr>
            <w:tcW w:w="402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MOF” are to the Ministry of Finance of China;</w:t>
            </w:r>
          </w:p>
        </w:tc>
      </w:tr>
    </w:tbl>
    <w:tbl>
      <w:tblPr>
        <w:tblW w:w="4967" w:type="dxa"/>
        <w:jc w:val="left"/>
        <w:tblInd w:w="0" w:type="dxa"/>
        <w:tblCellMar>
          <w:top w:w="0" w:type="dxa"/>
          <w:left w:w="0" w:type="dxa"/>
          <w:bottom w:w="0" w:type="dxa"/>
          <w:right w:w="0" w:type="dxa"/>
        </w:tblCellMar>
      </w:tblPr>
      <w:tblGrid>
        <w:gridCol w:w="271"/>
        <w:gridCol w:w="4696"/>
      </w:tblGrid>
      <w:tr>
        <w:trPr/>
        <w:tc>
          <w:tcPr>
            <w:tcW w:w="271" w:type="dxa"/>
            <w:tcBorders/>
            <w:shd w:fill="auto" w:val="clear"/>
            <w:vAlign w:val="center"/>
          </w:tcPr>
          <w:p>
            <w:pPr>
              <w:pStyle w:val="TableContents"/>
              <w:spacing w:before="0" w:after="283"/>
              <w:rPr/>
            </w:pPr>
            <w:r>
              <w:rPr/>
              <w:t>●</w:t>
            </w:r>
          </w:p>
        </w:tc>
        <w:tc>
          <w:tcPr>
            <w:tcW w:w="469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MOFCOM” are to the Ministry of Commerce of China;</w:t>
            </w:r>
          </w:p>
        </w:tc>
      </w:tr>
    </w:tbl>
    <w:tbl>
      <w:tblPr>
        <w:tblW w:w="8807" w:type="dxa"/>
        <w:jc w:val="left"/>
        <w:tblInd w:w="0" w:type="dxa"/>
        <w:tblCellMar>
          <w:top w:w="0" w:type="dxa"/>
          <w:left w:w="0" w:type="dxa"/>
          <w:bottom w:w="0" w:type="dxa"/>
          <w:right w:w="0" w:type="dxa"/>
        </w:tblCellMar>
      </w:tblPr>
      <w:tblGrid>
        <w:gridCol w:w="271"/>
        <w:gridCol w:w="8536"/>
      </w:tblGrid>
      <w:tr>
        <w:trPr/>
        <w:tc>
          <w:tcPr>
            <w:tcW w:w="271" w:type="dxa"/>
            <w:tcBorders/>
            <w:shd w:fill="auto" w:val="clear"/>
            <w:vAlign w:val="center"/>
          </w:tcPr>
          <w:p>
            <w:pPr>
              <w:pStyle w:val="TableContents"/>
              <w:spacing w:before="0" w:after="283"/>
              <w:rPr/>
            </w:pPr>
            <w:r>
              <w:rPr/>
              <w:t>●</w:t>
            </w:r>
          </w:p>
        </w:tc>
        <w:tc>
          <w:tcPr>
            <w:tcW w:w="853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NCIIC” are to the Ministry of Public Security’s National Citizen Identity Information Center of China;</w:t>
            </w:r>
          </w:p>
        </w:tc>
      </w:tr>
    </w:tbl>
    <w:tbl>
      <w:tblPr>
        <w:tblW w:w="6707" w:type="dxa"/>
        <w:jc w:val="left"/>
        <w:tblInd w:w="0" w:type="dxa"/>
        <w:tblCellMar>
          <w:top w:w="0" w:type="dxa"/>
          <w:left w:w="0" w:type="dxa"/>
          <w:bottom w:w="0" w:type="dxa"/>
          <w:right w:w="0" w:type="dxa"/>
        </w:tblCellMar>
      </w:tblPr>
      <w:tblGrid>
        <w:gridCol w:w="271"/>
        <w:gridCol w:w="6436"/>
      </w:tblGrid>
      <w:tr>
        <w:trPr/>
        <w:tc>
          <w:tcPr>
            <w:tcW w:w="271" w:type="dxa"/>
            <w:tcBorders/>
            <w:shd w:fill="auto" w:val="clear"/>
            <w:vAlign w:val="center"/>
          </w:tcPr>
          <w:p>
            <w:pPr>
              <w:pStyle w:val="TableContents"/>
              <w:spacing w:before="0" w:after="283"/>
              <w:rPr/>
            </w:pPr>
            <w:r>
              <w:rPr/>
              <w:t>●</w:t>
            </w:r>
          </w:p>
        </w:tc>
        <w:tc>
          <w:tcPr>
            <w:tcW w:w="643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NDRC” are to the National Development and Reform Commission of China;</w:t>
            </w:r>
          </w:p>
        </w:tc>
      </w:tr>
    </w:tbl>
    <w:tbl>
      <w:tblPr>
        <w:tblW w:w="9182" w:type="dxa"/>
        <w:jc w:val="left"/>
        <w:tblInd w:w="0" w:type="dxa"/>
        <w:tblCellMar>
          <w:top w:w="0" w:type="dxa"/>
          <w:left w:w="0" w:type="dxa"/>
          <w:bottom w:w="0" w:type="dxa"/>
          <w:right w:w="0" w:type="dxa"/>
        </w:tblCellMar>
      </w:tblPr>
      <w:tblGrid>
        <w:gridCol w:w="271"/>
        <w:gridCol w:w="8911"/>
      </w:tblGrid>
      <w:tr>
        <w:trPr/>
        <w:tc>
          <w:tcPr>
            <w:tcW w:w="271" w:type="dxa"/>
            <w:tcBorders/>
            <w:shd w:fill="auto" w:val="clear"/>
            <w:vAlign w:val="center"/>
          </w:tcPr>
          <w:p>
            <w:pPr>
              <w:pStyle w:val="TableContents"/>
              <w:spacing w:before="0" w:after="283"/>
              <w:rPr/>
            </w:pPr>
            <w:r>
              <w:rPr/>
              <w:t>●</w:t>
            </w:r>
          </w:p>
        </w:tc>
        <w:tc>
          <w:tcPr>
            <w:tcW w:w="891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NetEase Hangzhou” are to NetEase (Hangzhou) Network Co., Ltd., a company established under PRC laws;</w:t>
            </w:r>
          </w:p>
        </w:tc>
      </w:tr>
    </w:tbl>
    <w:tbl>
      <w:tblPr>
        <w:tblW w:w="3812" w:type="dxa"/>
        <w:jc w:val="left"/>
        <w:tblInd w:w="0" w:type="dxa"/>
        <w:tblCellMar>
          <w:top w:w="0" w:type="dxa"/>
          <w:left w:w="0" w:type="dxa"/>
          <w:bottom w:w="0" w:type="dxa"/>
          <w:right w:w="0" w:type="dxa"/>
        </w:tblCellMar>
      </w:tblPr>
      <w:tblGrid>
        <w:gridCol w:w="271"/>
        <w:gridCol w:w="3541"/>
      </w:tblGrid>
      <w:tr>
        <w:trPr/>
        <w:tc>
          <w:tcPr>
            <w:tcW w:w="271" w:type="dxa"/>
            <w:tcBorders/>
            <w:shd w:fill="auto" w:val="clear"/>
            <w:vAlign w:val="center"/>
          </w:tcPr>
          <w:p>
            <w:pPr>
              <w:pStyle w:val="TableContents"/>
              <w:spacing w:before="0" w:after="283"/>
              <w:rPr/>
            </w:pPr>
            <w:r>
              <w:rPr/>
              <w:t>●</w:t>
            </w:r>
          </w:p>
        </w:tc>
        <w:tc>
          <w:tcPr>
            <w:tcW w:w="354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NMT” are to neural machine translation;</w:t>
            </w:r>
          </w:p>
        </w:tc>
      </w:tr>
    </w:tbl>
    <w:tbl>
      <w:tblPr>
        <w:tblW w:w="6557" w:type="dxa"/>
        <w:jc w:val="left"/>
        <w:tblInd w:w="0" w:type="dxa"/>
        <w:tblCellMar>
          <w:top w:w="0" w:type="dxa"/>
          <w:left w:w="0" w:type="dxa"/>
          <w:bottom w:w="0" w:type="dxa"/>
          <w:right w:w="0" w:type="dxa"/>
        </w:tblCellMar>
      </w:tblPr>
      <w:tblGrid>
        <w:gridCol w:w="271"/>
        <w:gridCol w:w="6286"/>
      </w:tblGrid>
      <w:tr>
        <w:trPr/>
        <w:tc>
          <w:tcPr>
            <w:tcW w:w="271" w:type="dxa"/>
            <w:tcBorders/>
            <w:shd w:fill="auto" w:val="clear"/>
            <w:vAlign w:val="center"/>
          </w:tcPr>
          <w:p>
            <w:pPr>
              <w:pStyle w:val="TableContents"/>
              <w:spacing w:before="0" w:after="283"/>
              <w:rPr/>
            </w:pPr>
            <w:r>
              <w:rPr/>
              <w:t>●</w:t>
            </w:r>
          </w:p>
        </w:tc>
        <w:tc>
          <w:tcPr>
            <w:tcW w:w="628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NPPA” are to the National Press and Publication Administration of China; </w:t>
            </w:r>
          </w:p>
        </w:tc>
      </w:tr>
    </w:tbl>
    <w:tbl>
      <w:tblPr>
        <w:tblW w:w="6572" w:type="dxa"/>
        <w:jc w:val="left"/>
        <w:tblInd w:w="0" w:type="dxa"/>
        <w:tblCellMar>
          <w:top w:w="0" w:type="dxa"/>
          <w:left w:w="0" w:type="dxa"/>
          <w:bottom w:w="0" w:type="dxa"/>
          <w:right w:w="0" w:type="dxa"/>
        </w:tblCellMar>
      </w:tblPr>
      <w:tblGrid>
        <w:gridCol w:w="271"/>
        <w:gridCol w:w="6301"/>
      </w:tblGrid>
      <w:tr>
        <w:trPr/>
        <w:tc>
          <w:tcPr>
            <w:tcW w:w="271" w:type="dxa"/>
            <w:tcBorders/>
            <w:shd w:fill="auto" w:val="clear"/>
            <w:vAlign w:val="center"/>
          </w:tcPr>
          <w:p>
            <w:pPr>
              <w:pStyle w:val="TableContents"/>
              <w:spacing w:before="0" w:after="283"/>
              <w:rPr/>
            </w:pPr>
            <w:r>
              <w:rPr/>
              <w:t>●</w:t>
            </w:r>
          </w:p>
        </w:tc>
        <w:tc>
          <w:tcPr>
            <w:tcW w:w="630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NRTA” are to the National Radio and Television Administration of China;</w:t>
            </w:r>
          </w:p>
        </w:tc>
      </w:tr>
    </w:tbl>
    <w:tbl>
      <w:tblPr>
        <w:tblW w:w="3962" w:type="dxa"/>
        <w:jc w:val="left"/>
        <w:tblInd w:w="0" w:type="dxa"/>
        <w:tblCellMar>
          <w:top w:w="0" w:type="dxa"/>
          <w:left w:w="0" w:type="dxa"/>
          <w:bottom w:w="0" w:type="dxa"/>
          <w:right w:w="0" w:type="dxa"/>
        </w:tblCellMar>
      </w:tblPr>
      <w:tblGrid>
        <w:gridCol w:w="271"/>
        <w:gridCol w:w="3691"/>
      </w:tblGrid>
      <w:tr>
        <w:trPr/>
        <w:tc>
          <w:tcPr>
            <w:tcW w:w="271" w:type="dxa"/>
            <w:tcBorders/>
            <w:shd w:fill="auto" w:val="clear"/>
            <w:vAlign w:val="center"/>
          </w:tcPr>
          <w:p>
            <w:pPr>
              <w:pStyle w:val="TableContents"/>
              <w:spacing w:before="0" w:after="283"/>
              <w:rPr/>
            </w:pPr>
            <w:r>
              <w:rPr/>
              <w:t>●</w:t>
            </w:r>
          </w:p>
        </w:tc>
        <w:tc>
          <w:tcPr>
            <w:tcW w:w="369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OCR” are to optical character recognition;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sz w:val="20"/>
              </w:rPr>
              <w:t>our company” are to NetEase, Inc., which is not a PRC operating company but a Cayman Islands holding company with operations primarily conducted through (i) our China mainland subsidiaries and (ii) contractual arrangements with the variable interest entities, or the VIEs, based in China mainland. This structure entails unique risks to investors, see Item 3.D. “Key Information</w:t>
            </w:r>
            <w:r>
              <w:rPr>
                <w:caps w:val="false"/>
                <w:smallCaps w:val="false"/>
              </w:rPr>
              <w:t>—</w:t>
            </w:r>
            <w:r>
              <w:rPr>
                <w:rFonts w:ascii="Times New Roman;Times;serif" w:hAnsi="Times New Roman;Times;serif"/>
                <w:b w:val="false"/>
                <w:i w:val="false"/>
                <w:caps w:val="false"/>
                <w:smallCaps w:val="false"/>
                <w:sz w:val="20"/>
              </w:rPr>
              <w:t>Risk Factors</w:t>
            </w:r>
            <w:r>
              <w:rPr>
                <w:caps w:val="false"/>
                <w:smallCaps w:val="false"/>
              </w:rPr>
              <w:t>—</w:t>
            </w:r>
            <w:r>
              <w:rPr>
                <w:rFonts w:ascii="Times New Roman;Times;serif" w:hAnsi="Times New Roman;Times;serif"/>
                <w:b w:val="false"/>
                <w:i w:val="false"/>
                <w:caps w:val="false"/>
                <w:smallCaps w:val="false"/>
                <w:sz w:val="20"/>
              </w:rPr>
              <w:t>Risks Related to Our Corporate Structure” for additional information;</w:t>
            </w:r>
          </w:p>
        </w:tc>
      </w:tr>
    </w:tbl>
    <w:tbl>
      <w:tblPr>
        <w:tblW w:w="3752" w:type="dxa"/>
        <w:jc w:val="left"/>
        <w:tblInd w:w="0" w:type="dxa"/>
        <w:tblCellMar>
          <w:top w:w="0" w:type="dxa"/>
          <w:left w:w="0" w:type="dxa"/>
          <w:bottom w:w="0" w:type="dxa"/>
          <w:right w:w="0" w:type="dxa"/>
        </w:tblCellMar>
      </w:tblPr>
      <w:tblGrid>
        <w:gridCol w:w="271"/>
        <w:gridCol w:w="3481"/>
      </w:tblGrid>
      <w:tr>
        <w:trPr/>
        <w:tc>
          <w:tcPr>
            <w:tcW w:w="271" w:type="dxa"/>
            <w:tcBorders/>
            <w:shd w:fill="auto" w:val="clear"/>
            <w:vAlign w:val="center"/>
          </w:tcPr>
          <w:p>
            <w:pPr>
              <w:pStyle w:val="TableContents"/>
              <w:spacing w:before="0" w:after="283"/>
              <w:rPr/>
            </w:pPr>
            <w:r>
              <w:rPr/>
              <w:t>●</w:t>
            </w:r>
          </w:p>
        </w:tc>
        <w:tc>
          <w:tcPr>
            <w:tcW w:w="348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R&amp;D” are to research and development;</w:t>
            </w:r>
          </w:p>
        </w:tc>
      </w:tr>
    </w:tbl>
    <w:tbl>
      <w:tblPr>
        <w:tblW w:w="7157" w:type="dxa"/>
        <w:jc w:val="left"/>
        <w:tblInd w:w="0" w:type="dxa"/>
        <w:tblCellMar>
          <w:top w:w="0" w:type="dxa"/>
          <w:left w:w="0" w:type="dxa"/>
          <w:bottom w:w="0" w:type="dxa"/>
          <w:right w:w="0" w:type="dxa"/>
        </w:tblCellMar>
      </w:tblPr>
      <w:tblGrid>
        <w:gridCol w:w="271"/>
        <w:gridCol w:w="6886"/>
      </w:tblGrid>
      <w:tr>
        <w:trPr/>
        <w:tc>
          <w:tcPr>
            <w:tcW w:w="271" w:type="dxa"/>
            <w:tcBorders/>
            <w:shd w:fill="auto" w:val="clear"/>
            <w:vAlign w:val="center"/>
          </w:tcPr>
          <w:p>
            <w:pPr>
              <w:pStyle w:val="TableContents"/>
              <w:spacing w:before="0" w:after="283"/>
              <w:rPr/>
            </w:pPr>
            <w:r>
              <w:rPr/>
              <w:t>●</w:t>
            </w:r>
          </w:p>
        </w:tc>
        <w:tc>
          <w:tcPr>
            <w:tcW w:w="688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are to the legal currency of the People’s Republic of China;</w:t>
            </w:r>
          </w:p>
        </w:tc>
      </w:tr>
    </w:tbl>
    <w:tbl>
      <w:tblPr>
        <w:tblW w:w="3227" w:type="dxa"/>
        <w:jc w:val="left"/>
        <w:tblInd w:w="0" w:type="dxa"/>
        <w:tblCellMar>
          <w:top w:w="0" w:type="dxa"/>
          <w:left w:w="0" w:type="dxa"/>
          <w:bottom w:w="0" w:type="dxa"/>
          <w:right w:w="0" w:type="dxa"/>
        </w:tblCellMar>
      </w:tblPr>
      <w:tblGrid>
        <w:gridCol w:w="271"/>
        <w:gridCol w:w="2956"/>
      </w:tblGrid>
      <w:tr>
        <w:trPr/>
        <w:tc>
          <w:tcPr>
            <w:tcW w:w="271" w:type="dxa"/>
            <w:tcBorders/>
            <w:shd w:fill="auto" w:val="clear"/>
            <w:vAlign w:val="center"/>
          </w:tcPr>
          <w:p>
            <w:pPr>
              <w:pStyle w:val="TableContents"/>
              <w:spacing w:before="0" w:after="283"/>
              <w:rPr/>
            </w:pPr>
            <w:r>
              <w:rPr/>
              <w:t>●</w:t>
            </w:r>
          </w:p>
        </w:tc>
        <w:tc>
          <w:tcPr>
            <w:tcW w:w="295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RPGs” are to role-playing games;</w:t>
            </w:r>
          </w:p>
        </w:tc>
      </w:tr>
    </w:tbl>
    <w:tbl>
      <w:tblPr>
        <w:tblW w:w="3947" w:type="dxa"/>
        <w:jc w:val="left"/>
        <w:tblInd w:w="0" w:type="dxa"/>
        <w:tblCellMar>
          <w:top w:w="0" w:type="dxa"/>
          <w:left w:w="0" w:type="dxa"/>
          <w:bottom w:w="0" w:type="dxa"/>
          <w:right w:w="0" w:type="dxa"/>
        </w:tblCellMar>
      </w:tblPr>
      <w:tblGrid>
        <w:gridCol w:w="271"/>
        <w:gridCol w:w="3676"/>
      </w:tblGrid>
      <w:tr>
        <w:trPr/>
        <w:tc>
          <w:tcPr>
            <w:tcW w:w="271" w:type="dxa"/>
            <w:tcBorders/>
            <w:shd w:fill="auto" w:val="clear"/>
            <w:vAlign w:val="center"/>
          </w:tcPr>
          <w:p>
            <w:pPr>
              <w:pStyle w:val="TableContents"/>
              <w:spacing w:before="0" w:after="283"/>
              <w:rPr/>
            </w:pPr>
            <w:r>
              <w:rPr/>
              <w:t>●</w:t>
            </w:r>
          </w:p>
        </w:tc>
        <w:tc>
          <w:tcPr>
            <w:tcW w:w="367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PBOC” are to the People’s Bank of China;</w:t>
            </w:r>
          </w:p>
        </w:tc>
      </w:tr>
    </w:tbl>
    <w:tbl>
      <w:tblPr>
        <w:tblW w:w="6152" w:type="dxa"/>
        <w:jc w:val="left"/>
        <w:tblInd w:w="0" w:type="dxa"/>
        <w:tblCellMar>
          <w:top w:w="0" w:type="dxa"/>
          <w:left w:w="0" w:type="dxa"/>
          <w:bottom w:w="0" w:type="dxa"/>
          <w:right w:w="0" w:type="dxa"/>
        </w:tblCellMar>
      </w:tblPr>
      <w:tblGrid>
        <w:gridCol w:w="271"/>
        <w:gridCol w:w="5881"/>
      </w:tblGrid>
      <w:tr>
        <w:trPr/>
        <w:tc>
          <w:tcPr>
            <w:tcW w:w="271" w:type="dxa"/>
            <w:tcBorders/>
            <w:shd w:fill="auto" w:val="clear"/>
            <w:vAlign w:val="center"/>
          </w:tcPr>
          <w:p>
            <w:pPr>
              <w:pStyle w:val="TableContents"/>
              <w:spacing w:before="0" w:after="283"/>
              <w:rPr/>
            </w:pPr>
            <w:r>
              <w:rPr/>
              <w:t>●</w:t>
            </w:r>
          </w:p>
        </w:tc>
        <w:tc>
          <w:tcPr>
            <w:tcW w:w="588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SAFE” are to the State Administration of Foreign Exchange of China;</w:t>
            </w:r>
          </w:p>
        </w:tc>
      </w:tr>
    </w:tbl>
    <w:tbl>
      <w:tblPr>
        <w:tblW w:w="8912" w:type="dxa"/>
        <w:jc w:val="left"/>
        <w:tblInd w:w="0" w:type="dxa"/>
        <w:tblCellMar>
          <w:top w:w="0" w:type="dxa"/>
          <w:left w:w="0" w:type="dxa"/>
          <w:bottom w:w="0" w:type="dxa"/>
          <w:right w:w="0" w:type="dxa"/>
        </w:tblCellMar>
      </w:tblPr>
      <w:tblGrid>
        <w:gridCol w:w="271"/>
        <w:gridCol w:w="8641"/>
      </w:tblGrid>
      <w:tr>
        <w:trPr/>
        <w:tc>
          <w:tcPr>
            <w:tcW w:w="271" w:type="dxa"/>
            <w:tcBorders/>
            <w:shd w:fill="auto" w:val="clear"/>
            <w:vAlign w:val="center"/>
          </w:tcPr>
          <w:p>
            <w:pPr>
              <w:pStyle w:val="TableContents"/>
              <w:spacing w:before="0" w:after="283"/>
              <w:rPr/>
            </w:pPr>
            <w:r>
              <w:rPr/>
              <w:t>●</w:t>
            </w:r>
          </w:p>
        </w:tc>
        <w:tc>
          <w:tcPr>
            <w:tcW w:w="864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SAIC” are to the State Administration for Industry and Commerce of China, currently known as SAMR; </w:t>
            </w:r>
          </w:p>
        </w:tc>
      </w:tr>
    </w:tbl>
    <w:tbl>
      <w:tblPr>
        <w:tblW w:w="6362" w:type="dxa"/>
        <w:jc w:val="left"/>
        <w:tblInd w:w="0" w:type="dxa"/>
        <w:tblCellMar>
          <w:top w:w="0" w:type="dxa"/>
          <w:left w:w="0" w:type="dxa"/>
          <w:bottom w:w="0" w:type="dxa"/>
          <w:right w:w="0" w:type="dxa"/>
        </w:tblCellMar>
      </w:tblPr>
      <w:tblGrid>
        <w:gridCol w:w="271"/>
        <w:gridCol w:w="6091"/>
      </w:tblGrid>
      <w:tr>
        <w:trPr/>
        <w:tc>
          <w:tcPr>
            <w:tcW w:w="271" w:type="dxa"/>
            <w:tcBorders/>
            <w:shd w:fill="auto" w:val="clear"/>
            <w:vAlign w:val="center"/>
          </w:tcPr>
          <w:p>
            <w:pPr>
              <w:pStyle w:val="TableContents"/>
              <w:spacing w:before="0" w:after="283"/>
              <w:rPr/>
            </w:pPr>
            <w:r>
              <w:rPr/>
              <w:t>●</w:t>
            </w:r>
          </w:p>
        </w:tc>
        <w:tc>
          <w:tcPr>
            <w:tcW w:w="609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SAMR” are to the State Administration for Market Regulation of China;</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SAPPRFT” are to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 </w:t>
            </w:r>
          </w:p>
        </w:tc>
      </w:tr>
    </w:tbl>
    <w:tbl>
      <w:tblPr>
        <w:tblW w:w="5357" w:type="dxa"/>
        <w:jc w:val="left"/>
        <w:tblInd w:w="0" w:type="dxa"/>
        <w:tblCellMar>
          <w:top w:w="0" w:type="dxa"/>
          <w:left w:w="0" w:type="dxa"/>
          <w:bottom w:w="0" w:type="dxa"/>
          <w:right w:w="0" w:type="dxa"/>
        </w:tblCellMar>
      </w:tblPr>
      <w:tblGrid>
        <w:gridCol w:w="271"/>
        <w:gridCol w:w="5086"/>
      </w:tblGrid>
      <w:tr>
        <w:trPr/>
        <w:tc>
          <w:tcPr>
            <w:tcW w:w="271" w:type="dxa"/>
            <w:tcBorders/>
            <w:shd w:fill="auto" w:val="clear"/>
            <w:vAlign w:val="center"/>
          </w:tcPr>
          <w:p>
            <w:pPr>
              <w:pStyle w:val="TableContents"/>
              <w:spacing w:before="0" w:after="283"/>
              <w:rPr/>
            </w:pPr>
            <w:r>
              <w:rPr/>
              <w:t>●</w:t>
            </w:r>
          </w:p>
        </w:tc>
        <w:tc>
          <w:tcPr>
            <w:tcW w:w="508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SCIO” are to the State Council Information Office of China;</w:t>
            </w:r>
          </w:p>
        </w:tc>
      </w:tr>
    </w:tbl>
    <w:tbl>
      <w:tblPr>
        <w:tblW w:w="6062" w:type="dxa"/>
        <w:jc w:val="left"/>
        <w:tblInd w:w="0" w:type="dxa"/>
        <w:tblCellMar>
          <w:top w:w="0" w:type="dxa"/>
          <w:left w:w="0" w:type="dxa"/>
          <w:bottom w:w="0" w:type="dxa"/>
          <w:right w:w="0" w:type="dxa"/>
        </w:tblCellMar>
      </w:tblPr>
      <w:tblGrid>
        <w:gridCol w:w="271"/>
        <w:gridCol w:w="5791"/>
      </w:tblGrid>
      <w:tr>
        <w:trPr/>
        <w:tc>
          <w:tcPr>
            <w:tcW w:w="271" w:type="dxa"/>
            <w:tcBorders/>
            <w:shd w:fill="auto" w:val="clear"/>
            <w:vAlign w:val="center"/>
          </w:tcPr>
          <w:p>
            <w:pPr>
              <w:pStyle w:val="TableContents"/>
              <w:spacing w:before="0" w:after="283"/>
              <w:rPr/>
            </w:pPr>
            <w:r>
              <w:rPr/>
              <w:t>●</w:t>
            </w:r>
          </w:p>
        </w:tc>
        <w:tc>
          <w:tcPr>
            <w:tcW w:w="579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SEC” are to the United States Securities and Exchange Commission;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SFO” are to the Securities and Futures Ordinance (Chapter 571 of the Laws of Hong Kong), as amended or supplemented from time to time;</w:t>
            </w:r>
          </w:p>
        </w:tc>
      </w:tr>
    </w:tbl>
    <w:tbl>
      <w:tblPr>
        <w:tblW w:w="6932" w:type="dxa"/>
        <w:jc w:val="left"/>
        <w:tblInd w:w="0" w:type="dxa"/>
        <w:tblCellMar>
          <w:top w:w="0" w:type="dxa"/>
          <w:left w:w="0" w:type="dxa"/>
          <w:bottom w:w="0" w:type="dxa"/>
          <w:right w:w="0" w:type="dxa"/>
        </w:tblCellMar>
      </w:tblPr>
      <w:tblGrid>
        <w:gridCol w:w="271"/>
        <w:gridCol w:w="6661"/>
      </w:tblGrid>
      <w:tr>
        <w:trPr/>
        <w:tc>
          <w:tcPr>
            <w:tcW w:w="271" w:type="dxa"/>
            <w:tcBorders/>
            <w:shd w:fill="auto" w:val="clear"/>
            <w:vAlign w:val="center"/>
          </w:tcPr>
          <w:p>
            <w:pPr>
              <w:pStyle w:val="TableContents"/>
              <w:spacing w:before="0" w:after="283"/>
              <w:rPr/>
            </w:pPr>
            <w:r>
              <w:rPr/>
              <w:t>●</w:t>
            </w:r>
          </w:p>
        </w:tc>
        <w:tc>
          <w:tcPr>
            <w:tcW w:w="666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 are to holder(s) of shares and, where the context requires, ADSs;</w:t>
            </w:r>
          </w:p>
        </w:tc>
      </w:tr>
    </w:tbl>
    <w:tbl>
      <w:tblPr>
        <w:tblW w:w="9422" w:type="dxa"/>
        <w:jc w:val="left"/>
        <w:tblInd w:w="0" w:type="dxa"/>
        <w:tblCellMar>
          <w:top w:w="0" w:type="dxa"/>
          <w:left w:w="0" w:type="dxa"/>
          <w:bottom w:w="0" w:type="dxa"/>
          <w:right w:w="0" w:type="dxa"/>
        </w:tblCellMar>
      </w:tblPr>
      <w:tblGrid>
        <w:gridCol w:w="271"/>
        <w:gridCol w:w="9151"/>
      </w:tblGrid>
      <w:tr>
        <w:trPr/>
        <w:tc>
          <w:tcPr>
            <w:tcW w:w="271" w:type="dxa"/>
            <w:tcBorders/>
            <w:shd w:fill="auto" w:val="clear"/>
            <w:vAlign w:val="center"/>
          </w:tcPr>
          <w:p>
            <w:pPr>
              <w:pStyle w:val="TableContents"/>
              <w:spacing w:before="0" w:after="283"/>
              <w:rPr/>
            </w:pPr>
            <w:r>
              <w:rPr/>
              <w:t>●</w:t>
            </w:r>
          </w:p>
        </w:tc>
        <w:tc>
          <w:tcPr>
            <w:tcW w:w="915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are to ordinary share(s) of our company with par value of US$0.0001 per share;</w:t>
            </w:r>
          </w:p>
        </w:tc>
      </w:tr>
    </w:tbl>
    <w:tbl>
      <w:tblPr>
        <w:tblW w:w="3077" w:type="dxa"/>
        <w:jc w:val="left"/>
        <w:tblInd w:w="0" w:type="dxa"/>
        <w:tblCellMar>
          <w:top w:w="0" w:type="dxa"/>
          <w:left w:w="0" w:type="dxa"/>
          <w:bottom w:w="0" w:type="dxa"/>
          <w:right w:w="0" w:type="dxa"/>
        </w:tblCellMar>
      </w:tblPr>
      <w:tblGrid>
        <w:gridCol w:w="271"/>
        <w:gridCol w:w="2806"/>
      </w:tblGrid>
      <w:tr>
        <w:trPr/>
        <w:tc>
          <w:tcPr>
            <w:tcW w:w="271" w:type="dxa"/>
            <w:tcBorders/>
            <w:shd w:fill="auto" w:val="clear"/>
            <w:vAlign w:val="center"/>
          </w:tcPr>
          <w:p>
            <w:pPr>
              <w:pStyle w:val="TableContents"/>
              <w:spacing w:before="0" w:after="283"/>
              <w:rPr/>
            </w:pPr>
            <w:r>
              <w:rPr/>
              <w:t>●</w:t>
            </w:r>
          </w:p>
        </w:tc>
        <w:tc>
          <w:tcPr>
            <w:tcW w:w="280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SLGs” are to simulation games;</w:t>
            </w:r>
          </w:p>
        </w:tc>
      </w:tr>
    </w:tbl>
    <w:tbl>
      <w:tblPr>
        <w:tblW w:w="5087" w:type="dxa"/>
        <w:jc w:val="left"/>
        <w:tblInd w:w="0" w:type="dxa"/>
        <w:tblCellMar>
          <w:top w:w="0" w:type="dxa"/>
          <w:left w:w="0" w:type="dxa"/>
          <w:bottom w:w="0" w:type="dxa"/>
          <w:right w:w="0" w:type="dxa"/>
        </w:tblCellMar>
      </w:tblPr>
      <w:tblGrid>
        <w:gridCol w:w="271"/>
        <w:gridCol w:w="4816"/>
      </w:tblGrid>
      <w:tr>
        <w:trPr/>
        <w:tc>
          <w:tcPr>
            <w:tcW w:w="271" w:type="dxa"/>
            <w:tcBorders/>
            <w:shd w:fill="auto" w:val="clear"/>
            <w:vAlign w:val="center"/>
          </w:tcPr>
          <w:p>
            <w:pPr>
              <w:pStyle w:val="TableContents"/>
              <w:spacing w:before="0" w:after="283"/>
              <w:rPr/>
            </w:pPr>
            <w:r>
              <w:rPr/>
              <w:t>●</w:t>
            </w:r>
          </w:p>
        </w:tc>
        <w:tc>
          <w:tcPr>
            <w:tcW w:w="481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STA” are to the State Taxation Administration of China;</w:t>
            </w:r>
          </w:p>
        </w:tc>
      </w:tr>
    </w:tbl>
    <w:tbl>
      <w:tblPr>
        <w:tblW w:w="4487" w:type="dxa"/>
        <w:jc w:val="left"/>
        <w:tblInd w:w="0" w:type="dxa"/>
        <w:tblCellMar>
          <w:top w:w="0" w:type="dxa"/>
          <w:left w:w="0" w:type="dxa"/>
          <w:bottom w:w="0" w:type="dxa"/>
          <w:right w:w="0" w:type="dxa"/>
        </w:tblCellMar>
      </w:tblPr>
      <w:tblGrid>
        <w:gridCol w:w="271"/>
        <w:gridCol w:w="4216"/>
      </w:tblGrid>
      <w:tr>
        <w:trPr/>
        <w:tc>
          <w:tcPr>
            <w:tcW w:w="271" w:type="dxa"/>
            <w:tcBorders/>
            <w:shd w:fill="auto" w:val="clear"/>
            <w:vAlign w:val="center"/>
          </w:tcPr>
          <w:p>
            <w:pPr>
              <w:pStyle w:val="TableContents"/>
              <w:spacing w:before="0" w:after="283"/>
              <w:rPr/>
            </w:pPr>
            <w:r>
              <w:rPr/>
              <w:t>●</w:t>
            </w:r>
          </w:p>
        </w:tc>
        <w:tc>
          <w:tcPr>
            <w:tcW w:w="421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State Council” are to the State Council of China;</w:t>
            </w:r>
          </w:p>
        </w:tc>
      </w:tr>
    </w:tbl>
    <w:tbl>
      <w:tblPr>
        <w:tblW w:w="6977" w:type="dxa"/>
        <w:jc w:val="left"/>
        <w:tblInd w:w="0" w:type="dxa"/>
        <w:tblCellMar>
          <w:top w:w="0" w:type="dxa"/>
          <w:left w:w="0" w:type="dxa"/>
          <w:bottom w:w="0" w:type="dxa"/>
          <w:right w:w="0" w:type="dxa"/>
        </w:tblCellMar>
      </w:tblPr>
      <w:tblGrid>
        <w:gridCol w:w="271"/>
        <w:gridCol w:w="6706"/>
      </w:tblGrid>
      <w:tr>
        <w:trPr/>
        <w:tc>
          <w:tcPr>
            <w:tcW w:w="271" w:type="dxa"/>
            <w:tcBorders/>
            <w:shd w:fill="auto" w:val="clear"/>
            <w:vAlign w:val="center"/>
          </w:tcPr>
          <w:p>
            <w:pPr>
              <w:pStyle w:val="TableContents"/>
              <w:spacing w:before="0" w:after="283"/>
              <w:rPr/>
            </w:pPr>
            <w:r>
              <w:rPr/>
              <w:t>●</w:t>
            </w:r>
          </w:p>
        </w:tc>
        <w:tc>
          <w:tcPr>
            <w:tcW w:w="670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and “U.S. dollars” are to the legal currency of the United States;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Exchange Act” are to the United States Securities Exchange Act of 1934, as amended, and the rules and regulations promulgated thereunder;</w:t>
            </w:r>
          </w:p>
        </w:tc>
      </w:tr>
    </w:tbl>
    <w:tbl>
      <w:tblPr>
        <w:tblW w:w="7082" w:type="dxa"/>
        <w:jc w:val="left"/>
        <w:tblInd w:w="0" w:type="dxa"/>
        <w:tblCellMar>
          <w:top w:w="0" w:type="dxa"/>
          <w:left w:w="0" w:type="dxa"/>
          <w:bottom w:w="0" w:type="dxa"/>
          <w:right w:w="0" w:type="dxa"/>
        </w:tblCellMar>
      </w:tblPr>
      <w:tblGrid>
        <w:gridCol w:w="271"/>
        <w:gridCol w:w="6811"/>
      </w:tblGrid>
      <w:tr>
        <w:trPr/>
        <w:tc>
          <w:tcPr>
            <w:tcW w:w="271" w:type="dxa"/>
            <w:tcBorders/>
            <w:shd w:fill="auto" w:val="clear"/>
            <w:vAlign w:val="center"/>
          </w:tcPr>
          <w:p>
            <w:pPr>
              <w:pStyle w:val="TableContents"/>
              <w:spacing w:before="0" w:after="283"/>
              <w:rPr/>
            </w:pPr>
            <w:r>
              <w:rPr/>
              <w:t>●</w:t>
            </w:r>
          </w:p>
        </w:tc>
        <w:tc>
          <w:tcPr>
            <w:tcW w:w="681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are to accounting principles generally accepted in the United States;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“NetEase” or “NetEase group” are to NetEase, Inc., its subsidiaries, and, in the context of describing our operations and consolidated financial information, the variable interest entities in China mainland, including, but not limited to, Guangzhou NetEase, Hangzhou Leihuo, Youdao Computer and Hangzhou Yuedu; all of the variable interest entities are domestic companies incorporated in China mainland in which we do not have any equity ownership but whose financial results have been consolidated into our consolidated financial statements based solely on contractual arrangements in accordance with U.S. GAAP. See Item 4.B. “Information on the Company—Business Overview—Our Organizational Structure” for an illustrative diagram of our corporate structure;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Youdao” are to Youdao, Inc., a company incorporated under Cayman Islands laws, and listed on The New York Stock Exchange under the symbol “DAO” in October 2019 and a majority-controlled subsidiary of our company;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Youdao Computer” are to Beijing NetEase Youdao Computer System Co., Ltd., a company established under PRC laws;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Youdao Information” are to NetEase Youdao Information Technology (Beijing) Co., Ltd., a company established under PRC laws.</w:t>
            </w:r>
          </w:p>
        </w:tc>
      </w:tr>
    </w:tbl>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Trademarks and Service Marks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own or have been licensed the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Forward-Looking Information</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will not be successful in our product diversification efforts, including the expansion of our mobile and other games into overseas markets, our entry into strategic licensing arrangements and the expansion of our streaming music offerings and online education services;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changes in Chinese government regulation of the online game, online education, online music, live streaming, e-commerce or online advertising markets that limit future growth of our revenues or cause our revenues to decline;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continuously develop new and creative online services or that we will not be able to set, or follow in a timely manner, trends in the market;</w:t>
            </w:r>
          </w:p>
        </w:tc>
      </w:tr>
    </w:tbl>
    <w:tbl>
      <w:tblPr>
        <w:tblW w:w="6332" w:type="dxa"/>
        <w:jc w:val="left"/>
        <w:tblInd w:w="0" w:type="dxa"/>
        <w:tblCellMar>
          <w:top w:w="0" w:type="dxa"/>
          <w:left w:w="0" w:type="dxa"/>
          <w:bottom w:w="0" w:type="dxa"/>
          <w:right w:w="0" w:type="dxa"/>
        </w:tblCellMar>
      </w:tblPr>
      <w:tblGrid>
        <w:gridCol w:w="271"/>
        <w:gridCol w:w="6061"/>
      </w:tblGrid>
      <w:tr>
        <w:trPr/>
        <w:tc>
          <w:tcPr>
            <w:tcW w:w="271" w:type="dxa"/>
            <w:tcBorders/>
            <w:shd w:fill="auto" w:val="clear"/>
            <w:vAlign w:val="center"/>
          </w:tcPr>
          <w:p>
            <w:pPr>
              <w:pStyle w:val="TableContents"/>
              <w:spacing w:before="0" w:after="283"/>
              <w:rPr/>
            </w:pPr>
            <w:r>
              <w:rPr/>
              <w:t>●</w:t>
            </w:r>
          </w:p>
        </w:tc>
        <w:tc>
          <w:tcPr>
            <w:tcW w:w="6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will not be able to control our expenses in future periods;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related to 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related to economic uncertainty and capital market disruption, which are significantly impacted by rising inflation and geopolitical instability;</w:t>
            </w:r>
          </w:p>
        </w:tc>
      </w:tr>
    </w:tbl>
    <w:tbl>
      <w:tblPr>
        <w:tblW w:w="7007" w:type="dxa"/>
        <w:jc w:val="left"/>
        <w:tblInd w:w="0" w:type="dxa"/>
        <w:tblCellMar>
          <w:top w:w="0" w:type="dxa"/>
          <w:left w:w="0" w:type="dxa"/>
          <w:bottom w:w="0" w:type="dxa"/>
          <w:right w:w="0" w:type="dxa"/>
        </w:tblCellMar>
      </w:tblPr>
      <w:tblGrid>
        <w:gridCol w:w="271"/>
        <w:gridCol w:w="6736"/>
      </w:tblGrid>
      <w:tr>
        <w:trPr/>
        <w:tc>
          <w:tcPr>
            <w:tcW w:w="271" w:type="dxa"/>
            <w:tcBorders/>
            <w:shd w:fill="auto" w:val="clear"/>
            <w:vAlign w:val="center"/>
          </w:tcPr>
          <w:p>
            <w:pPr>
              <w:pStyle w:val="TableContents"/>
              <w:spacing w:before="0" w:after="283"/>
              <w:rPr/>
            </w:pPr>
            <w:r>
              <w:rPr/>
              <w:t>●</w:t>
            </w:r>
          </w:p>
        </w:tc>
        <w:tc>
          <w:tcPr>
            <w:tcW w:w="67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related to the expansion of our businesses and operations internationally;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fluctuations in the value of the Renminbi with respect to other currencies could adversely affect our business and financial results; and</w:t>
            </w:r>
          </w:p>
        </w:tc>
      </w:tr>
    </w:tbl>
    <w:tbl>
      <w:tblPr>
        <w:tblW w:w="4247" w:type="dxa"/>
        <w:jc w:val="left"/>
        <w:tblInd w:w="0" w:type="dxa"/>
        <w:tblCellMar>
          <w:top w:w="0" w:type="dxa"/>
          <w:left w:w="0" w:type="dxa"/>
          <w:bottom w:w="0" w:type="dxa"/>
          <w:right w:w="0" w:type="dxa"/>
        </w:tblCellMar>
      </w:tblPr>
      <w:tblGrid>
        <w:gridCol w:w="271"/>
        <w:gridCol w:w="3976"/>
      </w:tblGrid>
      <w:tr>
        <w:trPr/>
        <w:tc>
          <w:tcPr>
            <w:tcW w:w="271" w:type="dxa"/>
            <w:tcBorders/>
            <w:shd w:fill="auto" w:val="clear"/>
            <w:vAlign w:val="center"/>
          </w:tcPr>
          <w:p>
            <w:pPr>
              <w:pStyle w:val="TableContents"/>
              <w:spacing w:before="0" w:after="283"/>
              <w:rPr/>
            </w:pPr>
            <w:r>
              <w:rPr/>
              <w:t>●</w:t>
            </w:r>
          </w:p>
        </w:tc>
        <w:tc>
          <w:tcPr>
            <w:tcW w:w="39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outlined in our filings with the SEC.</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undertake any obligation to update this forward-looking information, except as required under applicable law.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1" w:name="PARTI_501792"/>
      <w:bookmarkStart w:id="62" w:name="_df0a7803_d4cd_4e23_b410_9201d0a4a5d9"/>
      <w:bookmarkEnd w:id="61"/>
      <w:bookmarkEnd w:id="62"/>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63" w:name="Item1IdentityofDirectorsSeniorManagement"/>
      <w:bookmarkEnd w:id="63"/>
      <w:r>
        <w:rPr>
          <w:rFonts w:ascii="Times New Roman;Times;serif" w:hAnsi="Times New Roman;Times;serif"/>
          <w:b/>
          <w:sz w:val="20"/>
        </w:rPr>
        <w:t>Item 1.   Identity of Directors, Senior Management and Advisors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4" w:name="Item2OfferStatisticsandExpectedTimetable"/>
      <w:bookmarkStart w:id="65" w:name="_c191efb9_8ef5_4f3c_a999_c0952ef38ddf"/>
      <w:bookmarkEnd w:id="64"/>
      <w:bookmarkEnd w:id="65"/>
      <w:r>
        <w:rPr>
          <w:rFonts w:ascii="Times New Roman;Times;serif" w:hAnsi="Times New Roman;Times;serif"/>
          <w:b/>
          <w:sz w:val="20"/>
        </w:rPr>
        <w:t>Item 2.   Offer Statistics and Expected Timetable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b/>
          <w:sz w:val="20"/>
        </w:rPr>
      </w:pPr>
      <w:bookmarkStart w:id="66" w:name="Item3KeyInformation_2356"/>
      <w:bookmarkStart w:id="67" w:name="_3d2845e9_9bac_436c_88b1_fe431f62f94c"/>
      <w:bookmarkEnd w:id="66"/>
      <w:bookmarkEnd w:id="67"/>
      <w:r>
        <w:rPr>
          <w:rFonts w:ascii="Times New Roman;Times;serif" w:hAnsi="Times New Roman;Times;serif"/>
          <w:b/>
          <w:sz w:val="20"/>
        </w:rPr>
        <w:t>Item 3.   Key Information</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Our Corporate Structure and Contractual Arrangements with the Variable Interest Entities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NetEase, Inc. is not a PRC operating company but a Cayman Islands holding company with operations primarily conducted through (i) our subsidiaries incorporated in China mainland, or China mainland subsidiaries, and (ii) contractual arrangements with the variable interest entities based in China mainland. Our online games, music streaming, online intelligent learning services and internet content services businesses in China mainland have been conducted through the applicable VIEs in order to comply with the laws and regulations of China mainland, which restrict and impose conditions on foreign direct investment in companies involved in the provision of such businesses. Accordingly, we operate these businesses in China mainland through the variable interest entities, and rely on contractual arrangements among NetEase, Inc., our China mainland subsidiaries, the variable interest entities and their nominee shareholders to control the business operations of the variable interest entities. In 2020, 2021 and 2022, the amount of revenues generated by the VIEs accounted for 84.4%, 85.9% and 86.4%, respectively, of our total net revenues. As of December 31, 2021 and 2022, total assets of the VIEs, excluding amounts due from other companies in the NetEase group, represented 8.5% and 7.1% of our consolidated total assets as of the same dates, respectively. As used in this annual report, “our company” refers to NetEase, Inc., whereas “we,” “us,” “our,” “NetEase” or “NetEase group” refers to NetEase, Inc., its subsidiaries, and, in the context of describing our operations and consolidated financial information, the variable interest entities in China mainland.  All of the variable interest entities are domestic companies incorporated in China mainland in which we do not have any equity ownership, but their financial results have been consolidated into our consolidated financial statements based solely on contractual arrangements in accordance with U.S. GAAP. Investors in our ADSs or ordinary shares are not purchasing equity interest in the variable interest entities in China mainland but instead are purchasing equity interest in a holding company incorporated in the Cayman Islands.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subsidiaries, the variable interest entities and their nominee shareholders have entered into a series of contractual agreements. These contractual arrangements: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us to receive the economic benefits that could potentially be significant to the variable interest entities in consideration for the services provided by our subsidiaries;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assigned all of the voting rights underlying the nominee shareholders’ equity interest in the variable interest entities to us.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contractual arrangements among NetEase, Inc., our subsidiaries, the variable interest entities and their nominee shareholders generally include shareholder voting rights trust agreements, loan agreements, operating agreements or cooperation agreements, license agreements and purchase and equity pledge agreements, as the case may be. For additional information on these contractual arrangements, see Item 7.B. “Major Shareholders and Related Party Transactions—Related Party Transactions—Material VIE Agreements.”  As a result of the contractual arrangements, the shareholders of the variable interest entities effectively assigned all of their voting rights underlying their equity interest in the variable interest entities to the primary beneficiaries of these companies, which gives our company or its subsidiaries the power to direct the activities that most significantly impact the variable interest entities’ economic performance.  However, the contractual arrangements may not be as effective as direct ownership in providing us with control over the variable interest entities, and we may incur substantial costs to enforce the terms of the arrangements. If the variable interest entities or the nominee shareholders fail to perform their respective obligations under the contractual arrangements, we could be limited in our ability to enforce the contractual arrangements that effectively assigned us the voting rights in the variable interest entities. As of the date of the filing of this annual report, to the best knowledge of NetEase, our directors and management, the contractual arrangements with the VIEs have not been tested in a court of law in China mainland. Furthermore, if we are unable to maintain such effective assignment, we would not be able to continue to consolidate the financial results of these entities in our financial statements. See Item 3.D. “Key Information—Risk Factors—Risks Related to Our Corporate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laws, regulations and rules of China mainland regarding the status of the rights of our Cayman Islands holding company with respect to its contractual arrangements with the variable interest entities and their nominee shareholders. It is uncertain whether any new laws or regulations of China mainland relating to variable interest entity structures will be adopted or if adopted, what they would provide. If we or any of the variable interest entities is found to be in violation of any existing or future laws or regulations of China mainland, or fail to obtain or maintain any of the required permits or approvals, the relevant PRC regulatory authorities would have broad discretion in accordance with the applicable laws and regulations to take action in dealing with such violations or failures. See Item 3.D. “Key Information—Risk Factors—Risks Related to Our Corporate Structure—There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Foreign Investment Law of the China mainland does not explicitly classify contractual arrangements as a form of foreign investment, the definition of “foreign investment” thereunder is relatively wide and contains a catch-all provision which includes investments made by foreign investors through means stipulated in laws or administrative regulations or other methods prescribed by the State Council. Therefore, there is no assurance that foreign investment via contractual arrangement would not be interpreted as a type of indirect foreign investment activities in the future. If any of the variable interest entities were deemed as a foreign-invested enterprise under any such future laws, administrative regulations or provisions and any of our business would be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In addition, if the PRC regulatory authorities were to find our legal structure and contractual arrangements to be in violation of any laws, administrative regulations or provisions of China mainland, we are uncertain what impact of above PRC regulatory authorities’ actions would have on us and our ability to consolidate the variable interest entities in the consolidated financial statements. For more details, see Item 3.D. “Key Information—Risk Factors—Risks Related to Our Corporate Structure— Substantial uncertainties exist with respect to how the 2019 Foreign Investment Law may impact the viability of our current corporate structure, corporate governance and business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necessary licenses to conduct many of our businesses in China mainland, including to operate our online games, music streaming, online intelligent learning services and internet content services businesses, are held by the variable interest entities and, as noted above, a significant part of our revenues are generated by the variable interest entities. An event that results in the deconsolidation of the variable interest entities would have a material effect on our operations and result in the value of the securities of our company diminishing substantially or even become worthless. Our company, our China mainland subsidiaries and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whole. NetEase, Inc. may not be able to repay its indebtedness, and the ADSs or ordinary shares of our company may decline in value or become worthless, if we are unable to assert our contractual control rights over the assets of our China mainland subsidiaries and the variable interest entities that conduct a major portion of our operations. For a detailed description of the risks associated with our corporate structure, please refer to risks disclosed under Item 3.D. “Key Information—Risk Factors—Risks Related to Our Corporate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If the CSRC, CAC or other PRC regulatory agencies determine that prior approval is required for any of our offerings of securities overseas or maintenance of the trading status of our ADSs or ordinary shares, we cannot guarantee that we will be able to obtain such approval in a timely manner, or at all. The CSRC, CAC or other PRC regulatory agencies may also take actions requiring us, or making it advisable for us, not to proceed with such offering or maintain the trading status of our ADSs or ordinary shares. If we proceed with any of such offering or maintain the trading status of our ADSs or ordinary shares without obtaining the CSRC’s, CAC’s or other PRC regulatory agencies’ approval to the extent it is required, or if we are unable to comply with any new approval requirements which might be adopted for offerings that we have completed,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ordinary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may also intervene with or influence our operations as it deems appropriate to further regulatory, political and societal goals. The PRC government has recently published new policies that affected various industries, including industries in which we operate in,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become worthless.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more information on the permissions required from the PRC authorities for our operations and offerings, please also see Item 4.B. “Information on the Company—Business Overview—Permissions Required from the PRC Authorities for Our Operations and Offerings.”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on transfers of funds within the NetEase group, certain financial information of NetEase, Inc., its subsidiaries and the VIEs and the restrictions on foreign exchange and the ability to transfer cash between entities, across borders and to U.S. investors, see Item 5.B. “Operating and Financial Review and Prospects—Liquidity and Capital Resources—Transfer of Funds” and “Operating and Financial Review and Prospects—Liquidity and Capital Resources—Management of Capital Resources,” Item 10.E. “Additional Information—Taxation” and Item 10.D. “Additional Information—Exchange Controls.”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China mainland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China mainland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3.D. “Key Information—Risk Factors—Risks related to Our ADSs and Shares—The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Our ADSs and Shares—Our ADSs may be prohibited from trading in the United States under the Holding Foreign Companies Accountable Act, or the HFCAA, in the future if the PCAOB is unable to inspect or fully investigate auditors located in China. The delisting of our ADSs, or the threat of their being delisted, may materially and adversely affect the value of your investment.”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[Reserved]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               Capitalization and Indebtedness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               Risk Factors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An investment in our ADSs or ordinary shares involves significant risks. Below is a summary of material risks we face, organized under relevant headings. All the operational risks associated with being based in and having operations in China mainland also apply to operations in Hong Kong. With respect to the legal risks associated with being based in and having operations in China mainland, the laws, regulations and the discretion of China mainland governmental authorities discussed in this annual report are expected to apply to China mainland entities and businesses, rather than entities or businesses in Hong Kong which operate under a different set of laws from China mainland. These risks are discussed more fully in Item 3.D. “Key Information—Risk Factors.”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tbl>
      <w:tblPr>
        <w:tblW w:w="5661" w:type="dxa"/>
        <w:jc w:val="left"/>
        <w:tblInd w:w="0" w:type="dxa"/>
        <w:tblCellMar>
          <w:top w:w="28" w:type="dxa"/>
          <w:left w:w="28" w:type="dxa"/>
          <w:bottom w:w="28" w:type="dxa"/>
          <w:right w:w="28" w:type="dxa"/>
        </w:tblCellMar>
      </w:tblPr>
      <w:tblGrid>
        <w:gridCol w:w="124"/>
        <w:gridCol w:w="256"/>
        <w:gridCol w:w="5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Our Games and Related Value-added Services </w:t>
            </w:r>
          </w:p>
        </w:tc>
      </w:tr>
    </w:tbl>
    <w:tbl>
      <w:tblPr>
        <w:tblW w:w="8646" w:type="dxa"/>
        <w:jc w:val="left"/>
        <w:tblInd w:w="0" w:type="dxa"/>
        <w:tblCellMar>
          <w:top w:w="28" w:type="dxa"/>
          <w:left w:w="28" w:type="dxa"/>
          <w:bottom w:w="28" w:type="dxa"/>
          <w:right w:w="28" w:type="dxa"/>
        </w:tblCellMar>
      </w:tblPr>
      <w:tblGrid>
        <w:gridCol w:w="124"/>
        <w:gridCol w:w="256"/>
        <w:gridCol w:w="8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developing new online games and growing the popularity of existing online games</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claims regarding our gaming contents resulting in negative publicity or a governmental response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346" w:type="dxa"/>
        <w:jc w:val="left"/>
        <w:tblInd w:w="0" w:type="dxa"/>
        <w:tblCellMar>
          <w:top w:w="28" w:type="dxa"/>
          <w:left w:w="28" w:type="dxa"/>
          <w:bottom w:w="28" w:type="dxa"/>
          <w:right w:w="28" w:type="dxa"/>
        </w:tblCellMar>
      </w:tblPr>
      <w:tblGrid>
        <w:gridCol w:w="124"/>
        <w:gridCol w:w="256"/>
        <w:gridCol w:w="7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additional restrictions to limit online game playing by the Chinese government</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uncertainties in obtaining approval for new games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laws, regulations policies and guidelines applicable to the live streaming and online entertainment industries</w:t>
            </w:r>
          </w:p>
        </w:tc>
      </w:tr>
    </w:tbl>
    <w:tbl>
      <w:tblPr>
        <w:tblW w:w="5556" w:type="dxa"/>
        <w:jc w:val="left"/>
        <w:tblInd w:w="0" w:type="dxa"/>
        <w:tblCellMar>
          <w:top w:w="28" w:type="dxa"/>
          <w:left w:w="28" w:type="dxa"/>
          <w:bottom w:w="28" w:type="dxa"/>
          <w:right w:w="28" w:type="dxa"/>
        </w:tblCellMar>
      </w:tblPr>
      <w:tblGrid>
        <w:gridCol w:w="124"/>
        <w:gridCol w:w="256"/>
        <w:gridCol w:w="5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international operations of our online games </w:t>
            </w:r>
          </w:p>
        </w:tc>
      </w:tr>
    </w:tbl>
    <w:tbl>
      <w:tblPr>
        <w:tblW w:w="8031" w:type="dxa"/>
        <w:jc w:val="left"/>
        <w:tblInd w:w="0" w:type="dxa"/>
        <w:tblCellMar>
          <w:top w:w="28" w:type="dxa"/>
          <w:left w:w="28" w:type="dxa"/>
          <w:bottom w:w="28" w:type="dxa"/>
          <w:right w:w="28" w:type="dxa"/>
        </w:tblCellMar>
      </w:tblPr>
      <w:tblGrid>
        <w:gridCol w:w="124"/>
        <w:gridCol w:w="25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third-party platforms that distribute our mobile games and collect payments</w:t>
            </w:r>
          </w:p>
        </w:tc>
      </w:tr>
    </w:tbl>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maintaining our existing licenses of game or intellectual property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illegal game servers, acts of cheating by players and sales and purchases by players of our game accounts and virtual items through third-party auction websites</w:t>
            </w:r>
          </w:p>
        </w:tc>
      </w:tr>
    </w:tbl>
    <w:tbl>
      <w:tblPr>
        <w:tblW w:w="3636" w:type="dxa"/>
        <w:jc w:val="left"/>
        <w:tblInd w:w="0" w:type="dxa"/>
        <w:tblCellMar>
          <w:top w:w="28" w:type="dxa"/>
          <w:left w:w="28" w:type="dxa"/>
          <w:bottom w:w="28" w:type="dxa"/>
          <w:right w:w="28" w:type="dxa"/>
        </w:tblCellMar>
      </w:tblPr>
      <w:tblGrid>
        <w:gridCol w:w="124"/>
        <w:gridCol w:w="256"/>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Other Businesses</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changes in Youdao’s business strategies and offerings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Youdao business’s compliance with the Opinions on Further Alleviating the Burden of Homework and After-School Tutoring for Students in Compulsory Education and the implementation measures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changes in user acceptance of Youdao, and market trend of integration of technology and learning, and the development and application of our technologies to support and expand Youdao’s product and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obtaining legal and regulatory approvals, licenses or permits of our intelligent learning, music streaming, e-commerce, advertising and other innovative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obtaining licenses for the music content necessary to provide our music streaming services, and our ability to attract and retain users</w:t>
            </w:r>
          </w:p>
        </w:tc>
      </w:tr>
    </w:tbl>
    <w:tbl>
      <w:tblPr>
        <w:tblW w:w="6771" w:type="dxa"/>
        <w:jc w:val="left"/>
        <w:tblInd w:w="0" w:type="dxa"/>
        <w:tblCellMar>
          <w:top w:w="28" w:type="dxa"/>
          <w:left w:w="28" w:type="dxa"/>
          <w:bottom w:w="28" w:type="dxa"/>
          <w:right w:w="28" w:type="dxa"/>
        </w:tblCellMar>
      </w:tblPr>
      <w:tblGrid>
        <w:gridCol w:w="124"/>
        <w:gridCol w:w="256"/>
        <w:gridCol w:w="6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generating and maintaining significant advertising revenue </w:t>
            </w:r>
          </w:p>
        </w:tc>
      </w:tr>
    </w:tbl>
    <w:tbl>
      <w:tblPr>
        <w:tblW w:w="4701" w:type="dxa"/>
        <w:jc w:val="left"/>
        <w:tblInd w:w="0" w:type="dxa"/>
        <w:tblCellMar>
          <w:top w:w="28" w:type="dxa"/>
          <w:left w:w="28" w:type="dxa"/>
          <w:bottom w:w="28" w:type="dxa"/>
          <w:right w:w="28" w:type="dxa"/>
        </w:tblCellMar>
      </w:tblPr>
      <w:tblGrid>
        <w:gridCol w:w="124"/>
        <w:gridCol w:w="256"/>
        <w:gridCol w:w="4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growing our e-commerce business </w:t>
            </w:r>
          </w:p>
        </w:tc>
      </w:tr>
    </w:tbl>
    <w:tbl>
      <w:tblPr>
        <w:tblW w:w="3786" w:type="dxa"/>
        <w:jc w:val="left"/>
        <w:tblInd w:w="0" w:type="dxa"/>
        <w:tblCellMar>
          <w:top w:w="28" w:type="dxa"/>
          <w:left w:w="28" w:type="dxa"/>
          <w:bottom w:w="28" w:type="dxa"/>
          <w:right w:w="28" w:type="dxa"/>
        </w:tblCellMar>
      </w:tblPr>
      <w:tblGrid>
        <w:gridCol w:w="124"/>
        <w:gridCol w:w="256"/>
        <w:gridCol w:w="3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Operations Overall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competing successfully against new entrants and established industry competitors and keeping up with rapid changes in technologies and user behavior and innovating and exploring new areas of operations </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gross profit margin and profitability affected by changes in our mix of revenues</w:t>
            </w:r>
          </w:p>
        </w:tc>
      </w:tr>
    </w:tbl>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credit risk on our accounts receivable </w:t>
            </w:r>
          </w:p>
        </w:tc>
      </w:tr>
    </w:tbl>
    <w:tbl>
      <w:tblPr>
        <w:tblW w:w="6306" w:type="dxa"/>
        <w:jc w:val="left"/>
        <w:tblInd w:w="0" w:type="dxa"/>
        <w:tblCellMar>
          <w:top w:w="28" w:type="dxa"/>
          <w:left w:w="28" w:type="dxa"/>
          <w:bottom w:w="28" w:type="dxa"/>
          <w:right w:w="28" w:type="dxa"/>
        </w:tblCellMar>
      </w:tblPr>
      <w:tblGrid>
        <w:gridCol w:w="124"/>
        <w:gridCol w:w="256"/>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a prolonged slowdown in the PRC or global economy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economic uncertainty and capital market disruptions caused by rising inflation and geopolitical instability</w:t>
            </w:r>
          </w:p>
        </w:tc>
      </w:tr>
    </w:tbl>
    <w:tbl>
      <w:tblPr>
        <w:tblW w:w="10041" w:type="dxa"/>
        <w:jc w:val="left"/>
        <w:tblInd w:w="0" w:type="dxa"/>
        <w:tblCellMar>
          <w:top w:w="28" w:type="dxa"/>
          <w:left w:w="28" w:type="dxa"/>
          <w:bottom w:w="28" w:type="dxa"/>
          <w:right w:w="28" w:type="dxa"/>
        </w:tblCellMar>
      </w:tblPr>
      <w:tblGrid>
        <w:gridCol w:w="124"/>
        <w:gridCol w:w="256"/>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compliance with laws and other obligations regarding data protection in China and outside of China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breaches of our information technology systems and system failure or performance inadequacy that causes interruptions of our services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ability to retain our existing key employees and to add and retain senior officers to our management</w:t>
            </w:r>
          </w:p>
        </w:tc>
      </w:tr>
    </w:tbl>
    <w:tbl>
      <w:tblPr>
        <w:tblW w:w="10086" w:type="dxa"/>
        <w:jc w:val="left"/>
        <w:tblInd w:w="0" w:type="dxa"/>
        <w:tblCellMar>
          <w:top w:w="28" w:type="dxa"/>
          <w:left w:w="28" w:type="dxa"/>
          <w:bottom w:w="28" w:type="dxa"/>
          <w:right w:w="28" w:type="dxa"/>
        </w:tblCellMar>
      </w:tblPr>
      <w:tblGrid>
        <w:gridCol w:w="124"/>
        <w:gridCol w:w="256"/>
        <w:gridCol w:w="9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natural disasters, widespread public health problems, other outbreaks and epidemics and other events</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expansion of our businesses and operations internationally</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regulatory changes relating to the contractual arrangements with the VIEs and the viability of our current corporate structure, corporate governance and business operations</w:t>
            </w:r>
          </w:p>
        </w:tc>
      </w:tr>
    </w:tbl>
    <w:tbl>
      <w:tblPr>
        <w:tblW w:w="8271" w:type="dxa"/>
        <w:jc w:val="left"/>
        <w:tblInd w:w="0" w:type="dxa"/>
        <w:tblCellMar>
          <w:top w:w="28" w:type="dxa"/>
          <w:left w:w="28" w:type="dxa"/>
          <w:bottom w:w="28" w:type="dxa"/>
          <w:right w:w="28" w:type="dxa"/>
        </w:tblCellMar>
      </w:tblPr>
      <w:tblGrid>
        <w:gridCol w:w="124"/>
        <w:gridCol w:w="256"/>
        <w:gridCol w:w="7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maintaining operational control of the VIEs through contractual arrangements </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the shareholders who have significant influence over our company and the variable interest entities </w:t>
            </w:r>
          </w:p>
        </w:tc>
      </w:tr>
    </w:tbl>
    <w:tbl>
      <w:tblPr>
        <w:tblW w:w="6006" w:type="dxa"/>
        <w:jc w:val="left"/>
        <w:tblInd w:w="0" w:type="dxa"/>
        <w:tblCellMar>
          <w:top w:w="28" w:type="dxa"/>
          <w:left w:w="28" w:type="dxa"/>
          <w:bottom w:w="28" w:type="dxa"/>
          <w:right w:w="28" w:type="dxa"/>
        </w:tblCellMar>
      </w:tblPr>
      <w:tblGrid>
        <w:gridCol w:w="124"/>
        <w:gridCol w:w="256"/>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arrangements with the variable interest entities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tbl>
      <w:tblPr>
        <w:tblW w:w="5151" w:type="dxa"/>
        <w:jc w:val="left"/>
        <w:tblInd w:w="0" w:type="dxa"/>
        <w:tblCellMar>
          <w:top w:w="28" w:type="dxa"/>
          <w:left w:w="28" w:type="dxa"/>
          <w:bottom w:w="28" w:type="dxa"/>
          <w:right w:w="28" w:type="dxa"/>
        </w:tblCellMar>
      </w:tblPr>
      <w:tblGrid>
        <w:gridCol w:w="124"/>
        <w:gridCol w:w="256"/>
        <w:gridCol w:w="4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China’s political and economic policies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compliance with and changes in PRC laws and regulations relating to telecommunications, internet, foreign investment, tax, online games, virtual asset property rights, consumer protection and financial transactions</w:t>
            </w:r>
          </w:p>
        </w:tc>
      </w:tr>
    </w:tbl>
    <w:tbl>
      <w:tblPr>
        <w:tblW w:w="8061" w:type="dxa"/>
        <w:jc w:val="left"/>
        <w:tblInd w:w="0" w:type="dxa"/>
        <w:tblCellMar>
          <w:top w:w="28" w:type="dxa"/>
          <w:left w:w="28" w:type="dxa"/>
          <w:bottom w:w="28" w:type="dxa"/>
          <w:right w:w="28" w:type="dxa"/>
        </w:tblCellMar>
      </w:tblPr>
      <w:tblGrid>
        <w:gridCol w:w="124"/>
        <w:gridCol w:w="25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claims and liabilities based on the information and content on our platforms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uncertainties with respect to the interpretation and implementation of the anti-monopoly related laws in the field of internet platforms</w:t>
            </w:r>
          </w:p>
        </w:tc>
      </w:tr>
    </w:tbl>
    <w:tbl>
      <w:tblPr>
        <w:tblW w:w="7341" w:type="dxa"/>
        <w:jc w:val="left"/>
        <w:tblInd w:w="0" w:type="dxa"/>
        <w:tblCellMar>
          <w:top w:w="28" w:type="dxa"/>
          <w:left w:w="28" w:type="dxa"/>
          <w:bottom w:w="28" w:type="dxa"/>
          <w:right w:w="28" w:type="dxa"/>
        </w:tblCellMar>
      </w:tblPr>
      <w:tblGrid>
        <w:gridCol w:w="124"/>
        <w:gridCol w:w="25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ability to protect our intellectual property from being infringed</w:t>
            </w:r>
          </w:p>
        </w:tc>
      </w:tr>
    </w:tbl>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currency exchange rates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ADSs and Shares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being prohibited from trading on Nasdaq under the Holding Foreign Companies Accountable Act if the PCAOB cannot continue to inspect our independent registered public accounting firm for two consecutive years</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volatility of the trading price of our ADSs and shares</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different listing rules and regulations that apply to us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the limitation of the voting, inspection and other rights of holders of ADSs </w:t>
            </w:r>
          </w:p>
        </w:tc>
      </w:tr>
    </w:tbl>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You should carefully consider the following risk factors in addition to the other information set forth in this annual report. If any of the following risks were actually to occur, our business, financial condition and results of operations prospects could be adversely affected and the value of our ADSs and shares would likely suffer.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Games and Related Value-added Services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If we fail to develop and introduce popular, high-quality online games in a timely and successful manner, we will not be able to compete effectively and our ability to generate revenues will suffer.</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research and development and testing, and also typically experiences a long ramp-up period as players become familiar with the game. If we are unsuccessful at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pStyle w:val="TextBody"/>
        <w:spacing w:lineRule="auto" w:line="240"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in the past, when the gaming industry was transitioning to mobile games, we began devoting significant resources to developing games that can be operated on mobile devices. As of December 31, 2022, we had commercially launched over 100 mobile games, including the </w:t>
      </w:r>
      <w:r>
        <w:rPr>
          <w:rFonts w:ascii="Times New Roman;Times;serif" w:hAnsi="Times New Roman;Times;serif"/>
          <w:i/>
          <w:sz w:val="20"/>
        </w:rPr>
        <w:t>Fantasy Westward Journey</w:t>
      </w:r>
      <w:r>
        <w:rPr>
          <w:rFonts w:ascii="Times New Roman;Times;serif" w:hAnsi="Times New Roman;Times;serif"/>
          <w:sz w:val="20"/>
        </w:rPr>
        <w:t xml:space="preserve"> mobile game, </w:t>
      </w:r>
      <w:r>
        <w:rPr>
          <w:rFonts w:ascii="Times New Roman;Times;serif" w:hAnsi="Times New Roman;Times;serif"/>
          <w:i/>
          <w:sz w:val="20"/>
        </w:rPr>
        <w:t>Westward Journey Online</w:t>
      </w:r>
      <w:r>
        <w:rPr>
          <w:rFonts w:ascii="Times New Roman;Times;serif" w:hAnsi="Times New Roman;Times;serif"/>
          <w:sz w:val="20"/>
        </w:rPr>
        <w:t xml:space="preserve"> mobile game, </w:t>
      </w:r>
      <w:r>
        <w:rPr>
          <w:rFonts w:ascii="Times New Roman;Times;serif" w:hAnsi="Times New Roman;Times;serif"/>
          <w:i/>
          <w:sz w:val="20"/>
        </w:rPr>
        <w:t>Onmyoji</w:t>
      </w:r>
      <w:r>
        <w:rPr>
          <w:rFonts w:ascii="Times New Roman;Times;serif" w:hAnsi="Times New Roman;Times;serif"/>
          <w:sz w:val="20"/>
        </w:rPr>
        <w:t xml:space="preserve">, the mobile version of </w:t>
      </w:r>
      <w:r>
        <w:rPr>
          <w:rFonts w:ascii="Times New Roman;Times;serif" w:hAnsi="Times New Roman;Times;serif"/>
          <w:i/>
          <w:sz w:val="20"/>
        </w:rPr>
        <w:t>New Ghost</w:t>
      </w:r>
      <w:r>
        <w:rPr>
          <w:rFonts w:ascii="Times New Roman;Times;serif" w:hAnsi="Times New Roman;Times;serif"/>
          <w:sz w:val="20"/>
        </w:rPr>
        <w:t xml:space="preserve">, </w:t>
      </w:r>
      <w:r>
        <w:rPr>
          <w:rFonts w:ascii="Times New Roman;Times;serif" w:hAnsi="Times New Roman;Times;serif"/>
          <w:i/>
          <w:sz w:val="20"/>
        </w:rPr>
        <w:t>Invincible</w:t>
      </w:r>
      <w:r>
        <w:rPr>
          <w:rFonts w:ascii="Times New Roman;Times;serif" w:hAnsi="Times New Roman;Times;serif"/>
          <w:sz w:val="20"/>
        </w:rPr>
        <w:t xml:space="preserve">, </w:t>
      </w:r>
      <w:r>
        <w:rPr>
          <w:rFonts w:ascii="Times New Roman;Times;serif" w:hAnsi="Times New Roman;Times;serif"/>
          <w:i/>
          <w:sz w:val="20"/>
        </w:rPr>
        <w:t>Knives Out</w:t>
      </w:r>
      <w:r>
        <w:rPr>
          <w:rFonts w:ascii="Times New Roman;Times;serif" w:hAnsi="Times New Roman;Times;serif"/>
          <w:sz w:val="20"/>
        </w:rPr>
        <w:t xml:space="preserve">, </w:t>
      </w:r>
      <w:r>
        <w:rPr>
          <w:rFonts w:ascii="Times New Roman;Times;serif" w:hAnsi="Times New Roman;Times;serif"/>
          <w:i/>
          <w:sz w:val="20"/>
        </w:rPr>
        <w:t>Identity V</w:t>
      </w:r>
      <w:r>
        <w:rPr>
          <w:rFonts w:ascii="Times New Roman;Times;serif" w:hAnsi="Times New Roman;Times;serif"/>
          <w:sz w:val="20"/>
        </w:rPr>
        <w:t xml:space="preserve">, </w:t>
      </w:r>
      <w:r>
        <w:rPr>
          <w:rFonts w:ascii="Times New Roman;Times;serif" w:hAnsi="Times New Roman;Times;serif"/>
          <w:i/>
          <w:sz w:val="20"/>
        </w:rPr>
        <w:t>LifeAfter</w:t>
      </w:r>
      <w:r>
        <w:rPr>
          <w:rFonts w:ascii="Times New Roman;Times;serif" w:hAnsi="Times New Roman;Times;serif"/>
          <w:sz w:val="20"/>
        </w:rPr>
        <w:t xml:space="preserve">, </w:t>
      </w:r>
      <w:r>
        <w:rPr>
          <w:rFonts w:ascii="Times New Roman;Times;serif" w:hAnsi="Times New Roman;Times;serif"/>
          <w:i/>
          <w:sz w:val="20"/>
        </w:rPr>
        <w:t>Sky</w:t>
      </w:r>
      <w:r>
        <w:rPr>
          <w:rFonts w:ascii="Times New Roman;Times;serif" w:hAnsi="Times New Roman;Times;serif"/>
          <w:sz w:val="20"/>
        </w:rPr>
        <w:t xml:space="preserve">, </w:t>
      </w:r>
      <w:r>
        <w:rPr>
          <w:rFonts w:ascii="Times New Roman;Times;serif" w:hAnsi="Times New Roman;Times;serif"/>
          <w:i/>
          <w:sz w:val="20"/>
        </w:rPr>
        <w:t>Revelation</w:t>
      </w:r>
      <w:r>
        <w:rPr>
          <w:rFonts w:ascii="Times New Roman;Times;serif" w:hAnsi="Times New Roman;Times;serif"/>
          <w:sz w:val="20"/>
        </w:rPr>
        <w:t xml:space="preserve"> mobile game, </w:t>
      </w:r>
      <w:r>
        <w:rPr>
          <w:rFonts w:ascii="Times New Roman;Times;serif" w:hAnsi="Times New Roman;Times;serif"/>
          <w:i/>
          <w:sz w:val="20"/>
        </w:rPr>
        <w:t>Harry Potter: Magic</w:t>
      </w:r>
      <w:r>
        <w:rPr>
          <w:rFonts w:ascii="Times New Roman;Times;serif" w:hAnsi="Times New Roman;Times;serif"/>
          <w:sz w:val="20"/>
        </w:rPr>
        <w:t xml:space="preserve"> </w:t>
      </w:r>
      <w:r>
        <w:rPr>
          <w:rFonts w:ascii="Times New Roman;Times;serif" w:hAnsi="Times New Roman;Times;serif"/>
          <w:i/>
          <w:sz w:val="20"/>
        </w:rPr>
        <w:t>Awakened</w:t>
      </w:r>
      <w:r>
        <w:rPr>
          <w:rFonts w:ascii="Times New Roman;Times;serif" w:hAnsi="Times New Roman;Times;serif"/>
          <w:sz w:val="20"/>
        </w:rPr>
        <w:t xml:space="preserve">,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i/>
          <w:sz w:val="15"/>
        </w:rPr>
        <w:t>TM</w:t>
      </w:r>
      <w:r>
        <w:rPr>
          <w:rFonts w:ascii="Times New Roman;Times;serif" w:hAnsi="Times New Roman;Times;serif"/>
          <w:sz w:val="20"/>
        </w:rPr>
        <w:t xml:space="preserve"> and </w:t>
      </w:r>
      <w:r>
        <w:rPr>
          <w:rFonts w:ascii="Times New Roman;Times;serif" w:hAnsi="Times New Roman;Times;serif"/>
          <w:i/>
          <w:sz w:val="20"/>
        </w:rPr>
        <w:t>Eggy Party</w:t>
      </w:r>
      <w:r>
        <w:rPr>
          <w:rFonts w:ascii="Times New Roman;Times;serif" w:hAnsi="Times New Roman;Times;serif"/>
          <w:sz w:val="20"/>
        </w:rPr>
        <w:t xml:space="preserve">. While we continue to invest in mobile games, the market for mobile games is rapidly evolving with games in an expanding range of genres being introduced by us and our competitors, and we cannot guarantee that we will be able to effectively compete in the mobile game market. In June 2022, we further launched </w:t>
      </w:r>
      <w:r>
        <w:rPr>
          <w:rFonts w:ascii="Times New Roman;Times;serif" w:hAnsi="Times New Roman;Times;serif"/>
          <w:i/>
          <w:sz w:val="20"/>
        </w:rPr>
        <w:t>Naraka: Bladepoint</w:t>
      </w:r>
      <w:r>
        <w:rPr>
          <w:rFonts w:ascii="Times New Roman;Times;serif" w:hAnsi="Times New Roman;Times;serif"/>
          <w:sz w:val="20"/>
        </w:rPr>
        <w:t xml:space="preserve"> on Xbox Series X and S and plan to launch numerous additional console games in the future.  We will also need to continue investing in the development of new technologies, such as virtual reality, and bring new features and functionalities to our games, as well as enhance the user experience on our various platforms.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If we are unable to continue to extend the life of existing online games that will encourage continued engagement with the games through the addition of new features or functionalities, our business may be negatively impacted.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we must utilize this information to effectively incorporate features into our updates and expansion packs to improve the variety and attractiveness of our gameplay and any virtual items sold within the games.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Chinese government has taken steps to limit online game playing time for all minors and to otherwise control the content and operation of online games. These and any other new restrictions on online games may materially and adversely impact our business, financial conditions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its anti-addiction online game policy, the Chinese government has taken several steps to discourage minors under the age of 18 from continuously playing online games once they exceed a set number of hours of continuous play. For example, in April 2007, GAPP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 The Law of the PRC on the Protection of Minors (“Minors Protection Law”) issued by the National People’s Congress Standing Committee on September 4, 1991 was amended on October 17, 2020 and became effective on June 1, 2021, pursuant to which online game service providers are required to classify the game products in accordance with relevant regulations and standards, give age-appropriate tips and take technical measures to prevent minors from contacting improper game or game function. Violation of the Minors Protection Law could result in rectification, confiscation of illegal gains and penalties. In 2019, the GAPP restricted play of online gamers under 18 years old to 90 minutes on weekdays and three hours on weekends. In September 2021, the Chinese government and regulatory authorities further limited the play of online gamers under 18 by prohibiting play on weekdays and limiting playing for one hour a day on Fridays, Saturdays and Sundays.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identify that a game player is a minor and thus subject to the online game anti-addiction system, a real-name registration system must be adopted to require players to register their real identity information before playing online games. Pursuant to the Notice Regarding the Initiation of Work on the Online Games Real-Name Verification System to Prevent Online Gaming Addiction, or the Commencement of Real-Name Authentication Notice, issued by eight government authorities on July 1, 2011, online game (excluding mobile game) operators must submit the identity information of game players which needs to be further verified to the National Citizen Identity Information Center, a subordinate public institution of the Ministry of Public Security, for verification since October 1, 2011, in an effort to prevent minors from using an adult’s ID to play online games. Violation of the Anti-addiction Notice and the Commencement of Real-name Authentication Notice could result in the termination of the operation of online games. On August 30, 2018, the Implementation Scheme on Comprehensive Prevention and Control of Adolescent Myopia, or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10:00 pm to 8:00 am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Strict Administration to Prevent Minors from Indulging in Online Games, which provides that online game operators may only provide one-hour online game services to minors from 8:00 p.m. to 9:00 p.m. on every Friday, Saturday, Sunday or PRC statutory holiday. In addition, the notice sets forth that all the online games must be connected to the real-name verification system for anti-addiction to online games operated by the NPPA, and online game operators may not provide game services in any form to any users without real-name registration and login. We have updated our anti-addiction systems accordingly to comply with the above-mentioned requirements. We do not believe that the Implementation Scheme has had or will have any material impact on our gaming operations because minors comprise only a small percentage of our total user base, but we cannot assure you that any future regulations or restrictive rules will not adversely affect our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10, 2019, the MOCT announced the abolishment of the Interim Measures for the Administration of Online Games, or the Online Games Measures, which had previously regulated activities related to the online game industry,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As of the date of the filing of this annual report, no laws and regulations had been promulgated or published to replace the Online Games Measures. We cannot be sure if or when any future regulations or restrictive rules in this regard will be promulgated and whether they would negatively impact our operations, including by increasing our compliance costs and negatively impacting our ability to launch and operate new games.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Any difficulties or delays in receiving approval from the relevant government authorities for our new games or new expansion packs for, or material changes to, our existing games could adversely affect such games’ popularity and profitability.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experienced certain delays from March 29, 2018 to December 28, 2018 and again from July 23, 2021 to April 10, 2022 respectively, during which periods the PRC game regulatory authority, the NPPA, did not release any new domestic online game approvals. We are not certain of the cause of the delays. In addition, no laws, regulations or official clarifications had been promulgated or published in relation to such delay and resumption of the assessment and pre-approval procedures. The approval process returned to normal from April 11, 2022, but we cannot predict whether there will be any similar delays in the future, and the effect any future delay in approvals may have on our results of operations. Moreover, we are required to have an Online Publishing Service License issued by the NPPA in order to obtain any such approvals.  Our current license has expired, and we are in the process of renewing it, although we cannot be certain if or when such renewal will be granted.  During this renewal period, our operations have not been materially affected.</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several news reports in December 2018, PRC regulators established the Online Games Ethics Committee for the purpose of reviewing online games, and based on the assessment conducted by the Online Games Ethics Committee, PRC regulators reviewed and rejected nine of an initial batch of 20 games. As of the date of the filing of this annual report, no official laws and regulations had been promulgated or published in relation to the assessment criteria and procedures of the Online Games Ethics Committee. However, the formation of the Online Games Ethics Committee and its assessment criteria and procedures could impact our ability to launch and publish new games in China mainland going forward, and require us to spend more time and costs in preparing and receiving the approvals necessary to launch our games. In addition, our games that have already received the relevant pre-approval may also be subject to further review by the Online Games Ethics Committee, and we may be required to modify the content of our games, which will further add to our regulatory compliance costs and expenses.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laws related to live streaming and online entertainment industries. Any failure to comply with or any changes in the applicable laws, regulations, policies and guidelines may adversely impact the prospects and results of operations of our services in such industries.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business and services of live streaming and online entertainment must comply with numerous laws, regulations, policies and guidelines promulgated by PRC authorities. For example, platforms providing show live streaming should have registered their information and business operations by November 30, 2020, and live streaming platforms that provide network audio-visual program services must hold an Audio and Video Service Permission (the “AVSP”) or complete the registration in the National Network Audio-visual Platform Information Registration Management System. For more information, see Item 4.B. “Information on the Company—Business Overview—Government Regulations—Regulations on Internet Live Streaming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authorities in China have been heightening their oversight of live streaming businesses. Pursuant to applicable PRC laws and regulations, users who have not registered with their real names or who are minors are prohibited from engaging in virtual gifting. Also, live broadcasting service providers are not allowed to register online live broadcasting publisher accounts for minors under the age of 16, and must obtain the consent from parents or guardians and verify the identity of the minors before allowing minors aged 16 or above to register live broadcasting publisher accounts. On August 30, 2021, the MOCT published the Online Performance Brokerage Agencies Measures. According to the Online Performance Brokerage Agencies Measures, online performance brokerage agencies cannot provide online performance brokerage services to minors under the age of 16 and, if online performance brokerage services are provided to minors over the age of 16, identity information of the minors must be verified and written consent must be obtained from their guardians. On May 7, 2022, the Office of the Central Guidance Commission on Building Spiritual Civilization, MOCT, NRTA and CAC jointly issued the Opinions on Regulating Online Live Streaming Virtual Gifting and Strengthening the Protection of Minors, or the Live Streaming Opinions, which reiterate the requirements for live streaming platforms in respect of strengthening real-name registration, restrictions on minors from virtual gifting and prohibition on providing live streaming services to minors. The PRC government may further tighten the account registration and identity verification requirements for minors or impose a higher standard with respect to the registration and identity verification for all users on our platforms in the future, which may require us to upgrade our system, purchase additional services from third-party service providers and incur additional costs. Any such event may deter potential users from registering with our platforms, which may in turn adversely affect the growth of our user base and business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Notice on Strengthening the Administration of Online Show Live and E-commerce Live Streaming, or the Notice 78, Online Performance Brokerage Agencies Measures and the Live Streaming Opinions set forth certain restrictions on inducing users to spend or to promote performers on their platform. For detailed information, please refer to Item 4.B. “Information on the Company—Business Overview—Government Regulations —Regulations on Internet Live Streaming Services.” The Notice 78, the Online Performance Brokerage Agencies Measures and the Live Streaming Opinions are relatively new, and the interpretation and enforcement of these regulations involve uncertainties. We cannot guarantee that new rules or regulations promulgated in the future will not impose any additional restrictions on live streaming, especially on virtual gifting. Any limits or restrictions on live streaming ultimately imposed may adversely affect our business, financial conditions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Reports of violence and crimes related to online games or any claims of our gaming contents to be, among others, obscene, superstitious, defamatory or impairing public interest, may result in negative publicity or a governmental response that could have a material and adverse impact on our business, financial conditions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“—The Chinese government has taken steps to limit online game playing time for all minors and to otherwise control the content and operation of online games.  These and any other new restrictions on online games may materially and adversely impact our business, financial conditions and results of operations.” above. If the Chinese government determines that online games have a negative impact on society, it may impose certain additional restrictions on the online game industry, which could in turn have a material and adverse effect on our business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Chinese government and regulatory authorities prohibit any internet content that, among other things, violates PRC laws and regulations, endangers the national security of China, or is obscene, superstitious, violent or defamatory.  When internet content providers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internet content provider, or ICP, license and other required licenses to operate our business.  Internet content providers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Because our long-term growth strategy involves further expansion of our online games to players outside of China, our business will be susceptible to risks associated with international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 important component of our growth strategy involves the further expansion of our online games and game player base internationally. In particular, we have launched our popular games </w:t>
      </w:r>
      <w:r>
        <w:rPr>
          <w:rFonts w:ascii="Times New Roman;Times;serif" w:hAnsi="Times New Roman;Times;serif"/>
          <w:i/>
          <w:sz w:val="20"/>
        </w:rPr>
        <w:t>Knives Out</w:t>
      </w:r>
      <w:r>
        <w:rPr>
          <w:rFonts w:ascii="Times New Roman;Times;serif" w:hAnsi="Times New Roman;Times;serif"/>
          <w:sz w:val="20"/>
        </w:rPr>
        <w:t xml:space="preserve">, </w:t>
      </w:r>
      <w:r>
        <w:rPr>
          <w:rFonts w:ascii="Times New Roman;Times;serif" w:hAnsi="Times New Roman;Times;serif"/>
          <w:i/>
          <w:sz w:val="20"/>
        </w:rPr>
        <w:t>LifeAfter</w:t>
      </w:r>
      <w:r>
        <w:rPr>
          <w:rFonts w:ascii="Times New Roman;Times;serif" w:hAnsi="Times New Roman;Times;serif"/>
          <w:sz w:val="20"/>
        </w:rPr>
        <w:t xml:space="preserve"> and </w:t>
      </w:r>
      <w:r>
        <w:rPr>
          <w:rFonts w:ascii="Times New Roman;Times;serif" w:hAnsi="Times New Roman;Times;serif"/>
          <w:i/>
          <w:sz w:val="20"/>
        </w:rPr>
        <w:t>Identity V</w:t>
      </w:r>
      <w:r>
        <w:rPr>
          <w:rFonts w:ascii="Times New Roman;Times;serif" w:hAnsi="Times New Roman;Times;serif"/>
          <w:sz w:val="20"/>
        </w:rPr>
        <w:t xml:space="preserve"> in Japan, North America and other markets across the globe, </w:t>
      </w:r>
      <w:r>
        <w:rPr>
          <w:rFonts w:ascii="Times New Roman;Times;serif" w:hAnsi="Times New Roman;Times;serif"/>
          <w:i/>
          <w:sz w:val="20"/>
        </w:rPr>
        <w:t>MARVEL Super War</w:t>
      </w:r>
      <w:r>
        <w:rPr>
          <w:rFonts w:ascii="Times New Roman;Times;serif" w:hAnsi="Times New Roman;Times;serif"/>
          <w:sz w:val="20"/>
        </w:rPr>
        <w:t xml:space="preserve"> in several Southeast Asia markets, </w:t>
      </w:r>
      <w:r>
        <w:rPr>
          <w:rFonts w:ascii="Times New Roman;Times;serif" w:hAnsi="Times New Roman;Times;serif"/>
          <w:i/>
          <w:sz w:val="20"/>
        </w:rPr>
        <w:t>The Lord of the Rings: Rise to War</w:t>
      </w:r>
      <w:r>
        <w:rPr>
          <w:rFonts w:ascii="Times New Roman;Times;serif" w:hAnsi="Times New Roman;Times;serif"/>
          <w:sz w:val="20"/>
        </w:rPr>
        <w:t xml:space="preserve"> in Europe, the Americas, Oceania and Southeast Asia and </w:t>
      </w:r>
      <w:r>
        <w:rPr>
          <w:rFonts w:ascii="Times New Roman;Times;serif" w:hAnsi="Times New Roman;Times;serif"/>
          <w:i/>
          <w:sz w:val="20"/>
        </w:rPr>
        <w:t>Naraka: Bladepoint</w:t>
      </w:r>
      <w:r>
        <w:rPr>
          <w:rFonts w:ascii="Times New Roman;Times;serif" w:hAnsi="Times New Roman;Times;serif"/>
          <w:sz w:val="20"/>
        </w:rPr>
        <w:t xml:space="preserve"> globally. In the future, we plan to continue to launch our online games in various international markets. The expansion of our online games to markets outside of China will involve a variety of risks, including:</w:t>
      </w:r>
    </w:p>
    <w:p>
      <w:pPr>
        <w:pStyle w:val="TextBody"/>
        <w:spacing w:before="0" w:after="240"/>
        <w:ind w:left="720" w:right="0" w:hanging="0"/>
        <w:jc w:val="both"/>
        <w:rPr/>
      </w:pPr>
      <w:r>
        <w:rPr/>
        <w:t>●</w:t>
      </w:r>
      <w:r>
        <w:rPr>
          <w:rFonts w:ascii="Times New Roman;Times;serif" w:hAnsi="Times New Roman;Times;serif"/>
          <w:sz w:val="20"/>
        </w:rPr>
        <w:t>difficulties in anticipating the preferences of game players in markets outside of China;</w:t>
      </w:r>
    </w:p>
    <w:p>
      <w:pPr>
        <w:pStyle w:val="TextBody"/>
        <w:spacing w:before="0" w:after="240"/>
        <w:ind w:left="720" w:right="0" w:hanging="0"/>
        <w:jc w:val="both"/>
        <w:rPr/>
      </w:pPr>
      <w:r>
        <w:rPr/>
        <w:t>●</w:t>
      </w:r>
      <w:r>
        <w:rPr>
          <w:rFonts w:ascii="Times New Roman;Times;serif" w:hAnsi="Times New Roman;Times;serif"/>
          <w:sz w:val="20"/>
        </w:rPr>
        <w:t>challenges in formulating effective local sales and marketing strategies targeting users from various jurisdictions and cultures;</w:t>
      </w:r>
    </w:p>
    <w:p>
      <w:pPr>
        <w:pStyle w:val="TextBody"/>
        <w:spacing w:before="0" w:after="240"/>
        <w:ind w:left="720" w:right="0" w:hanging="0"/>
        <w:jc w:val="both"/>
        <w:rPr/>
      </w:pPr>
      <w:r>
        <w:rPr/>
        <w:t>●</w:t>
      </w:r>
      <w:r>
        <w:rPr>
          <w:rFonts w:ascii="Times New Roman;Times;serif" w:hAnsi="Times New Roman;Times;serif"/>
          <w:sz w:val="20"/>
        </w:rPr>
        <w:t>challenges in identifying appropriate local business partners, including local game operators, and establishing and maintaining good working relationships with them;</w:t>
      </w:r>
    </w:p>
    <w:p>
      <w:pPr>
        <w:pStyle w:val="TextBody"/>
        <w:spacing w:before="0" w:after="240"/>
        <w:ind w:left="720" w:right="0" w:hanging="0"/>
        <w:jc w:val="both"/>
        <w:rPr/>
      </w:pPr>
      <w:r>
        <w:rPr/>
        <w:t>●</w:t>
      </w:r>
      <w:r>
        <w:rPr>
          <w:rFonts w:ascii="Times New Roman;Times;serif" w:hAnsi="Times New Roman;Times;serif"/>
          <w:sz w:val="20"/>
        </w:rPr>
        <w:t>changes in a specific country’s or region’s political or economic conditions;</w:t>
      </w:r>
    </w:p>
    <w:p>
      <w:pPr>
        <w:pStyle w:val="TextBody"/>
        <w:spacing w:before="0" w:after="240"/>
        <w:ind w:left="720" w:right="0" w:hanging="0"/>
        <w:jc w:val="both"/>
        <w:rPr/>
      </w:pPr>
      <w:r>
        <w:rPr/>
        <w:t>●</w:t>
      </w:r>
      <w:r>
        <w:rPr>
          <w:rFonts w:ascii="Times New Roman;Times;serif" w:hAnsi="Times New Roman;Times;serif"/>
          <w:sz w:val="20"/>
        </w:rPr>
        <w:t>unexpected changes in regulatory requirements, taxes or trade laws;</w:t>
      </w:r>
    </w:p>
    <w:p>
      <w:pPr>
        <w:pStyle w:val="TextBody"/>
        <w:spacing w:before="0" w:after="240"/>
        <w:ind w:left="720" w:right="0" w:hanging="0"/>
        <w:jc w:val="both"/>
        <w:rPr/>
      </w:pPr>
      <w:r>
        <w:rPr/>
        <w:t>●</w:t>
      </w:r>
      <w:r>
        <w:rPr>
          <w:rFonts w:ascii="Times New Roman;Times;serif" w:hAnsi="Times New Roman;Times;serif"/>
          <w:sz w:val="20"/>
        </w:rPr>
        <w:t>difficulties in adapting and/or developing games which effectively address cultural differences and consumer preferences and are compliant with the local legal and regulatory environment;</w:t>
      </w:r>
    </w:p>
    <w:p>
      <w:pPr>
        <w:pStyle w:val="TextBody"/>
        <w:spacing w:before="0" w:after="240"/>
        <w:ind w:left="720" w:right="0" w:hanging="0"/>
        <w:jc w:val="both"/>
        <w:rPr/>
      </w:pPr>
      <w:r>
        <w:rPr/>
        <w:t>●</w:t>
      </w:r>
      <w:r>
        <w:rPr>
          <w:rFonts w:ascii="Times New Roman;Times;serif" w:hAnsi="Times New Roman;Times;serif"/>
          <w:sz w:val="20"/>
        </w:rPr>
        <w:t>difficulties in managing a business in international markets with diverse cultures, languages, customs, legal systems, alternative dispute systems and regulatory systems;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jc w:val="both"/>
        <w:rPr/>
      </w:pPr>
      <w:r>
        <w:rPr/>
        <w:t>●</w:t>
      </w:r>
      <w:r>
        <w:rPr>
          <w:rFonts w:ascii="Times New Roman;Times;serif" w:hAnsi="Times New Roman;Times;serif"/>
          <w:sz w:val="20"/>
        </w:rPr>
        <w:t>more stringent regulations relating to data security and the unauthorized use of, or access to, commercial and personal information;</w:t>
      </w:r>
    </w:p>
    <w:p>
      <w:pPr>
        <w:pStyle w:val="TextBody"/>
        <w:spacing w:before="0" w:after="240"/>
        <w:ind w:left="720" w:right="0" w:hanging="0"/>
        <w:jc w:val="both"/>
        <w:rPr/>
      </w:pPr>
      <w:r>
        <w:rPr/>
        <w:t>●</w:t>
      </w:r>
      <w:r>
        <w:rPr>
          <w:rFonts w:ascii="Times New Roman;Times;serif" w:hAnsi="Times New Roman;Times;serif"/>
          <w:sz w:val="20"/>
        </w:rPr>
        <w:t>currency exchange rate fluctuations and the resulting effect on our revenue and expenses, and the cost and risk of entering into hedging transactions if we choose to do so in the future;</w:t>
      </w:r>
    </w:p>
    <w:p>
      <w:pPr>
        <w:pStyle w:val="TextBody"/>
        <w:spacing w:before="0" w:after="240"/>
        <w:ind w:left="720" w:right="0" w:hanging="0"/>
        <w:jc w:val="both"/>
        <w:rPr/>
      </w:pPr>
      <w:r>
        <w:rPr/>
        <w:t>●</w:t>
      </w:r>
      <w:r>
        <w:rPr>
          <w:rFonts w:ascii="Times New Roman;Times;serif" w:hAnsi="Times New Roman;Times;serif"/>
          <w:sz w:val="20"/>
        </w:rPr>
        <w:t>laws and business practices favoring local competitors or general preferences for local vendors;</w:t>
      </w:r>
    </w:p>
    <w:p>
      <w:pPr>
        <w:pStyle w:val="TextBody"/>
        <w:spacing w:before="0" w:after="240"/>
        <w:ind w:left="720" w:right="0" w:hanging="0"/>
        <w:jc w:val="both"/>
        <w:rPr/>
      </w:pPr>
      <w:r>
        <w:rPr/>
        <w:t>●</w:t>
      </w:r>
      <w:r>
        <w:rPr>
          <w:rFonts w:ascii="Times New Roman;Times;serif" w:hAnsi="Times New Roman;Times;serif"/>
          <w:sz w:val="20"/>
        </w:rPr>
        <w:t>limited or insufficient intellectual property protection; and</w:t>
      </w:r>
    </w:p>
    <w:p>
      <w:pPr>
        <w:pStyle w:val="TextBody"/>
        <w:ind w:left="720" w:right="0" w:hanging="0"/>
        <w:jc w:val="both"/>
        <w:rPr/>
      </w:pPr>
      <w:r>
        <w:rPr/>
        <w:t>●</w:t>
      </w:r>
      <w:r>
        <w:rPr>
          <w:rFonts w:ascii="Times New Roman;Times;serif" w:hAnsi="Times New Roman;Times;serif"/>
          <w:sz w:val="20"/>
        </w:rPr>
        <w:t>adverse tax burdens and foreign exchange controls that could make it difficult to repatriate earnings and cash.</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unlike large portion of game players in China mainland who access games through PCs and mobile devices, many game players in international markets play games predominantly via consoles such as Xbox and PlayStation. We launched </w:t>
      </w:r>
      <w:r>
        <w:rPr>
          <w:rFonts w:ascii="Times New Roman;Times;serif" w:hAnsi="Times New Roman;Times;serif"/>
          <w:i/>
          <w:sz w:val="20"/>
        </w:rPr>
        <w:t>Naraka: Bladepoint</w:t>
      </w:r>
      <w:r>
        <w:rPr>
          <w:rFonts w:ascii="Times New Roman;Times;serif" w:hAnsi="Times New Roman;Times;serif"/>
          <w:sz w:val="20"/>
        </w:rPr>
        <w:t xml:space="preserve"> on console in June 2022 and plan to release numerous additional console game releases in the future. We have, however, limited experience developing and marketing console games, and the popularity of such games may not meet our expectations or be as profitable as our PC and mobile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proprietary distribution channels,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a few of these third-party platforms dominate the mobile application distribution channels. Any changes in the revenue-sharing, payment or other arrangements that we have with any of the major third-party application distribution platforms may materially impact our revenue and profitability. Failure to renew any revenue-sharing agreement or any other material agreement with these major third-party distribution platforms may result in discontinued or limited access to such distribution platforms, which could harm our business.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pStyle w:val="TextBody"/>
        <w:spacing w:before="0" w:after="240"/>
        <w:ind w:left="720" w:right="0" w:hanging="0"/>
        <w:jc w:val="both"/>
        <w:rPr/>
      </w:pPr>
      <w:r>
        <w:rPr/>
        <w:t>●</w:t>
      </w:r>
      <w:r>
        <w:rPr>
          <w:rFonts w:ascii="Times New Roman;Times;serif" w:hAnsi="Times New Roman;Times;serif"/>
          <w:sz w:val="20"/>
        </w:rPr>
        <w:t>general economic conditions and the level of discretionary spending devoted by players to non-essentials such as acquiring in-game virtual items;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of interactive entertainment, particularly games on console systems which are more popular in North America, Europe and Japan but which we have only recently begun offering, and other leisure activities;</w:t>
            </w:r>
          </w:p>
        </w:tc>
      </w:tr>
    </w:tbl>
    <w:p>
      <w:pPr>
        <w:pStyle w:val="TextBody"/>
        <w:spacing w:before="0" w:after="240"/>
        <w:ind w:left="720" w:right="0" w:hanging="0"/>
        <w:jc w:val="both"/>
        <w:rPr/>
      </w:pPr>
      <w:r>
        <w:rPr/>
        <w:t>●</w:t>
      </w:r>
      <w:r>
        <w:rPr>
          <w:rFonts w:ascii="Times New Roman;Times;serif" w:hAnsi="Times New Roman;Times;serif"/>
          <w:sz w:val="20"/>
        </w:rPr>
        <w:t>the availability of reliable telecommunication and internet infrastructure and sufficient server bandwidth in the markets where we operate;</w:t>
      </w:r>
    </w:p>
    <w:tbl>
      <w:tblPr>
        <w:tblW w:w="4596" w:type="dxa"/>
        <w:jc w:val="left"/>
        <w:tblInd w:w="0" w:type="dxa"/>
        <w:tblCellMar>
          <w:top w:w="28" w:type="dxa"/>
          <w:left w:w="28" w:type="dxa"/>
          <w:bottom w:w="28" w:type="dxa"/>
          <w:right w:w="28" w:type="dxa"/>
        </w:tblCellMar>
      </w:tblPr>
      <w:tblGrid>
        <w:gridCol w:w="124"/>
        <w:gridCol w:w="256"/>
        <w:gridCol w:w="4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PC, smartphone and tablet technologies;</w:t>
            </w:r>
          </w:p>
        </w:tc>
      </w:tr>
    </w:tbl>
    <w:tbl>
      <w:tblPr>
        <w:tblW w:w="6441" w:type="dxa"/>
        <w:jc w:val="left"/>
        <w:tblInd w:w="0" w:type="dxa"/>
        <w:tblCellMar>
          <w:top w:w="28" w:type="dxa"/>
          <w:left w:w="28" w:type="dxa"/>
          <w:bottom w:w="28" w:type="dxa"/>
          <w:right w:w="28" w:type="dxa"/>
        </w:tblCellMar>
      </w:tblPr>
      <w:tblGrid>
        <w:gridCol w:w="124"/>
        <w:gridCol w:w="256"/>
        <w:gridCol w:w="6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game player demographics and public tastes and preferences; </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 restrictions on the playing of online games; and</w:t>
            </w:r>
          </w:p>
        </w:tc>
      </w:tr>
    </w:tbl>
    <w:tbl>
      <w:tblPr>
        <w:tblW w:w="8166" w:type="dxa"/>
        <w:jc w:val="left"/>
        <w:tblInd w:w="0" w:type="dxa"/>
        <w:tblCellMar>
          <w:top w:w="28" w:type="dxa"/>
          <w:left w:w="28" w:type="dxa"/>
          <w:bottom w:w="28" w:type="dxa"/>
          <w:right w:w="28" w:type="dxa"/>
        </w:tblCellMar>
      </w:tblPr>
      <w:tblGrid>
        <w:gridCol w:w="124"/>
        <w:gridCol w:w="256"/>
        <w:gridCol w:w="77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alternative gameplay models such as cloud-gaming services.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assurance that the online game industry will continue to grow in future periods at any particular rate or at all.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successful in making our mobile games profitable, and our profits from mobile games may be relatively lower than the profits we have enjoyed historically for PC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our games and related value-added services segment, which include both the operation of online games as well as other related or ancillary services to the games, net revenues from the operation of online games accounted for 93.0%, 92.6% and 92.5% for the years ended December 31, 2020, 2021 and 2022, respectively. We generate a large portion of revenue in our operation of online games from our mobile games. Our profits from our mobile games, even if the games are successful, are generally lower than our profits generated from PC games, because, in order to gain access to our games on mobile application stores, which are the primary distribution channel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revenue from games and related value-added services is generated from the sale of virtual items within the games, and if we do not develop desirable virtual items and properly price them or if this revenue model ceases to be successful, our business, financial condition and results of operations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mobile games and many of our PC games currently utilize the item-based revenue model.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Providing a high level of customer service for our players is crucial to maintaining and growing the popularity of our online games, and any failure to do so could harm our reputation and our business.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maintain stable relationships with our existing game licensors and co-developers, and we may experience difficulties in the operation of the online games licensed from them.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Several mobile and PC games we offer are licensed from third-party developers, which accounted for 9.1%, 9.5% and 9.5% of our total net revenues in 2020, 2021 and 2022, respectively.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affect our business, financial conditions and results of operations. For example, the licenses covering the publication of several titles of Blizzard Entertainment, Inc. (together with its affiliated companies, referred to as “Blizzard” in this annual report) in Chinese mainland expired in accordance with their terms on January 23, 2023.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number of licensing arrangements, including an exclusive agreement with Mojang AB, a subsidiary of Microsoft, pursuant to which Microsoft and Mojang agreed to license the operation of </w:t>
      </w:r>
      <w:r>
        <w:rPr>
          <w:rFonts w:ascii="Times New Roman;Times;serif" w:hAnsi="Times New Roman;Times;serif"/>
          <w:i/>
          <w:sz w:val="20"/>
        </w:rPr>
        <w:t>Minecraft</w:t>
      </w:r>
      <w:r>
        <w:rPr>
          <w:rFonts w:ascii="Times New Roman;Times;serif" w:hAnsi="Times New Roman;Times;serif"/>
          <w:sz w:val="20"/>
        </w:rPr>
        <w:t xml:space="preserve"> in the PRC to us until 2022. In May 2019, we extended the term of the </w:t>
      </w:r>
      <w:r>
        <w:rPr>
          <w:rFonts w:ascii="Times New Roman;Times;serif" w:hAnsi="Times New Roman;Times;serif"/>
          <w:i/>
          <w:sz w:val="20"/>
        </w:rPr>
        <w:t>Minecraft</w:t>
      </w:r>
      <w:r>
        <w:rPr>
          <w:rFonts w:ascii="Times New Roman;Times;serif" w:hAnsi="Times New Roman;Times;serif"/>
          <w:sz w:val="20"/>
        </w:rPr>
        <w:t xml:space="preserve"> license for an additional year to August 2023. The termination of any such licenses could adversely affect our business, financial conditions and results of operations. 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offer games that are co-developed such as </w:t>
      </w:r>
      <w:r>
        <w:rPr>
          <w:rFonts w:ascii="Times New Roman;Times;serif" w:hAnsi="Times New Roman;Times;serif"/>
          <w:i/>
          <w:sz w:val="20"/>
        </w:rPr>
        <w:t>Harry Potter: Magic Awakened</w:t>
      </w:r>
      <w:r>
        <w:rPr>
          <w:rFonts w:ascii="Times New Roman;Times;serif" w:hAnsi="Times New Roman;Times;serif"/>
          <w:sz w:val="20"/>
        </w:rPr>
        <w:t xml:space="preserve">, which we developed with Warner Bros. Games, and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i/>
          <w:sz w:val="15"/>
        </w:rPr>
        <w:t>TM</w:t>
      </w:r>
      <w:r>
        <w:rPr>
          <w:rFonts w:ascii="Times New Roman;Times;serif" w:hAnsi="Times New Roman;Times;serif"/>
          <w:sz w:val="20"/>
        </w:rPr>
        <w:t>, which we developed with Blizzard pursuant to a long-term agreement that is separate from the licenses discussed above and remains in effect. If we are unable to maintain stable relationships with our co-developers, we may not be able to ensure the smooth development and operation of these co-developed online games, and our co-developers may terminate their business relationships with us, which could harm our business, financial conditions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receive relatively lower profits from the operation of online games that we license from third-party developers, and we are subject to certain financial obligations in connection with such licenses.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or a combination of the forgoing.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Future alliances may expose us to potential risks, including those associated with the assimilation of new operation technologies and personnel, unforeseen or hidden liabilities, and potential business disputes with our partners, among others.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financial conditions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Termination of our material intellectual property licenses could have a material adverse effect on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of our online games rely on intellectual property license agreements which give us the right to use certain names, characters, logos or storylines in connection with online games developed by us. For example, we have a license agreement with Marvel Entertainment to create mobile games based on Marvel characters and storylines and partnered with Warner Bros. Games to co-develop the mobile game </w:t>
      </w:r>
      <w:r>
        <w:rPr>
          <w:rFonts w:ascii="Times New Roman;Times;serif" w:hAnsi="Times New Roman;Times;serif"/>
          <w:i/>
          <w:sz w:val="20"/>
        </w:rPr>
        <w:t>Harry Potter: Magic Awakened</w:t>
      </w:r>
      <w:r>
        <w:rPr>
          <w:rFonts w:ascii="Times New Roman;Times;serif" w:hAnsi="Times New Roman;Times;serif"/>
          <w:sz w:val="20"/>
        </w:rPr>
        <w:t>, which successfully launched in 2021 in Chinese mainland, Hong Kong, Macau and Taiwan. If we were to breach any material term of these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new games may attract game players away from our existing games, which may have a material adverse effect on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Illegal game servers and acts of cheating by players of online games could harm our business and reputation and materially and adversely affect our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suspect a player of installing cheating programs on our online games, or of engaging in other types of unauthorized activities, we may freeze that player’s game account or even ban the player from logging on to our games and other online platforms. Such activities to regulate the behavior of our users are essential to maintaining a fair playing environment for our users. However, our users may dispute our regulatory activities and institute legal proceedings against us for damages or claims. Our business, financial condition and results of operations may be materially and adversely affected as a result.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online games will be less likely to be successful if we cannot adopt and implement innovative and effective marketing strategies to attract attention to our games from game players in our targeted demographic groups.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our 163.com website,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Some of our players make sales and purchases of our game accounts and virtual items through third-party auction websites, which may have a negative effect on our net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such trading activities could run afoul of PRC regulations on virtual currency and subject traders and us to potential liability. See “—Risks Related to Doing Business in China—Restrictions on virtual currency may adversely affect our online game revenues.” for additional information.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Other Businesses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changes in Youdao’s business strategies and offerings may make it difficult to evaluate its future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majority-controlled subsidiary Youdao has historically generated a significant portion of its net revenues from after-school tutoring services for academic subjects included in China’s compulsory education system for grades K-9, which we refer to as the Academic AST Business. In order to fully comply with applicable PRC regulatory requirements adopted by the PRC government in the second half of 2021, Youdao disposed of its Academic AST Business. In connection with this disposal, Youdao completed transition to become a leading technology-focused intelligent learning company and has developed a comprehensive suite of product and service offerings. Youdao recently introduced a number of new intelligent learning products, such as </w:t>
      </w:r>
      <w:r>
        <w:rPr>
          <w:rFonts w:ascii="Times New Roman;Times;serif" w:hAnsi="Times New Roman;Times;serif"/>
          <w:i/>
          <w:sz w:val="20"/>
        </w:rPr>
        <w:t>Youdao Smart Learning Pad X10</w:t>
      </w:r>
      <w:r>
        <w:rPr>
          <w:rFonts w:ascii="Times New Roman;Times;serif" w:hAnsi="Times New Roman;Times;serif"/>
          <w:sz w:val="20"/>
        </w:rPr>
        <w:t xml:space="preserve"> and </w:t>
      </w:r>
      <w:r>
        <w:rPr>
          <w:rFonts w:ascii="Times New Roman;Times;serif" w:hAnsi="Times New Roman;Times;serif"/>
          <w:i/>
          <w:sz w:val="20"/>
        </w:rPr>
        <w:t>Youdao Dictionary Pen X5</w:t>
      </w:r>
      <w:r>
        <w:rPr>
          <w:rFonts w:ascii="Times New Roman;Times;serif" w:hAnsi="Times New Roman;Times;serif"/>
          <w:sz w:val="20"/>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significant changes in Youdao’s business strategies and offerings have not only rendered its historical results no longer indicative of its future performance, but they may also have some or all of the following unintended effects: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users, customers and business partners may not receive the changes in Youdao’s business strategies and offerings in a positive manner, and relationships with these parties may be jeopardized;</w:t>
            </w:r>
          </w:p>
        </w:tc>
      </w:tr>
    </w:tbl>
    <w:tbl>
      <w:tblPr>
        <w:tblW w:w="7296" w:type="dxa"/>
        <w:jc w:val="left"/>
        <w:tblInd w:w="0" w:type="dxa"/>
        <w:tblCellMar>
          <w:top w:w="28" w:type="dxa"/>
          <w:left w:w="28" w:type="dxa"/>
          <w:bottom w:w="28" w:type="dxa"/>
          <w:right w:w="28" w:type="dxa"/>
        </w:tblCellMar>
      </w:tblPr>
      <w:tblGrid>
        <w:gridCol w:w="124"/>
        <w:gridCol w:w="256"/>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Youdao’s new products and services may not be accepted by its users as we expect; </w:t>
            </w:r>
          </w:p>
        </w:tc>
      </w:tr>
    </w:tbl>
    <w:tbl>
      <w:tblPr>
        <w:tblW w:w="10041" w:type="dxa"/>
        <w:jc w:val="left"/>
        <w:tblInd w:w="0" w:type="dxa"/>
        <w:tblCellMar>
          <w:top w:w="28" w:type="dxa"/>
          <w:left w:w="28" w:type="dxa"/>
          <w:bottom w:w="28" w:type="dxa"/>
          <w:right w:w="28" w:type="dxa"/>
        </w:tblCellMar>
      </w:tblPr>
      <w:tblGrid>
        <w:gridCol w:w="124"/>
        <w:gridCol w:w="256"/>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Youdao’s new products and services may not attract users and customers or generate the revenue required to succeed;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underlying assumptions and estimates about Youdao’s new businesses and the new markets that it attempts to enter into may prove incorrect, which may cause Youdao’s actual results of operations to fall short of our expectations;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Youdao enters into new businesses, its previous operating history may be of limited use for investors to evaluate Youdao’s future performance and prospects;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development of new products and services could be costly and time-consuming and requires us to make significant investments in research and product development, develop new technologies, and increase sales and marketing efforts, all of which may not be successful; </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will be incurred in the implementation of the new business strategies, which could be substantial;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organizational structure that will be required to support the changes in Youdao’s business strategies and offerings may lead to dissatisfaction among employees which could make it more difficult for Youdao to retain key employees.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successfully address these risks and uncertainties, Youdao’s and hence our business, financial condition and results of operations could be materially and adversely 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Youdao business’s compliance with the Opinions on Further Alleviating the Burden of Homework and After-School Tutoring for Students in Compulsory Education and the implementation measures issued by the relevant PRC government authorities has materially and adversely affected and may continue to affect Youdao’s business, financial condition, results of operations and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private education industry, especially the after-school tutoring sector, has experienced intense scrutiny and has been subject to significant regulatory changes recently that had materially and adversely impacted businesses in such industry. In particular, the Opinions on Further Alleviating the Burden of Homework and After-School Tutoring for Students in Compulsory Education jointly promulgated by the General Office of State Council and the General Office of Central Committee of the Communist Party of China on July 24, 2021, or the Alleviating Burden Opinion, sets out a series of operating requirements on after-school tutoring institutions. Youdao’s business, financial condition, results of operations and prospects have been and may continue to be materially and adversely affected by the actions we have taken to date and may be required to take in the future in compliance with the Alleviating Burden Opinion and its implementation measures. We are closely monitoring the evolving regulatory environment and are making efforts to seek guidance from and cooperate with the government authorities to comply with the Alleviating Burden Opinion and its implementation measures. Youdao disposed of its Academic AST Business and as of the date of the filing of this annual report, Youdao no longer offers any AST courses on academic subjects for students receiving compulsory education and for high-school students. With respect to Youdao’s non-academic after school tutoring services, the Alleviating Burden Opinion requires local authorities to identify corresponding competent authorities for different tutoring categories of non-academic after school tutoring services (e.g., physical education, arts, science and etc.) and set forth standards by categories to approve institutions for offering each category of non-academic after school tutoring service. As of the date of the filing of this annual report, some local government authorities have issued rules or recently released draft rules for public comments which require institutions providing non-academic after school tutoring services to obtain private school operating permits and to comply with relevant implementation measures. Since these local rules are recently promulgated, there are substantial uncertainties as to their interpretation, application and enforcement. Youdao follows internal guidelines to make necessary registrations and filings, except as would not have a material adverse effect on our business, and will use its commercially reasonable efforts to obtain, maintain and renew necessary licenses and permits on a timely basis. However, we cannot assure you that Youdao may be able to obtain and maintain all requisite licenses, permits, approvals and filings or pass all requisite assessments in a timely manner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aspects of our Youdao business may be deemed to not be in full compliance with relevant laws and regulations regarding after-school tutoring services. We have been making and will continue to make efforts to comply with such regulations as well as requirements from the relevant government authorities during such inspections. We cannot assure you, however, that we will be able to comply with such regulatory requirements in a timely manner, or at all. It is also uncertain whether and how the PRC government would promulgate additional laws, regulations and guidance regarding the private education industry, and there is no assurance that we can comply with any such newly promulgated laws, regulations and guidance in a timely manner, or at all. Moreover, Youdao’s business may be required to apply for and obtain additional licenses, permits or recordation or expand the scope of the licenses already obtained, given the significant uncertainties of the interpretation and implementation of certain regulatory requirements applicable to online education businesses.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The success and future growth of our Youdao business will be affected by the user acceptance and market trend of integration of technology and learning</w:t>
      </w:r>
      <w:r>
        <w:rPr>
          <w:rFonts w:ascii="Times New Roman;Times;serif" w:hAnsi="Times New Roman;Times;serif"/>
          <w:b/>
          <w:i/>
          <w:sz w:val="20"/>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business model features integrating technology closely with learning to provide a more efficient and engaging learning experience. Intelligent learning remains a relatively new concept in China, and there are limited proven methods to project user demand or preference or available industry standards. Even with the proliferation of internet and mobile devices in China, we believe that some of Youdao’s target students may still be inclined to choose traditional face-to-face learning approaches over virtual learning as they find the former more intimate and reliable. We cannot assure you that Youdao’s products and services will continue to be attractive to our users in the future. If Youdao’s offering of learning services and smart devices becomes less appealing to our users, the financial condition and results of operations of our Youdao business could be materially and adversely 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develop and apply our technologies to support and expand Youdao’s product and service offerings or if we fail to timely respond to the rapid changes in industry trends and user preferences, our Youdao business may be materially and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Over the years, we have developed a number of core technologies to support Youdao’s comprehensive suite of products and services. We also rely on technologies to build and maintain Youdao’s information technology infrastructure. The intelligent learning industry is subject to rapid technological changes and innovations and is affected by unpredictable product lifecycles and user preferences. Youdao’s technologies may become obsolete or insufficient, and we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our substantial investments in Youdao’s technologies may not produce expected results. If Youdao fails to continue to develop, innovate and utilize its technologies to support and expand its product and service offerings or if our competitors develop or apply more advanced technologies, the financial condition and results of operations of our Youdao business could be materially and adversely 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intelligent learning, music streaming, e-commerce, advertising and other innovative businesses are subject to a broad range of laws and regulations, and future laws and regulations may impose additional requirements and other obligations.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our online music business and services, which we conduct through our majority-controlled subsidiary Cloud Music, must comply with laws, regulations, policies and guidelines promulgated by PRC government authorities related to music streaming, live streaming and online entertainment industries. In addition, Cloud Music and its subsidiaries are required to obtain various government approvals, licenses and permits or make various registrations and filings to provide internet information services, internet culture services, internet publication services, online audio-visual products and other related value-added telecommunications services, including the requirement to hold AVSP or complete the registration in the national network audio-visual platform information registration management system. For more information, see Item 4.B. “Information on the Company—Business Overview—Government Regulations—Regulations on Internet Live Streaming Services.” Cloud Music and its subsidiaries have submitted an application to register with the registration management system, which is currently under review, and we cannot assure you that such registration will be approved or that Cloud Music will no longer be required to hold an AVSP if and when such registration is completed.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our e-commerce business is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on our e-commerce platform.  Additionally,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below “—Risks Related to Our Corporate Structure” and “—Risks Related to Doing Business in 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these industries are evolving rapidly in China, the interpretation and application of the existing PRC laws and possible new laws, regulations or policies have created substantial uncertainties regarding our businesses. We cannot assure you that we have obtained all the approvals, licenses or permits required for our businesses or will be able to maintain our existing approvals, licenses or permits. If the PRC governmental authorities determine that we are not in compliance with all the requirements under applicable laws and regulations, we may be required to obtain additional licenses or permits or be subject to fines and/or other sanctions.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 including being subject to liabilities, penalties, impediments in development of such business models and disruptions to its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controlling interest in Youdao and/or Cloud Music may be diluted if Youdao and/or Cloud Music raise additional capital with the issuance and sale of additional equity in the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 our majority-controlled subsidiary listed on the New York Stock Exchange, and/or Cloud Music, our majority-controlled subsidiary listed on the Hong Kong Stock Exchange, may need additional capital in the future to fund their continued operations and support their business growth. As Youdao and/or Cloud Music will continue to invest heavily in improving technologies, expanding their marketing efforts, hiring qualified personnel and offering additional products, services and contents, Youdao and/or Cloud Music may not generate sufficient revenue to offset such expenses. In the future, should Youdao and/or Cloud Music require additional liquidity and capital resources to fund their business and operations, Youdao and/or Cloud Music may need to obtain additional financing, including issuing and selling additional equity or equity-linked securities, or issuing additional equity awards to incentivize their employees, which would dilute our interests in Youdao and/or Cloud Music.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Youdao, our majority-controlled subsidiary, relies on our financial support.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Since its formation, Youdao has received various financial support from the NetEase group, among others, currently including RMB878.0 million outstanding interest-bearing short-term loans as of December 31, 2022 and a US$300.0 million revolving loan facility. If Youdao’s management cannot implement an effective business plan in light of the changing regulatory environment to generate operating cash flows and continue to be able to obtain other sources of financing as necessary for Youdao’s future development, it will continue to rely on the financial support from the NetEase group for its continuing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have devoted, and will continue to devote substantial efforts to monetizing our user base in Cloud Music’s music streaming business. If we fail to effectively execute such monetization strategies, Cloud Music’s business may be materially and adversely affected which may adversely affect our consolidated results of operations.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music streaming business is operated by our majority-controlled subsidiary Cloud Music, and we have devoted substantial efforts to monetizing its user base by increasing the number of paying users and cultivating users’ willingness to pay for music. Cloud Music monetize its music streaming platform primarily through the sales of membership subscriptions for online music services and sales of virtual items for social entertainment services. At a strategic level, we plan to continue to optimize our existing monetization strategies and explore new monetization opportunities. It is crucial to balance, on the one hand, creating sufficient monetization opportunities, which enhances the revenues of our platform, and, on the other hand, maintaining an enjoyable platform, which helps to maintain a sizable user base, high user engagement and associated network effect. However, if these efforts fail to achieve our anticipated results, we may not be able to increase or even maintain Cloud Music’s revenue growth.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increase the number of our paying users and cultivate our users’ willingness to pay for music content and social entertainment services, we will need to address a number of challenges, including but not limited to providing consistently high-quality and user-friendly experience, continuing to curate a catalogue of engaging content and continuing to introduce new, appealing products, services and content that users are willing to pay for. If we fail to address any of these challenges, especially if we fail to offer high-quality music content and superior user experience to meet user preferences and demands, Cloud Music may not be successful in increasing the number of paying users and cultivating users’ willingness to pay for music content and social entertainment services, which could have a material adverse impact on Cloud Music’s business, and negatively impact our consolidated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anticipate user preferences to provide online music streaming content catering to user demands, or maintain the activeness of our services to users and business partners, Cloud Music’s business may be materially and adversely affected which may adversely affect our consolidated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Constantly changing consumer preferences have affected and will continue to affect the music industry, in particular online music platforms. Given that our music streaming business operates in a rapidly evolving industry, we need to anticipate user preferences and industry changes and respond to such changes in a timely and effective manner. We must stay abreast of emerging consumer preferences and anticipate product trends that will appeal to existing and potential users. If Cloud Music fails to cater to the needs and preferences of Cloud Music’s users and control our costs in doing so or fail to deliver compelling user experience, Cloud Music may suffer from reduced user traffic, and Cloud Music’s business may be materially and adversely affected which may adversely affect our consolidated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Maintaining and enhancing the “NetEase Cloud Music” brand is critical to expanding Cloud Music’s base of users, advertisers, content contributors and other partners. Maintaining and enhancing this brand will depend largely on our ability to continue to develop and provide an innovative and high-quality experience for our listeners and attract advertisers, content owners and other parties to work with us, which we may not do successfully. Our brand may be impaired by a number of other factors, including service outages, data privacy and security issues, listener perception of ad load and exploitation of our trademarks by others without permission. In addition, if our partners fail to maintain high standards for products that integrate our service, the strength of our brand could be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music streaming business partners include music labels, advertisers, talent agencies and others. We help our advertisers reach and engage with their target users through the services and solutions we offer through Cloud Music. Our ability to grow our revenues to a certain extent depends on our ability to retain and enhance our relationships with our existing business partners and attract new ones. Our success also depends on our ability to provide effective services and solutions that meet the expectations of our business partners. For instance, if we fail to develop new advertisement formats or effective marketing solutions that are appealing to our business partners, they may turn to our competitors for alternative services. Our business also relies on content, services and technologies provided by some business partners. If we fail to retain and enhance our business relationships with these business partners, or if these business partners choose to terminate or change the terms of our cooperation arrangements for strategic, financial or other reasons, we may suffer content loss, service interruptions or reduced revenues, which may have a material and adverse effect on Cloud Music’s business and may adversely affect our consolidated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depend on third-party licenses for a significant portion of our music content, and any adverse changes to, or loss of, our relationships with these music content providers may materially and adversely affect Cloud Music’s business which may adversely affect our consolidated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Significant portions of our music offerings are licensed from music content partners, including music publishers and labels in China and internationally with whom we have entered into licensing agreements. There is no assurance that the licenses currently available to us will continue to be available in the future at royalty rates and on terms that are favorable, commercially reasonable or at all.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also no guarantee that we have all of the licenses for the music content available on our platform, as we need to obtain licenses from many copyright owners, some of whom are unknown, and there are complex legal issues such as open questions of law as to when and whether particular licenses are needed. Additionally, there is a risk that copyright owners, talent agencies, or legislative or regulatory bodies may require or attempt to require us to enter into additional license agreements with, and pay royalties to, newly defined groups of copyright owners, some of which may be difficult or impossible to identify.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portion of our revenues is generated from our advertising services, but we may not be able to compete effectively in this market because of its rapidly evolving nature and intense competition, in which case our ability to generate and maintain advertising revenue in the future could be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anticipate that the revenues generated by our online games will continue to constitute the major portion of our future revenues, we believe that we will continue to rely on advertising as a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tbl>
      <w:tblPr>
        <w:tblW w:w="2796" w:type="dxa"/>
        <w:jc w:val="left"/>
        <w:tblInd w:w="0" w:type="dxa"/>
        <w:tblCellMar>
          <w:top w:w="28" w:type="dxa"/>
          <w:left w:w="28" w:type="dxa"/>
          <w:bottom w:w="28" w:type="dxa"/>
          <w:right w:w="28" w:type="dxa"/>
        </w:tblCellMar>
      </w:tblPr>
      <w:tblGrid>
        <w:gridCol w:w="124"/>
        <w:gridCol w:w="256"/>
        <w:gridCol w:w="2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w:t>
            </w:r>
          </w:p>
        </w:tc>
      </w:tr>
    </w:tbl>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financial conditions of our advertisers and the general level of advertiser spending;</w:t>
            </w:r>
          </w:p>
        </w:tc>
      </w:tr>
    </w:tbl>
    <w:tbl>
      <w:tblPr>
        <w:tblW w:w="8976" w:type="dxa"/>
        <w:jc w:val="left"/>
        <w:tblInd w:w="0" w:type="dxa"/>
        <w:tblCellMar>
          <w:top w:w="28" w:type="dxa"/>
          <w:left w:w="28" w:type="dxa"/>
          <w:bottom w:w="28" w:type="dxa"/>
          <w:right w:w="28" w:type="dxa"/>
        </w:tblCellMar>
      </w:tblPr>
      <w:tblGrid>
        <w:gridCol w:w="124"/>
        <w:gridCol w:w="256"/>
        <w:gridCol w:w="8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a large base of users possessing demographic characteristics attractive to advertisers;</w:t>
            </w:r>
          </w:p>
        </w:tc>
      </w:tr>
    </w:tbl>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other major and emerging online advertising platforms;</w:t>
            </w:r>
          </w:p>
        </w:tc>
      </w:tr>
    </w:tbl>
    <w:tbl>
      <w:tblPr>
        <w:tblW w:w="8766" w:type="dxa"/>
        <w:jc w:val="left"/>
        <w:tblInd w:w="0" w:type="dxa"/>
        <w:tblCellMar>
          <w:top w:w="28" w:type="dxa"/>
          <w:left w:w="28" w:type="dxa"/>
          <w:bottom w:w="28" w:type="dxa"/>
          <w:right w:w="28" w:type="dxa"/>
        </w:tblCellMar>
      </w:tblPr>
      <w:tblGrid>
        <w:gridCol w:w="124"/>
        <w:gridCol w:w="256"/>
        <w:gridCol w:w="8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software that blocks internet advertisements before they appear on a user’s screen;</w:t>
            </w:r>
          </w:p>
        </w:tc>
      </w:tr>
    </w:tbl>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downward pressure on online advertising prices; and</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advertising delivery and tracking system.</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Changes in government policy could also restrict or curtail our online advertising services.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e-commerce business is subject to challenges and risks, which may have a negative impact on our financial performance.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established our private label consumer lifestyle brand, Yanxuan, in April 2016. Yanxuan sells a wide range of products, including pet food and supplies, home cleaning products, bedding and other categories of products, which we source from a variety of manufacturers. This business exposes us to challenges and risks that could negatively impact our financial performance. We have incurred significant expenses on a variety of different marketing and brand promotion efforts designed to enhance the recognition of our Yanxuan business and increase sales of our products. However, our brand promotion and marketing activities may not be well received by our customers and may not result in the levels of product sales that we anticipate.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profit margin from the e-commerce business, even if the business is successful, is likely to be relatively lower than our profit margin from certain of our other businesses, such as our online game business and advertising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Operations Overall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unable to compete successfully against new entrants and established industry competitors.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market for internet content and services is intensely competitive and rapidly changing.  Our competition primarily comes from global online game developers and operators, such as Tencent, established online and offline education service providers and manufacturers of smart hardware or devices in China, as well as leading digital media and entertainment providers. Some of our current and potential competitors are much larger than we are, and currently offer, and could further develop or acquire, content and services that compete with us. We mainly compete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engage and retain users based on the design, quality, popularity and efficacy of our content offerings, the overall user experience of our products and services, as well as the effectiveness of our marketing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motivated and capable talent, including engineers, game designers, product developers and creative professionals to build compelling content, tools and functions;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 collaboration relationships with game studios and content owners based on our level of expertise in systematically developing original games, delivering a compelling user experience through operational know-how and customizing our established game titles for rapid expansion into overseas markets.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keep up with rapid changes in technologies and user behavior, our future success may be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cannot guarantee that our efforts to innovate and explore new areas of operations would be successful or bring positive financial impact to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 acceptance by the targeted customers and our assessment of market demands and trends.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competitors are constantly developing innovations, on both mobile devices and personal computers, to enhance users’ online experience in areas that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could bring positive financial impact to us.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gross profit margin and profitability may be affected by changes in our mix of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Youdao, Cloud Music and innovative businesses and others segments have had lower gross profit margins compared to our games and related value-added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exposed to credit risk on our accounts receivable, which may be heightened during periods of uncertain economic conditions.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A prolonged slowdown in the PRC or global economy may materially and adversely affect our results of operations, financial condition, prospects and future expansion plans.</w:t>
      </w:r>
      <w:r>
        <w:rPr>
          <w:rFonts w:ascii="Times New Roman;Times;serif" w:hAnsi="Times New Roman;Times;serif"/>
          <w:sz w:val="20"/>
        </w:rPr>
        <w:t xml:space="preserv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a substantial portion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real disposable income, interest rates, taxation and currency exchange rates. In recent years, the rate of economic growth in the PRC has slowed down in general, with the Chinese authorities having announced a target economic growth rate in 2023 of about 5%, which is one of the lowest targets in decades. Any continuing or worsening slowdown could significantly reduce domestic commerce in China, including through the internet generally and within our business. In addition, any future escalation of the ongoing trade war between the United States and China, the future impact of COVID-19, the Russia-Ukraine conflict, the recent issues in the banking industry or other factors, may negatively impact the growth in both the Chinese economy and the global economy as a whole. There have also been concerns on the relationship between China and other countries, including surrounding Asian countries, which may potentially lead to foreign investors closing down their businesses or withdrawing their investments in China, and thus exiting the China market, and other economic effects.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currently operating in a period of economic uncertainty and capital markets disruption, which has been significantly impacted by rising inflation and geopolitical instability, including the ongoing military conflict between Russia and Ukraine, any of which could have a material adverse effect on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U.S. and global markets are experiencing volatility and disruption resulting from increasing inflation and the escalation of geopolitical tensions in connection with the military conflict between Russia and Ukraine.  The economic dislocation caused by COVID-19, fiscal and monetary stimulus programs implemented by many governments in response to COVID-19, sudden increases in consumer demand following the relaxation in certain countries of various government restrictions designed to reduce the spread of COVID-19, and other related factors, have contributed to a significant increase in inflation globally.  In addition, Russia’s full-scale invasion of Ukraine commencing in February 2022 has led to further market disruptions, including significant volatility in commodity prices, credit and capital markets, as well as supply chain interruptions, which has further fueled inflation.  Although we have not identified any material impact to our business due to inflation as of the date of the filing of this annual report, because costs rise faster than revenues during the early phases of inflation, we may find that, among other effects, we need to give higher than normal raises to employees, start new employees at higher wage, and/or pay higher amounts for employee benefits.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the duration, impact and interrelationship of the above-mentioned factors are difficult to predict, any of them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Trade sanctions imposed by various jurisdictions may expose us to potential compliance risks.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Sanctions laws prohibit us from doing business in or with certain countries or governments, and with certain persons or entities that have been sanctioned by the U.S. Department of Treasury’s Office of Foreign Asset Controls, or OFAC, the U.S. Department of Commerce Bureau of Industry and Security, or BIS, His Majesty’s Treasury of the United Kingdom, the European Union and its Member States, and other governments and international or regional organizations, such as the United Nations Security Council.  Such trade sanctions programs change frequently or can evolve to regulate new areas of conduct, including with respect to the countries that are already subject to trade sanctions. It is not, however, possible to predict with a reasonable degree of certainty how the international regulatory environment concerning economic and trade sanctions may develop.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with the substantial majority of our subsidiaries and operations outside of the U.S., UK and EU, we are generally not required to comply with U.S., UK, and EU trade sanctions to the same extent as U.S., UK or EU entities. However, for companies like us, our U.S., UK, and EU subsidiaries, employees who are U.S. persons or UK or EU nationals, activities in the U.S., UK, or EU, activities involving U.S.-origin goods, technology or services, and certain conduct or dealings, among other activities, are subject to applicable sanctions requirements.  Moreover, although our websites are open and available worldwide, we do not actively solicit business in countries that are subject to comprehensive trade sanctions or from persons who are subject to sanctions.  Some trade sanctions specifically target China and China-based companies which may affect our business (see “—Export controls and economic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below).  We expect that our exposure to trade sanctions will increase as we continue to expand our international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internal controls to manage and monitor our compliance with applicable trade sanctions, but there can be no assurance that we are able to prevent or detect inadvertent business dealings with sanctioned parties and we have limited control over the activities of our international business partners and non-controlled investees.  We also cannot predict with certainty how relevant authorities will interpret or implement their sanction laws or regulations. While we do not believe that we are in violation of any applicable trade sanctions laws or that any of our activities are currently sanctionable under applicable laws, some of our activities or the activities of our affiliates could expose us to penalties under these laws. Any alleged sanctions violations may adversely affect our reputation, business, financial condition and results of operations.  In addition, as we expand globally, we may incur significant costs related to current, new or changing sanctions, embargoes, export controls programs or other restrictions and disclosure requirements, as well as negative publicity, investigations, fines, fees or settlements, which may be difficult to predict.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Export controls and economic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number of countries and jurisdictions, including China, the United States and the EU, have adopted various trade sanctions regimes. In particular, the U.S. government and other governments have threatened and/or imposed export controls, as well as trade sanctions on China, and a number of China-based companies, including ZTE Corporation, Huawei Technologies Co., Ltd., Tencent Holdings Limited, certain of their respective affiliates, and other PRC-based technology companies. Furthermore, on October 7, 2022, the U.S. Commerce Department announced a sweeping set of export control rules aimed at restricting China’s ability to obtain advanced semiconductor chips, develop and maintain supercomputers, and manufacture advanced semiconductor chips. As a result, both U.S. and non-U.S. parties cannot export, re-export, or transfer (in-country) certain U.S.-origin advanced computing semiconductor chips, computer commodities that contain such chips, and certain semiconductor manufacturing items to China with export licensing, and the export to China of non-U.S. origin items in these categories from other countries may be subject to U.S. export licensing requirements if they are the product of controlled U.S. software and technology or of equipment or facilities that are themselves the product of controlled software or technology, or incorporate controlled U.S.-origin items.  In January 2023, Japan and the Netherlands, countries that are homes to some of the world’s most advanced semiconductor equipment manufacturers, also announced that they have agreed to restrict exports of advanced chip-manufacturing equipment to China.  These rules may prevent us from acquiring advanced semiconductors which may impede our ability to effectively develop new technologies and services, including in the areas which require significant computer processing power.  The BIS is also continuing to finalize additional new export controls with respect to a wide range of “emerging and foundational” technologies, which may include certain software technologies that are relevant to our business and/or our future growth.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It is possible that the United States or other jurisdictions may impose further trade sanctions, and other heightened regulatory requirements on China and China-based companies in a wide range of areas. These regulatory requirements could (1) prohibit or restrict firms from selling, exporting, re-exporting or transferring certain technology, components, software and other items to China-based companies, (2) prohibit or restrict persons from entering into transactions with China-based companies, (3) prohibit or restrict China-based companies from accessing data, providing services in or operating in the sanctioning jurisdiction, or (4) prohibit purchases and sale of securities of Chinese firms, among other prohibitions or restrictions. In addition, Chinese companies, if targeted under U.S. economic sanctions, may lose access to the U.S. markets and the U.S. financial system, including the ability to use U.S. dollars to conduct transactions, settle payments or to maintain correspondent accounts with U.S. financial institutions. U.S. entities and individuals may not be permitted to do business with sanctioned companies and persons, and international banks and other companies may as a matter of law and/or policy decide not to engage in transactions with such companies. In January 2023, the U.S. House of Representatives formed a new select committee dedicated to competing with China which is authorized to investigate and submit policy recommendations concerning the status of the economic, technological, and security progress of the Chinese Communist Party and its competition with the United States.  We cannot predict what recommendations this committee may make from time to time or what new rules and regulations may ultimately be adopted in this regard.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in August 2020, MOFCOM and the Ministry of Science and Technology of the PRC issued a notice which stipulates that certain technologies, including technologies related to personalized information push services based on data analysis, are restricted from export outside the PRC without approval. Some of our technologies could fall within the scope of technologies subject to such export restriction. In addition, according to the PRC Export Control Law which came into effect in December 2020, we, our affiliates and business partners may also be required to obtain licenses, permits and governmental approvals to export certain goods, technologies and services. These and additional regulatory restrictions and requirements that may become effective from time to time may increase our compliance burden and affect our ability and efficiency in expanding to international markets.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business, financial condition and results of operations may be materially adversely affected by current or future trade sanctions. Moreover, if any of our expanding portfolio of investee companies, global business partners, joint venture partners or other parties that have collaborative relationships with us were to become subject to trade sanctions, this might result in significant negative publicity, governmental investigations and reputational harm, as well as losses from impairments or write-offs.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a variety of laws and other obligations regarding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the VIEs and among our company, our subsidiaries, the VIEs and other parties with which we have commercial relations. These laws are continuing to develop, and the PRC government may adopt other rules and restrictions in the future. Non-compliance could result in penalties or other significant legal liabilities.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Cybersecurity Law of the People’s Republic of China, or Cybersecurity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Cybersecurity Law provides that personal information and important data collected and generated by an operator of critical information infrastructure in the course of its operations in the PRC must be stored in the PRC. As of the date of the filing of this annual report, we have not been recognized as the operator of critical information infrastructure. We have undertaken significant measures in an effort to ensure compliance with the Cybersecurity Law. On September 12, 2022, the CAC issued the Decision on Amending the PRC Cybersecurity Law (Draft for Comments), which further refines and enhances the legal liabilities for violating various existing provisions of the Cybersecurity Law. As of the date of the filing of this annual report, these proposed amendments to the Cybersecurity Law have not been formally adopted by the National People’s Congress Standing Committee.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14, 2021, the CAC issued the Regulations on the Administration of Cyber Data Security (Draft for Comments) (the “Draft Data Security Regulations”) for public comments pursuant to which data processors carrying out certain prescribed activities must, in accordance with the relevant national regulations, apply for a cybersecurity review. On December 28, 2021, the CAC, NDRC, MIIT and other ten PRC regulatory authorities jointly issued the Cybersecurity Review Measures, which became effective from February 15, 2022. The Cybersecurity Review Measures require that critical information infrastructure operator or network platform operator carrying out the prescribed activities shall be subject to cybersecurity review, but there are uncertainties with respect to the interpretation and implementation of the measures.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anticipation of the strengthened implementation of cybersecurity laws and regulations and the continued expansion of our business, we face potential risks if we are deemed as a “critical information infrastructure operator” or a “network platform operator” that affects or may affect national security under the Cybersecurity Review Measures,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business and diversion of our managerial and financial resources. Any violation of such cybersecurity laws and regulations by us may result in warnings and fines, and if we refuse to rectify or have caused severe consequences such as endangering data security, we may be further subject to suspension of our non-compliant operations, revocation of relevant approvals or business licenses or other sanctions. As of the date of the filing of this annual report, we have not been involved in any investigations or become subject to a cybersecurity review initiated by the CAC based on the Cybersecurity Review Measures, and we have not received any warning or sanction in such respect or any regulatory objections to our listing status from the CAC.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10, 2021, the Standing Committee of the National People’s Congress promulgated the PRC Data Security Law which became effective on September 1, 2021. The PRC Data Security Law provides a national data security review system under which data processing activities that affect or may affect national security must be reviewed. Any organizational or individual data processing activities that violate the PRC Data Security Law will bear the corresponding civil, administrative or criminal liabilities depending on the specific circumstances. On August 17, 2021, the State Council promulgated the Regulations on Critical Information Infrastructure Security Protection (“CII Regulations”), which became effective on September 1, 2021. Pursuant to the CII Regulations, regulators supervising specific industries are required to formulate detailed guidance to identify critical information infrastructure in the respective sectors, and a critical information infrastructure operator, must take the responsibility to protect the security of the Critical Information Infrastructure by performing certain prescribed obligations. If we are deemed to be a “critical information infrastructure operator” under the CII Regulations, violation of provisions thereto could result in rectification, confiscation of illegal gains, fines and other legal or administrative sanctions. On December 8, 2022, the MIIT promulgated the Measures for Data Security Administration in the Industry and Information Technology Field (Trial Implementation), or the Trial Measures, which took effect on January 1, 2023. The Trial Measures impose certain obligations on industrial and information technology field data processors like us in relation to, among other things, data collection, data storage, data classification, data usage, data transmission, cross-border data transfer, data destruction, data security review, emergency plans, etc.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PRC Personal Information Protection Law, or the PIPL, which came into effect on November 1, 2021. The PIPL stipulates the scope of personal information and the ways of processing personal information, establishes rules for processing personal information and for transferring personal information abroad, and clarifies the individual’s rights and the processor’s obligations in the process of personal information. With respect to the cross-border transfer of personal information outside the territory of PRC, PIPL requires that unless otherwise provided in the related international treaties or agreements concluded or acceded to by PRC, the handler of personal information must meet one of the following conditions: (i) pass the security assessment organized by CAC (on August 31, 2022, the CAC issued the Guidelines for Declaring Data Cross-border Security Assessment (First Edition), which became effective on September 1, 2022, to further clarify the scope of application, declaration methods and processes of data cross-border security assessment), (ii) have been certified by a specialized agency for protection of personal information in accordance with the provisions of the CAC (on November 4, 2022, the CAC promulgated the Announcement on the Implementation of Certification for Personal Information Protection to substantiate the details of such certification); (iii) enter into a contract with the overseas recipient under the standard contract formulated by CAC (on February 24, 2023, the CAC promulgated the Measures for Standard Contracts for Cross-border Transfers of Personal Information, or the Measures, together with a template of such standard contract as an annex to the Measures, which will take effect on June 1, 2023, to specify the circumstances to conclude such standard contract and a template of such standard contract); or (iv) meet other conditions prescribed by laws, administrative regulations or the CAC. On July 7, 2022, the CAC promulgated the Measures for the Security Assessment of Data Cross-border Transfer, which took effect on September 1, 2022. The Measures for the Security Assessment of Data Cross-border Transfer requires the data processor providing data overseas and falling under specific circumstances to apply for the security assessment of cross-border data transfer by the national cybersecurity authority through its local counterpart.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newly promulgated laws and regulations reflect the PRC government’s further attempts to strengthen the legal protection for national network security, data security, the security of critical information infrastructure and the security of personal information protection. These laws and regulations are relatively new, and therefore there are substantial uncertainties with respect to their interpretation and implementation. We may need to adjust our business operations and systems to comply with these laws and regulations regarding network security, data security and personal information from time to time.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has also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On March 12, 2021, CAC, MIIT, MPS and SAMR jointly issued the Rules on the Scope of Necessary Personal Information for Common Types of Mobile Internet Applications, which came into effect on May 1, 2021 and provide guidance regarding the “essential personal information” for different types of mobile apps. Pursuant to such rules, mobile apps may not deny user access to an apps’ basic functional services in the event that the users refuse to provide non-essential personal information. If any of our mobile apps are not in compliance with these regulations, we could be subject to potentially serious penalties, including revocation of our business licenses and permits.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more information with respect to the above laws and regulations, see Item 4.B. “Information on the Company—Business Overview—Government Regulations—Regulations on Information Security and Censorship.”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business operations do not violate any of the above PRC laws and regulations currently in force in any material respect. We have been taking and will continue to take reasonable measures to comply with such laws, regulations, announcement,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 and provisions and future regulations, laws and policies, we could incur additional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subject to a variety of laws and other obligations regarding data protection in jurisdictions outside of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be subject to similar data protection laws and other obligations in jurisdictions outside of China where we operate, including the European Union General Data Protection Regulation (“GDPR”) and other applicable laws in the European Union, the United Kingdom version of the GDPR (combining the GDPR and the United Kingdom’s Data Protection Act 2018), and state and federal privacy laws in the United States, including the California Consumer Privacy Act of 2018 (“CCPA”) as amended by the California Privacy Rights Act of 2020 (“CPRA”), and other new and emerging comprehensive state privacy laws.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GDPR has applied directly in all European Union member states since May 25, 2018 and applies to the processing carried out by companies with an establishment in the European Economic Area, or EEA, and to the processing carried out by certain other companies which are not established in the EEA but offer goods or services to individuals located in the EEA or monitor the behavior of individuals located in the EEA. The GDPR implements stringent operational requirements for controllers and processors of personal data, including, for example, disclosures on how personal data is to be used, limitations on retention of personal data and implementation of appropriate safeguards for transfer of personal data out of the EEA (such requirements have been further strengthen following the ruling of the Court of Justice of the European Union issued on July 16, 2020, the so-called Schrems II ruling) together with a transfer risk assessment to verify if anything in the law and/or practices of the destination country may impinge on the effectiveness of the safeguards, cyber security requirements, mandatory data breach notification requirements and requirements for controllers to demonstrate that they have relied on a valid legal basis to carry out data processing activities. More recently, the EU has been developing new requirements related to the use of data, including in the Digital Markets Act, the Digital Services Act, and the Data Act, that may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 GDPR and other data regulations, or if our implementation to comply with the GDPR makes our offerings less attractive. Compliance with these obligations depends in part on how particular regulators interpret and apply them.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additional penalties pursuant to European Union member states laws may apply, including criminal liability.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existing privacy considerations at both the federal and state level in the United States, several states have recently enacted comprehensive privacy laws.  For example, California enacted legislation affording consumers expanded privacy protections, including the CCPA, which went into effect on January 1, 2020 and was amended by the CPRA, which went into effect on January 1, 2023. The CPRA gives California residents (including employees and business-to-business contacts) expanded rights to transparency (e.g., detailed information about how personal information is collected, used, and shared), access to, correction of and deletion of their personal information, and a right to opt out of the sale or sharing of their personal information, amongst others. The CPRA also invests enforcement power in a first-of-its-kind in the U.S. enforcement agency, the California Privacy Protection Agency (“CPPA”), which provides for additional unknowns relating to costs and risks for potential legal liability. The CPPA is expected to finalize implementing regulations that are intended to provide additional details regarding requirements for covered businesses. The CPRA provides for co-enforcement authority for violations between the CPPA and the California Attorney General, as well as a private right of action for certain data breaches that could increase data breach litigation and liability, in light of the potential for statutory damages. Several other states have either passed or are considering additional comprehensive state privacy laws, with Virginia, Colorado, Connecticut, and Utah, already passing such laws. The passing of these states’ laws, and other laws globally, is prompting similar legislative developments in other states in the United States and at the federal level, which could complicate the already existing patchwork of overlapping but different state laws.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Complying with emerging and changing requirements may cause us to incur substantial costs or require us to change our business practices. Non-compliance could result in penalties or significant legal liability, including for example, penalties calculated as a percentage of global revenue under the GDPR.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In addition, in relation to our e-commerce business, almost all of the orders and some of the payments for products we offer are made through our websites and our mobile applications, and some online payments for our products are settled through third-party online payment services. We also share certain personal information about our customers with contracted third-party couriers, such as their names, addresses, phone numbers and transaction records. Moreover, we have accumulated a large volume of data, which covers customer’s browsing and consumption behavior information, product manufacturing and sales information, warehousing and distribution information and customer service information, among others.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Hackers develop and deploy viruses, worms, and other malicious software programs to attack websites or other online and mobile platforms and obtain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are subject to attempts of improper access or creating false or undesirable user accounts for purposes of spreading misinformation.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believe that we have not experienced any material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the NetEase group in the Chinese internet industry. We take a number of measures to ensure that our information technology systems are secure, including ensuring that our servers are hosted at physically secure sites and limiting access to server ports. We also use encryption, authentication, net border protection technology, host hardening, security audits, and other technologies to secure the transmission and storage of data. These security measures may be compromised as a result of third-party security breaches, employee faults,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on system security, data encryption, and other security measures to protect our systems and data, but these security measures cannot provide absolute security.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case of a breach of our systems, our data on the purchase and consumption of virtual items by our game players and other personal information of our users such as users of our intelligent education and e-commerce products may be compromised.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success of our business is dependent on our ability to retain our existing key employees and to add and retain senior officers to our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In such a circumstance, we currently have no layoff plans, but we may take a regular review and evaluation to the needs for personnel adjustments to adhere to the market law and company strategies.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Unexpected network interruption caused by system failures may reduce visitor traffic and harm our reputation.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operations are vulnerable to natural disasters and other events.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limited backup systems and have experienced system failures and electrical outages from time to time in the past, which have disrupted our operations. We have servers and routers in several different countries, with most of our servers and routers are currently located at several different locations in China. Our disaster recovery plan may not fully ensure safety in the event of damage from fire, floods, typhoons, earthquakes, power loss, telecommunications failures, break-ins, geopolitical events and similar events. If any of the foregoing occurs, we may experience a system shutdown. We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 could be adversely affected by widespread public health or other outbreaks and epidemics.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COVID-19, a novel strain of coronavirus, has spread worldwide. Many governments around the world have implemented at various points in time a variety of measures to reduce the spread of COVID-19, including travel restrictions and bans, instructions to residents to practice social distancing, quarantine advisories, shelter-in-place orders and required closures of non-essential businesses. The COVID-19 pandemic has negatively impacted the global economy, disrupted global supply chains and created significant volatility and disruption of financial markets.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the restrictive measures related to the COVID-19 pandemic have gradually been lifted around the world, including in China starting from December 2022, and we expect travel, social and economic activities to gradually normalize and the impact of COVID-19 to be reduced in the regions in which we operate, it is still uncertain whether and how our business could potentially be affected in the future. If there are further waves of the virus or any other adverse public health developments, health measures may be reimplemented and we may need to further limit operations or modify our business practices in a manner that may impact our business. For example, during much of the pandemic, we took measures to reduce the impact of the outbreak, including implementing a remote working program, monitoring our employees’ health and optimizing our technology system to support potential growth in game player traffic. If we or our business partners, including game licensors, suppliers, customers, advertisers and manufacturers, are required to further implement any such measures, we and our business partners might experience lower work efficiency and productivity, which may adversely affect our service quality. The pandemic also caused governments and others to place restrictions on our employees’ and our business partners’ ability to travel for periods of time, which restrictions could be re-introduced in the future.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the deterioration in economic conditions in connection with the outbreak globally has caused, and may continue to cause, decreases or delays in advertising and marketing service spending (in particular, due to the cancellation and/or delay of live in-person events) and budgets of customers across our platforms. As a result of any of the above developments, our business, financial condition and results of operations could be materially and adversely affected.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extent to which COVID-19 impacts our results will depend on future developments, which are highly uncertain and cannot be predicted, including new information which may emerge concerning the severity of COVID-19 and any of its variants and the actions to contain COVID-19 or treat its impact, among others. There have also been other outbreaks of epidemics in China and globally in recent years. Our operations could be disrupted if any future outbreak occurs in China, where a substantial portion of our revenue is derived, or in Beijing, Shanghai, Guangzhou and Hangzhou, where most of our employees are located. Our operations could also be severely disrupted if such health problems or outbreak led to a general slowdown in the Chinese economy or if our suppliers, customers or business partners were affected by such outbreaks or health epidemics.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face risks relating to our acquisitions, investments and joint ventures.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acquired and invested in numerous businesses, particularly with respect to online game development, and have also entered into joint venture arrangements from time to time. At any given time, we may have a number of pending investments and acquisitions that are subject to closing conditions and risks of failure to close. We expect to continue to evaluate and consider a wide array of potential strategic transactions as part of our overall business strategy, including business combinations, acquisitions and dispositions of businesses, technologies, services, products and other assets, as well as strategic investments and joint ventures. At any given time, we may be engaged in discussing or negotiating a range of these types of transactions. These transactions involve significant challenges and risks,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and significant and unanticipated additional costs and expenses resulting from, integrating into our business the personnel, operations, products, services, technology, internal controls and financial reporting of the businesses we acquire;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disruptions to our ongoing business and distractions to our management and employees when engaging or negotiating these transactions, or when integrating the new business we acquire with our existing business, both of which will increase our expenses;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 of skilled professionals and experienced management teams of the acquired businesses, in particular senior game designers and programmers;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influence over the controlling partners or shareholders or the misalignment of interests between us and our partners or other shareholders, for those investments which we may not obtain management and operational control;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regulatory requirements, restrictions and/or scrutiny on our investments and acquisitions in foreign jurisdictions, including those related to national security, anti-monopoly and competition laws, export controls and etc.;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alleged misconduct, unscrupulous business practices or non-compliance by us and/or any company we acquire or invest in or by its affiliates or current or former employees, whether before, during or after our acquisition or investments;</w:t>
            </w:r>
          </w:p>
        </w:tc>
      </w:tr>
    </w:tbl>
    <w:tbl>
      <w:tblPr>
        <w:tblW w:w="9186" w:type="dxa"/>
        <w:jc w:val="left"/>
        <w:tblInd w:w="0" w:type="dxa"/>
        <w:tblCellMar>
          <w:top w:w="28" w:type="dxa"/>
          <w:left w:w="28" w:type="dxa"/>
          <w:bottom w:w="28" w:type="dxa"/>
          <w:right w:w="28" w:type="dxa"/>
        </w:tblCellMar>
      </w:tblPr>
      <w:tblGrid>
        <w:gridCol w:w="124"/>
        <w:gridCol w:w="256"/>
        <w:gridCol w:w="8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and costs associated with identifying and selecting appropriate targets and strategic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potential opportunities to enter into strategic transactions with competitors of our investee companies and strategic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conducting sufficient and effective due diligence on potential targets to identify hidden liabilities, incidences of non-compliance, operating losses, or costs and expenses, which may adversely affect us following our acquisitions or investments or other strategic transactions;</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arising from disposal of investments or split-up of businesses;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potential impairment charges or write-offs of investments in equity method investees or intangible assets (including intellectual property we acquire), and goodwill recorded in connection with invested businesses, in the event that a decline in fair value below the carrying value of our equity method investments is other-than-temporary, or the carrying amount of a reporting unit to which goodwill is allocated exceeds its fair value. See Item 5.E. “Operating and Financial Review and Prospects—Critical Accounting Estimates—Impairment of long-term investments.”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risks could lead to negative publicity, increased regulatory scrutiny, litigation, government inquiries, investigations, actions or penalties against us and the companies we invest in or acquire on the ground of non-compliance with regulatory requirements and may force us to incur significant additional expenses and allocate significant management and human resources to rectify or improve these companies’ corporate governance standards, disclosure controls and procedures or internal controls and systems. Due to business or financial underperformance, regulatory scrutiny or compliance reasons, we may need to divest interests in, or terminate business cooperation with, businesses and entities in which we have invested capital and other resources. As a result, we may experience significant difficulties and uncertainties carrying out investments and acquisitions, and our growth strategy, reputation and/or the trading prices of our ADSs, shares and/or other securities may be materially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to address these risks or other problems encountered in connection with our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strategic investments and acquisitions may adversely affect our financial results, at least in the short term. Acquired businesses that are loss-making may continue to sustain losses and may not become profitable in the near future or at all. The performance of our current and future equity method investees may also adversely affect our net income. There can be no assurance that we will be able to grow our acquired or invested businesses, or realize returns, benefits of synergies and growth opportunities we expect in connection with these investments and acquisitions.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face risks associated with the expansion of our businesses and operations internationally.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risks that generally apply to our acquisitions and investments, we face risks associated with expanding into an increasing number of markets where we have limited or no experience, we may be less well-known or have fewer local resources and we may need to localize our business practices, culture and operations. We also face protectionist or national security policies that could, among other things, hinder our ability to execute our business strategies and put us at a competitive disadvantage relative to domestic companies in other jurisdictions. The expansion of our online game business and potentially other businesses outside of China will also expose us to risks and challenges inherent in operating businesses globally,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replicating or adapting our corporate policies and procedures to operating environments different from that of China, including technology and logistics infrastructure;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maintaining efficient and consolidated internal systems, including IT infrastructure, and customizing and integrating these systems with the other parts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acceptance of our product and service offerings, and challenges of adapting our offerings to appeal to local tastes;</w:t>
            </w:r>
          </w:p>
        </w:tc>
      </w:tr>
    </w:tbl>
    <w:tbl>
      <w:tblPr>
        <w:tblW w:w="9636" w:type="dxa"/>
        <w:jc w:val="left"/>
        <w:tblInd w:w="0" w:type="dxa"/>
        <w:tblCellMar>
          <w:top w:w="28" w:type="dxa"/>
          <w:left w:w="28" w:type="dxa"/>
          <w:bottom w:w="28" w:type="dxa"/>
          <w:right w:w="28" w:type="dxa"/>
        </w:tblCellMar>
      </w:tblPr>
      <w:tblGrid>
        <w:gridCol w:w="124"/>
        <w:gridCol w:w="25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understand cultural differences, local consumer behaviors and preferences and local business practices;</w:t>
            </w:r>
          </w:p>
        </w:tc>
      </w:tr>
    </w:tbl>
    <w:tbl>
      <w:tblPr>
        <w:tblW w:w="6051" w:type="dxa"/>
        <w:jc w:val="left"/>
        <w:tblInd w:w="0" w:type="dxa"/>
        <w:tblCellMar>
          <w:top w:w="28" w:type="dxa"/>
          <w:left w:w="28" w:type="dxa"/>
          <w:bottom w:w="28" w:type="dxa"/>
          <w:right w:w="28" w:type="dxa"/>
        </w:tblCellMar>
      </w:tblPr>
      <w:tblGrid>
        <w:gridCol w:w="124"/>
        <w:gridCol w:w="256"/>
        <w:gridCol w:w="5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protectionist or national security policies that restrict our ability to: </w:t>
            </w:r>
          </w:p>
        </w:tc>
      </w:tr>
    </w:tbl>
    <w:tbl>
      <w:tblPr>
        <w:tblW w:w="3066" w:type="dxa"/>
        <w:jc w:val="left"/>
        <w:tblInd w:w="0" w:type="dxa"/>
        <w:tblCellMar>
          <w:top w:w="28" w:type="dxa"/>
          <w:left w:w="28" w:type="dxa"/>
          <w:bottom w:w="28" w:type="dxa"/>
          <w:right w:w="28" w:type="dxa"/>
        </w:tblCellMar>
      </w:tblPr>
      <w:tblGrid>
        <w:gridCol w:w="124"/>
        <w:gridCol w:w="256"/>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or acquire companies;</w:t>
            </w:r>
          </w:p>
        </w:tc>
      </w:tr>
    </w:tbl>
    <w:tbl>
      <w:tblPr>
        <w:tblW w:w="4401" w:type="dxa"/>
        <w:jc w:val="left"/>
        <w:tblInd w:w="0" w:type="dxa"/>
        <w:tblCellMar>
          <w:top w:w="28" w:type="dxa"/>
          <w:left w:w="28" w:type="dxa"/>
          <w:bottom w:w="28" w:type="dxa"/>
          <w:right w:w="28" w:type="dxa"/>
        </w:tblCellMar>
      </w:tblPr>
      <w:tblGrid>
        <w:gridCol w:w="124"/>
        <w:gridCol w:w="256"/>
        <w:gridCol w:w="4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 import or export certain technologies; </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technologies that are deemed by local governmental to pose a threat to their national security; or</w:t>
            </w:r>
          </w:p>
        </w:tc>
      </w:tr>
    </w:tbl>
    <w:tbl>
      <w:tblPr>
        <w:tblW w:w="7536" w:type="dxa"/>
        <w:jc w:val="left"/>
        <w:tblInd w:w="0" w:type="dxa"/>
        <w:tblCellMar>
          <w:top w:w="28" w:type="dxa"/>
          <w:left w:w="28" w:type="dxa"/>
          <w:bottom w:w="28" w:type="dxa"/>
          <w:right w:w="28" w:type="dxa"/>
        </w:tblCellMar>
      </w:tblPr>
      <w:tblGrid>
        <w:gridCol w:w="124"/>
        <w:gridCol w:w="25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or maintain the necessary licenses and authorizations to operate our businesses;</w:t>
            </w:r>
          </w:p>
        </w:tc>
      </w:tr>
    </w:tbl>
    <w:tbl>
      <w:tblPr>
        <w:tblW w:w="8766" w:type="dxa"/>
        <w:jc w:val="left"/>
        <w:tblInd w:w="0" w:type="dxa"/>
        <w:tblCellMar>
          <w:top w:w="28" w:type="dxa"/>
          <w:left w:w="28" w:type="dxa"/>
          <w:bottom w:w="28" w:type="dxa"/>
          <w:right w:w="28" w:type="dxa"/>
        </w:tblCellMar>
      </w:tblPr>
      <w:tblGrid>
        <w:gridCol w:w="124"/>
        <w:gridCol w:w="256"/>
        <w:gridCol w:w="8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increased resources to manage regulatory compliance across our international businesses;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and retain capable talent with international perspectives who can effectively manage and operate local businesses;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local laws and regulations, including those relating to online games, e-commerce, digital services and platforms, such as the Digital Services Act and Digital Markets Act which has been adopted by the European Commission, privacy and data security, such as the GDPR, and consumer and labor protection laws, which will increase our compliance costs across different legal systems;</w:t>
            </w:r>
          </w:p>
        </w:tc>
      </w:tr>
    </w:tbl>
    <w:tbl>
      <w:tblPr>
        <w:tblW w:w="7761" w:type="dxa"/>
        <w:jc w:val="left"/>
        <w:tblInd w:w="0" w:type="dxa"/>
        <w:tblCellMar>
          <w:top w:w="28" w:type="dxa"/>
          <w:left w:w="28" w:type="dxa"/>
          <w:bottom w:w="28" w:type="dxa"/>
          <w:right w:w="28" w:type="dxa"/>
        </w:tblCellMar>
      </w:tblPr>
      <w:tblGrid>
        <w:gridCol w:w="124"/>
        <w:gridCol w:w="256"/>
        <w:gridCol w:w="7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restrictions and barriers on the transfer of data between different jurisdictions;</w:t>
            </w:r>
          </w:p>
        </w:tc>
      </w:tr>
    </w:tbl>
    <w:tbl>
      <w:tblPr>
        <w:tblW w:w="9786" w:type="dxa"/>
        <w:jc w:val="left"/>
        <w:tblInd w:w="0" w:type="dxa"/>
        <w:tblCellMar>
          <w:top w:w="28" w:type="dxa"/>
          <w:left w:w="28" w:type="dxa"/>
          <w:bottom w:w="28" w:type="dxa"/>
          <w:right w:w="28" w:type="dxa"/>
        </w:tblCellMar>
      </w:tblPr>
      <w:tblGrid>
        <w:gridCol w:w="124"/>
        <w:gridCol w:w="256"/>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reliability and security of international and cross-border payment systems and logistics infrastructure;</w:t>
            </w:r>
          </w:p>
        </w:tc>
      </w:tr>
    </w:tbl>
    <w:tbl>
      <w:tblPr>
        <w:tblW w:w="3081" w:type="dxa"/>
        <w:jc w:val="left"/>
        <w:tblInd w:w="0" w:type="dxa"/>
        <w:tblCellMar>
          <w:top w:w="28" w:type="dxa"/>
          <w:left w:w="28" w:type="dxa"/>
          <w:bottom w:w="28" w:type="dxa"/>
          <w:right w:w="28" w:type="dxa"/>
        </w:tblCellMar>
      </w:tblPr>
      <w:tblGrid>
        <w:gridCol w:w="124"/>
        <w:gridCol w:w="256"/>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and general economic or political conditions in particular countries or regions, including territorial or trade disputes, war and terrorism.</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manage these risks and challenges could negatively affect our ability to expand our international and cross-border businesses and operations as well as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If our server and bandwidth service providers fail to provide these services, our business could be materially curtailed.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rely on cloud servers maintained by third-party cloud service providers particularly for our overseas games.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Times New Roman;Times;serif" w:hAnsi="Times New Roman;Times;serif"/>
          <w:b/>
          <w:sz w:val="20"/>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held liable for information or content displayed on, retrieved from or linked to the NetEase websites and other NetEase’s online and mobile platforms.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financial conditions and results of operations, if successful. Also, we may be subject to administrative actions brought by relevant PRC competent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could be subject to copyright, defamation and other claims based upon user-generated content that is accessible on the NetEase websites or other online and mobile platforms such as content and materials posted or uploaded by users on message boards, online communities, voting systems, e-mail, chat rooms or our other online and mobile platforms including NetEase Cloud Music, NetEase CC live streaming platform, our portal and related mobile app, </w:t>
      </w:r>
      <w:r>
        <w:rPr>
          <w:rFonts w:ascii="Times New Roman;Times;serif" w:hAnsi="Times New Roman;Times;serif"/>
          <w:i/>
          <w:sz w:val="20"/>
        </w:rPr>
        <w:t>Wangyi Xinwen</w:t>
      </w:r>
      <w:r>
        <w:rPr>
          <w:rFonts w:ascii="Times New Roman;Times;serif" w:hAnsi="Times New Roman;Times;serif"/>
          <w:sz w:val="20"/>
        </w:rPr>
        <w:t>.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pStyle w:val="TextBody"/>
        <w:spacing w:before="0" w:after="240"/>
        <w:ind w:left="720" w:right="0" w:hanging="0"/>
        <w:jc w:val="both"/>
        <w:rPr/>
      </w:pPr>
      <w:r>
        <w:rPr/>
        <w:t>●</w:t>
      </w:r>
      <w:r>
        <w:rPr>
          <w:rFonts w:ascii="Times New Roman;Times;serif" w:hAnsi="Times New Roman;Times;serif"/>
          <w:sz w:val="20"/>
        </w:rPr>
        <w:t>unsolicited e-mails;</w:t>
      </w:r>
    </w:p>
    <w:p>
      <w:pPr>
        <w:pStyle w:val="TextBody"/>
        <w:spacing w:before="0" w:after="240"/>
        <w:ind w:left="720" w:right="0" w:hanging="0"/>
        <w:jc w:val="both"/>
        <w:rPr/>
      </w:pPr>
      <w:r>
        <w:rPr/>
        <w:t>●</w:t>
      </w:r>
      <w:r>
        <w:rPr>
          <w:rFonts w:ascii="Times New Roman;Times;serif" w:hAnsi="Times New Roman;Times;serif"/>
          <w:sz w:val="20"/>
        </w:rPr>
        <w:t>lost or misplaced messages;</w:t>
      </w:r>
    </w:p>
    <w:p>
      <w:pPr>
        <w:pStyle w:val="TextBody"/>
        <w:spacing w:before="0" w:after="240"/>
        <w:ind w:left="720" w:right="0" w:hanging="0"/>
        <w:jc w:val="both"/>
        <w:rPr/>
      </w:pPr>
      <w:r>
        <w:rPr/>
        <w:t>●</w:t>
      </w:r>
      <w:r>
        <w:rPr>
          <w:rFonts w:ascii="Times New Roman;Times;serif" w:hAnsi="Times New Roman;Times;serif"/>
          <w:sz w:val="20"/>
        </w:rPr>
        <w:t>illegal or fraudulent use of e-mail; or</w:t>
      </w:r>
    </w:p>
    <w:p>
      <w:pPr>
        <w:pStyle w:val="TextBody"/>
        <w:ind w:left="720" w:right="0" w:hanging="0"/>
        <w:jc w:val="both"/>
        <w:rPr/>
      </w:pPr>
      <w:r>
        <w:rPr/>
        <w:t>●</w:t>
      </w:r>
      <w:r>
        <w:rPr>
          <w:rFonts w:ascii="Times New Roman;Times;serif" w:hAnsi="Times New Roman;Times;serif"/>
          <w:sz w:val="20"/>
        </w:rPr>
        <w:t>interruptions or delays in e-mail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incur significant costs in investigating and defending these claims, even if they do not result in liability.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Divestitures of businesses and assets may have a material and adverse effect on our business and financial condition.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us meet our objectives. These decisions are largely based on our management’s assessment of the business models and likelihood of success of these businesses. However, our judgment could be inaccurate, and we may not achieve the desired strategic and financial benefits from these transactions. Additionally, we have undertaken, and may undertake in the future, partial or complete divestitures or other disposal transactions to comply with evolving legal and regulatory requirements, such as Youdao’s disposal of its Academic AST Business as part of its efforts to comply with new regulatory requirements adopted by the PRC government in the second half of 2021.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Due to legal restrictions on foreign investment in Chinese companies providing value-added telecommunications services and holding ICP licenses and other regulated licenses,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(i) the power to direct the activities that most significantly impact the economic performance of the VIEs; (ii) economic benefits of these VIEs; and (iii)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The VIEs and their respective subsidiaries hold the licenses, approvals and key assets that are essential for the major portion of our business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have been advised by our PRC counsel that these contractual arrangements are valid and binding under existing PRC laws and regulations, these contractual arrangements may not be as effective in providing control over these VIEs as direct ownership. In addition, we have been further advised by our PRC counsel that there are substantial uncertainties regarding the interpretation and application of current or future PRC laws and regulations. Thus, 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our business and operating licenses;</w:t>
            </w:r>
          </w:p>
        </w:tc>
      </w:tr>
    </w:tbl>
    <w:tbl>
      <w:tblPr>
        <w:tblW w:w="4026" w:type="dxa"/>
        <w:jc w:val="left"/>
        <w:tblInd w:w="0" w:type="dxa"/>
        <w:tblCellMar>
          <w:top w:w="28" w:type="dxa"/>
          <w:left w:w="28" w:type="dxa"/>
          <w:bottom w:w="28" w:type="dxa"/>
          <w:right w:w="28" w:type="dxa"/>
        </w:tblCellMar>
      </w:tblPr>
      <w:tblGrid>
        <w:gridCol w:w="124"/>
        <w:gridCol w:w="25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our operations;</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or confiscating any of our income that they deem to have been obtained through illegal operations;</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conditions or requirements with which we may not be able to comply;</w:t>
            </w:r>
          </w:p>
        </w:tc>
      </w:tr>
    </w:tbl>
    <w:tbl>
      <w:tblPr>
        <w:tblW w:w="6426" w:type="dxa"/>
        <w:jc w:val="left"/>
        <w:tblInd w:w="0" w:type="dxa"/>
        <w:tblCellMar>
          <w:top w:w="28" w:type="dxa"/>
          <w:left w:w="28" w:type="dxa"/>
          <w:bottom w:w="28" w:type="dxa"/>
          <w:right w:w="28" w:type="dxa"/>
        </w:tblCellMar>
      </w:tblPr>
      <w:tblGrid>
        <w:gridCol w:w="124"/>
        <w:gridCol w:w="256"/>
        <w:gridCol w:w="6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the relevant ownership structure or operations;</w:t>
            </w:r>
          </w:p>
        </w:tc>
      </w:tr>
    </w:tbl>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our financing activities to finance the business and operations of the VIEs; or</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Moreover, new PRC laws, regulations and rules may be introduced to impose additional requirements, posing additional challenges to our corporate structure and contractual arrangements. If any of these penalties results in our inability to direct the activities of VIEs, our failure to receive the economic benefits from the VIEs and/or our inability to claim our contractual control rights over the assets of the VIEs that conduct substantially all of our operations in China, we may not be able to consolidate the VIEs and their respective subsidiaries into our consolidated financial statements in accordance with U.S. GAAP which could materially and adversely affect our financial condition and results of operations and cause our ADSs and ordinary shares to significantly decline in value or become worthless. Please also see the below risk factors “— Substantial uncertainties exist with respect to how the 2019 Foreign Investment Law may impact the viability of our current corporate structure, corporate governance and business operations.” and “— Risks Related to Doing Business in China—The Chinese government restricts the ability for foreign investors to invest in and operate in certain types of telecommunications and internet businesses.”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Substantial uncertainties exist with respect to how the 2019 Foreign Investment Law may impact the viability of our current corporate structure, corporate governance and business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15, 2019, the Standing Committee of National People’s Congress promulgated the 2019 PRC Foreign Investment Law, which became effective on January 1, 2020. The 2019 PRC Foreign Investment Law replaced the trio of previous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PRC Foreign Investment Law, especially in regard to, including, among other things, the nature of VIE structure, the promulgation schedule of both the “negative list” under the 2019 PRC Foreign Investment Law and specific rules regulating the organization form of foreign-invested enterprises within the five-year transition period. The VIE structure has been adopted by many PRC-based companies, including us, to obtain necessary licenses and permits in the industries that are currently subject to foreign investment restrictions in China. While the 2019 PRC Foreign Investment Law does not comment on the concept of “de facto control” or contractual arrangements with variable interest entities, it does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Therefore, there can be no assurance that our consolidation of the VIEs through contractual arrangements will not be deemed as foreign investment in the future.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any possible future laws, administrative regulations or provisions deem contractual arrangements as a way of foreign investment, or if any of our operations through contractual arrangements is classified in the “restricted” or “prohibited” industry in the future “negative list” under the 2019 Foreign Investment Law, our contractual arrangements may be deemed as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Foreign Investment Law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China mainland subsidiaries after such transition period.  Failure to take timely and appropriate measures to handle any of these or similar regulatory compliance challenges could materially and adversely affect our current corporate structure, corporate governance and business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contractual arrangements with the VIEs may not be as effective in providing operational control as direct ownership. If the VIEs or their ultimate shareholders violate our contractual arrangements with them, our business could be disrupted, our reputation may be harmed and we may have to resort to litigation to enforce our rights, which may be time consuming and expensive.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Since PRC laws prohibit or restrict foreign equity ownership in certain types of businesses in China, we have relied and expect to continue to rely on the contractual arrangements with the VIEs and their nominee shareholders to operate our business in China. However, these contractual arrangements may not be as effective as direct ownership in providing us with control over the VIEs, and the VIEs are owned by shareholders whose interests may differ from ours and those of our shareholders because they own a larger percentage of such companies than of our company. These VIEs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us. If these companies or their ultimate shareholders violate our agreements with them, we may have to incur substantial costs and expend significant resources to enforce those arrangements and rely on legal remedies under the PRC laws. Many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Because our contractual arrangements with certain of the VIEs and their ultimate shareholders do not detail the parties’ rights and obligations, our remedies for a breach of these arrangements are limited.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current relationship with the VIEs, including Guangzhou NetEase, Hangzhou Leihuo, Youdao Computer and Hangzhou Yuedu, and their ultimate shareholders is based on a number of contracts, and these affiliated companies are considered the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VIEs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One of our shareholders has significant influence over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founder, Chief Executive Officer and director, William Lei Ding, beneficially owned, as of March 31, 2023, approximately 45.0%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majority of the share capital of certain of the VIEs is held by our major shareholder, who may cause these agreements to be amended in a manner that is adverse to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William Lei Ding, directly or indirectly holds the majority interest in certain of the VIEs.  As a result, Mr. Ding may be able to cause the agreements related to those companies to be amended in a manner that will be adverse to us,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conduct our operations without the services provided by certain of the VIEs.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currently dependent upon our commercial relationships with the VIEs, and we derive most of our revenues from these companies.  If these companies are unwilling or unable to perform the agreements which we have entered into with them, we may not be able to conduct our operations in the manner in which we currently do.  In addition, the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corporate structure may restrict our ability to receive dividends from, and transfer funds to, our China mainland subsidiaries and VIEs, which could restrict our ability to act in response to changing market conditions and reallocate funds internally in a timely manner.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NetEase, Inc. is a holding company with no significant assets other than cash on hand and its equity interests in its directly and indirectly-owned subsidiaries, including those set forth in the organizational diagram appearing in Item 4.B. “Information on the Company—Business Overview—Our Organizational Structure.” As a result, our company’s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the VIEs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China mainland subsidiaries and the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Any limitation on the ability of our China mainland subsidiaries and the VIEs to transfer funds to us in the form of dividends or other distributions could materially and adversely limit our ability to grow, make investments or acquisitions that could be beneficial to our businesses, pay debt or dividends, and otherwise fund and conduct our business.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it is difficult to change our capital expenditure plans once the relevant funds have been remitted from our company or our subsidiaries outside of China to our China mainland subsidiaries or the VIEs.  These limitations on the free flow of funds between our company and our China mainland subsidiaries and the VIEs could restrict our ability to act in response to changing market conditions and reallocate funds internally in a timely manner.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arrangements with certain of the VIEs and their respective shareholders may cause a transfer pricing adjustment and may be subject to scrutiny by the PRC tax authorities.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could face material and adverse tax consequences if the PRC tax authorities determine that our contracts with the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transfer of shares of the VIEs may trigger tax liability.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need to cause the transfer of shareholdings of the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financial conditions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lose the ability to use and enjoy assets held by any of the principal VIEs that are important to the operation of our business if such VIE declares bankruptcy or becomes subject to a dissolution or liquidation proceeding.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VIEs hold assets that are material to our business operations, such as our certain intellectual property and core licenses and permits. Although the VIE contracts between our subsidiaries and the VIEs and the shareholders of the VIEs contain terms that prohibit the shareholders of the VIEs from adversely affecting the existence of the VIEs, in the event the shareholders breach this obligation and voluntarily liquidate the VIEs, or if any of the VIEs declare bankruptcy and all or part of its assets become subject to liens or rights of third-party creditors, we might be unable to continue some or all of our business operations. Furthermore, if any of the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custodians or authorized users of our controlling non-tangible assets, including chops and seals, may fail to fulfill their responsibilities, or misappropriate or misuse these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and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political relationships between China and other countries may affect our business, financial condition, results of operations, cash flows and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launched numerous mobile games in global markets since 2015 and also offer certain other services outside of China.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 In addition, in September 2020, former U.S. President Donald Trump issued an executive order blocking TikTok and WeChat from processing transactions for U.S. citizens and from being downloaded in U.S. app stores due to national security concerns. In January 2021, President Trump also issued an executive order prohibiting transactions between U.S. individuals and companies and eight Chinese applications, including AliPay and QQ. In June 2021, U.S. President Joe Biden rescinded both executive orders and directed the U.S. Commerce Department to monitor software applications that could affect U.S. national security and make recommendations. In October 2021, the U.S. Commerce Department submitted an initial set of recommendations on data scrutiny. Although the foregoing executive order or restriction are not directed at our services and the ban in India has not materially impacted our online games services revenue, there can be no assurance that the deterioration of political relationships between China and other foreign jurisdictions will not result in further bans or restrictions on our products.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results of operations, cash flows and prospects may also be materially adversely affected by export controls and economic and trade sanctions that target China and/or China-based business.  See “—Export controls and economic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above. In addition, there can be no assurance that our customers will not alter their perception of us or their preferences as a result of adverse changes to the state of political relationships between China and the relevant foreign jurisdiction. Any tensions and political concerns between China and the relevant foreign jurisdictions may adversely affect our business, financial condition, results of operations, cash flows and prospects.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uncertain as to how will the Chinese government reclassify our business,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the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restricts the ability for foreign investors to invest in and operate in certain types of telecommunications and internet businesses.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internet portal and relate mobile app,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portal and related mobile app business is conducted through the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are likely to be deemed as such.  We believe we are also in compliance with this requirement because we operate our other innovative businesses and other services through the contractually controlled VIEs.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unclear whether the authorities will deem the VIE structure of the NetEase group as a kind of “indirect way” for foreign investors to gain control over or participate in domestic online game operators, internet-based news information services or internet-based cultural institutions.  If the VIE structure is deemed as one such “indirect way,” the VIE structure may be challenged by the authorities and the authorities may require us to restructure the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the VIE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the PRC government has been promoting foreign investment reform in some sectors and purported to loosen the foreign investment restrictions in those sectors. For example, the Notice of the MIIT on Removing the Restrictions on Foreign Equity Ratios in Online Data Processing and Transaction Processing (Operating E-commerce) Business promulgated by the MIIT on June 19, 2015 allows foreign investors to hold up to 100% of the equity interests in an online data processing and transaction processing business (operational e-commerce) in China. In addition, the NDRC and the MOFCOM jointly published the 2019 edition of the Special Administrative Measures for Access of Foreign Investments, or the 2019 Negative List, which came into effect on July 30, 2019. The 2019 Negative List removed some of the previous restrictions on value-added telecommunications providers by allowing foreign investors to hold up to 100% of the equity interests in e-commerce, domestic multi-party communication, e-storage and forwarding and call center businesses in China. The 2019 Negative List has been replaced by the 2020 edition and the 2021 edition of the Special Administrative Measures for Access of Foreign Investment, which retain the same provisions with respect to value-added telecommunication businesses as the 2019 Negative List. Furthermore, the amended Regulation for the Administration of Foreign-Invested Telecommunications Enterprises, which took effect on May 1, 2022, removes some of the requirements for major foreign investors in a foreign-invested telecommunications enterprise engaging in value-added telecommunication services. For example, the record of good performance and operating experience in managing value-added telecommunication services for the major foreign investors have been removed. It is unclear, however, how these new regulations and policies will be implemented. More generally, the authorities in China have broad discretion in the determination and interpretation of the rules and regulations regarding foreign investment in the telecommunications and internet business, which may adversely impact our financial statements, operations and cash flows.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and ordinary shares. The PRC government has recently indicated an intent to exert more oversight over overseas offerings and/or foreign investment in China-based issuers like us. For example, the Opinions on Strictly Cracking Down on Illegal Securities Activities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 Subsequently, CAC issued the Draft Data Securities Regulations and CAC, NDRC, MIIT and other ten PRC regulatory authorities jointed issued the Cybersecurity Review Measures which further strengthened the cybersecurity review measures. For more details, please see “—Risks Related to Our Operations Overall—We are subject to a variety of laws and other obligations regarding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and we may be required to submit filings to the CSRC in connection with future issuances of our equity securities to foreign investors. In order to support domestic companies’ overseas securities offering and listing pursuant to PRC laws and regulations, as a supplement to the Trial Measures, on February 24, 2023, CSRC and other three PRC regulatory authorities jointly issued the Provisions on Strengthening Confidentiality and Archives Administration of Overseas Securities Offering and Listing by Domestic Companies (the “Confidentiality and Archives Administration Provisions”), which took effect on March 31, 2023, according to which, a domestic company that seeks overseas offering and listing and the securities companies and securities service providers that undertake relevant businesses must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For more information with respect to the Filing Rules and the Confidentiality and Archives Administration Provisions, see Item 4.B. “Information on the Company—Business Overview—Government Regulations—Regulations Relating to Overseas Listing.” As the Filing Rules and the Confidentiality and Archives Administration Provisions are relatively new, there are substantial uncertainties with respect to their interpretation and implementation.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the CSRC, CAC or other relevant PRC regulatory agencies subsequently determine that approval is required for any of our future offerings of securities overseas or to maintain the listing status of our ADSs or ordinary shares,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or ordinary shares. If we proceed with any of such offering or maintain the listing status of our ADSs or ordinary shares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or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or ordinary shares,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has not enacted any specific laws regarding virtual asset property rights and, accordingly, it is not clear what liabilities, if any, online game providers may have for virtual assets.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One of the features of our PC and mobile MMORPG and other games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Restrictions on virtual currency may adversely affect our online game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large part of our online game revenues are collected through the sale of prepaid points, as described elsewhere on this annual report.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comply with the requirements of the Online Game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Information displayed on, retrieved from or linked to the NetEase websites and other online and mobile platforms may subject us to claims of violating PRC laws.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 The PRC government and regulatory authorities strengthen the regulation on internet content from time to time. For example, according to the Administrative Measures for Online Live Streaming Marketing (for Trial Implementation), which were issued by NRTA and several other government authorities jointly on April 23, 2021 and became effective on May 25, 2021, a live streaming marketing platform must be staffed with live streaming content management professionals commensurate with the scale of services, have the technical capacity to maintain the security of online live streaming content and have technical solutions that comply with relevant national standards. With respect to online performance, the Administrative Measures for Business Activities Relating to Online Performance which were issued by MOC on December 2, 2016 and took effect on January 1, 2017, requires that an online performance business operator must develop sound administrative rules for content examination, appoint examiners that meet the needs of self-examination and have obtained corresponding qualifications, and establish technical regulatory measures that meet the needs of content management. With respect to the mobile internal applications specifically, the Administrative Provisions on Mobile Internet Applications Information Services, which were issued by CAC on June 14, 2022 and became effective on August 1, 2022, requires the application providers not only to establish sound information content review and management mechanism, establish sound management measures such as user registration, account management, information review, daily inspection and emergency disposal, and be staffed with professionals and technical ability appropriate to the service scale, but also to conduct security assessment in accordance with the relevant provisions of Chinese laws before launching new technologies, new applications and new functions with the attribute of public opinions or capable of social mobilization. With respect to the internet pop-up window information push services (referring to the information push services provided to internet users in the form of pop-up message windows through operating systems, application software, websites, etc.), the Administrative Provisions on Internet Pop-up Window Information Push Services, which were issued by the CAC, MIIT and SAMR on September 9, 2022 and took effect on September 30, 2022, require that providers of internet pop-up window information push services must take responsibilities as an information content management entity and establish and improve management systems for censoring of information content, ecological governance, data security and personal information protection, and protection of minors. With respect to comment threading services (referring to the services of threading text, symbols, expressions, pictures, audio and video and other information provided for the users by way of comments, replies, messages, bullet screens, likes, etc.), the Administrative Provisions on Comment Threading Services on the Internet, or the Comment Threading Provisions, which were issued by CAC on November 16, 2022 and took effect on December 15, 2022, grant CAC the responsibility for the supervision and administration of comment threading services nationwide, and provide that the application providers will be responsible for the information contents presented and may not produce and disseminate illegal information and must consciously prevent and resist unhealthy information. For example, the Comment Threading Provisions require that comment threading service providers must regulate the management of the users of the comment threading services and the producers and business operators of official accounts in accordance with the user service agreement, while the producers and business operators of official accounts are required to strengthen the examination and management of the comment information content for the accounts, timely discover illegal and negative information content in the comment threading links and take necessary measures such as whistleblowing and handling. The Comment Threading Provisions further provide that the producers and business operators of official accounts may, according to the user service agreement, apply to the comment threading service providers for management authorities of the comment threading area, and the comment threading service providers must, after conducting a credit assessment on the comment management by the producers and business operators of the official accounts, reasonably set the management authority and provide relevant technical support.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uploaded or transmitted by users on our platform. User-generated content is accessible on the NetEase websites and our other online and mobile platforms including </w:t>
      </w:r>
      <w:r>
        <w:rPr>
          <w:rFonts w:ascii="Times New Roman;Times;serif" w:hAnsi="Times New Roman;Times;serif"/>
          <w:i/>
          <w:sz w:val="20"/>
        </w:rPr>
        <w:t>Wangyi Xinwen</w:t>
      </w:r>
      <w:r>
        <w:rPr>
          <w:rFonts w:ascii="Times New Roman;Times;serif" w:hAnsi="Times New Roman;Times;serif"/>
          <w:sz w:val="20"/>
        </w:rPr>
        <w:t xml:space="preserve"> and NetEase Cloud Music, such as content and materials posted or uploaded by users on message boards, online communities and social networking platforms. We have implemented an efficient and thorough content screening and monitoring mechanism for NetEase Cloud Music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To the extent that PRC regulatory authorities find any content on our platform objectionable, they may require us to limit or eliminate the dissemination of such content on our platform in the form of take-down orders or otherwise. Failure to identify and prevent illegal or inappropriate content from being distributed on our platform may subject us to liability. Recently, PRC governmental authorities have tightened regulations on online content. For example, the CAC launched the “Clear and Bright” campaign to rectify a variety of online misconduct in May 2021, in response to which certain policies were issued and enforcement actions were launched. If the PRC governmental authorities determine that we are not in compliance with all the requirements under applicable laws and regulations relating to internet content, we may be subject to fines and/or other sanctions such as an order to correct the violation, confiscation of illegal earnings, suspension or shutdown of the related business and website, cessation of business operation for rectification, and revocation of business license, any of which could disrupt our operations. In addition, PRC laws and regulations are subject to interpretation by the relevant authorities, and it may not be possible to determine in all cases the types of content that could result in our liability as a platform operator.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under the relevant regulations, internet companies which provide bulletin board systems, chat rooms or similar services, such as NetEase, must apply for the approval of the State Secrecy Bureau.  As the implementing rules of these regulations have not been issued, we do not know how or when we will be expected to comply, or how our business will be affected by the application of these regulations.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face uncertainties with respect to the interpretation and implementation of the anti-monopoly related laws in the field of internet platforms.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Anti-Monopoly Law, which took effect on August 1, 2008, prohibits monopolistic conduct such as entering into monopoly agreements, abusing market dominance and concentration of undertakings that may have the effect of eliminating or restricting competition. Violations of such law can result in an order to stop the illegal conduct, confiscation of revenue earned from such conduct and a fine of 1% to 10% of the total amount of revenue earned in the prior year. On February 7, 2021, the Anti-Monopoly Commission of the State Council promulgated the Guidelines to Anti-Monopoly in the Field of Internet Platforms, or the Anti-Monopoly Guidelines, which took effect on the same date and operate as a compliance guidance for platform economy operators under the existing PRC anti-monopoly laws and regulations. The Anti-Monopoly Guidelines aim at specifying some of the circumstances under which an activity of internet platforms may be identified as monopolistic conduct as well as setting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issued the 2022 Amendment to the Anti-Monopoly Law, which amends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amendment also authorizes the relevant authority to investigate transactions where there is evidence that the concentration has or may have the effect of eliminating or restricting competitions, even if such concentration does not reach the filing threshold.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Recently, the SAMR has imposed administrative penalties in a number of anti-monopoly cases in the internet industry, and the regulatory environment for anti-monopoly in the internet industry has been entering into a phase of normalized regulation and control. Given the uncertainties of the interpretation and implementation of the Anti-Monopoly Guidelines and the newly amended Anti-Monopoly Law and considering the evolving legislative activities and varied local implementation practices of anti-monopoly and competition laws and regulations in the PRC, we may be required to make expenditures and adjust our business practice to comply with existing or future laws and regulations, which may increase our costs and limit our ability to operate our business. In addition, failure or perceived failure to comply with Anti-Monopoly Guidelines, and the newly amended Anti-Monopoly Law or other anti-monopoly related laws and regulations may result in investigations or enforcement actions, litigation or claims against us and could have an adverse effect on our business, financial conditions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adequately protect our intellectual property and may be exposed to infringement claims by third parties.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“Information on the Company—Business Overview—Intellectual Property.”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consumer protection laws that could require us to modify our current business practices and incur increased costs.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as well as third-party platforms and hurt our business, financial conditions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restrictions on financial transactions may adversely affect the operation and profitability of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14, 2010, the PBOC issued the Measures for the Administration of Non-financial Institutions Engaging in Payment and Settlement Services, or the PBOC Measures, which became effective on September 1, 2010 and were revised on April 29, 2020, and require that non-financial institutions engaging in the business of effecting payments and settlements before September 1, 2010 obtain a permit from the PBOC by August 31, 2011 to continue operating their business. We currently operate an online payment platform used by both distributors of our prepaid points and end-users of our online services, which requires a permit under the PBOC Measures. In addition, on December 28, 2015, the PBOC issued a notice regarding the Administrative Measures for the Internet Payment Services of Non-bank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may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of the PBOC on Matters concerning Implementing the Centralized Deposit of the Funds of Pending Payments of Clients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for the time being. On June 29, 2018, the PBOC issued a further notice, namely the Notice of the General Office of PBOC on Matters Concerning the Centralized Deposit of the Full Amount of Customer Reserve Funds by Payment Institutions, which requires payment institutions to cause up to 100% of the customer reserve funds to be transferred to the above-mentioned account. 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must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 On September 2, 2022, the Standing Committee of the National People’s Congress promulgated the Anti-Telecom and Online Fraud Law of PRC, effective on December 1, 2022, which requires that non-bank payment institutions, together with banking financial institutions, must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in compliance with the PBOC Notice 43 and the recent PBOC requirements to transfer our customer reserve funds to its designated bank account,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Uncertainties with respect to the PRC legal system, including uncertainties regarding the enforcement of laws, and sudden or unexpected changes in policies, laws and regulations in China, could adversely affect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legal system is a civil law system based on written statutes. Unlike common law systems, it is a system in which decided legal cases have less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many of these laws, regulations and legal requirements are relatively recent and are evolving rapidly, and their interpretation and enforcement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As a result, we cannot assure that we can comply with these policies or rules at all times. In addition, any administrative and court proceedings may be protracted, resulting in substantial costs and diversion of resources and management attention.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adversely affected our industry and our business, and we cannot rule out the possibility that it will in the future further release regulations or policies regarding our industry that could further adversely affect our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 drafting, interpretation and enforcement in China involve significant uncertainty.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not as developed as in the United States, and the result of contract dispute in certain cases is subject to significant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China’s political and economic policies could harm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pStyle w:val="TextBody"/>
        <w:spacing w:before="0" w:after="240"/>
        <w:ind w:left="720" w:right="0" w:hanging="0"/>
        <w:jc w:val="both"/>
        <w:rPr/>
      </w:pPr>
      <w:r>
        <w:rPr/>
        <w:t>●</w:t>
      </w:r>
      <w:r>
        <w:rPr>
          <w:rFonts w:ascii="Times New Roman;Times;serif" w:hAnsi="Times New Roman;Times;serif"/>
          <w:sz w:val="20"/>
        </w:rPr>
        <w:t>economic structure;</w:t>
      </w:r>
    </w:p>
    <w:p>
      <w:pPr>
        <w:pStyle w:val="TextBody"/>
        <w:spacing w:before="0" w:after="240"/>
        <w:ind w:left="720" w:right="0" w:hanging="0"/>
        <w:jc w:val="both"/>
        <w:rPr/>
      </w:pPr>
      <w:r>
        <w:rPr/>
        <w:t>●</w:t>
      </w:r>
      <w:r>
        <w:rPr>
          <w:rFonts w:ascii="Times New Roman;Times;serif" w:hAnsi="Times New Roman;Times;serif"/>
          <w:sz w:val="20"/>
        </w:rPr>
        <w:t>level of government involvement in the economy;</w:t>
      </w:r>
    </w:p>
    <w:p>
      <w:pPr>
        <w:pStyle w:val="TextBody"/>
        <w:spacing w:before="0" w:after="240"/>
        <w:ind w:left="720" w:right="0" w:hanging="0"/>
        <w:jc w:val="both"/>
        <w:rPr/>
      </w:pPr>
      <w:r>
        <w:rPr/>
        <w:t>●</w:t>
      </w:r>
      <w:r>
        <w:rPr>
          <w:rFonts w:ascii="Times New Roman;Times;serif" w:hAnsi="Times New Roman;Times;serif"/>
          <w:sz w:val="20"/>
        </w:rPr>
        <w:t>level of development;</w:t>
      </w:r>
    </w:p>
    <w:p>
      <w:pPr>
        <w:pStyle w:val="TextBody"/>
        <w:spacing w:before="0" w:after="240"/>
        <w:ind w:left="720" w:right="0" w:hanging="0"/>
        <w:jc w:val="both"/>
        <w:rPr/>
      </w:pPr>
      <w:r>
        <w:rPr/>
        <w:t>●</w:t>
      </w:r>
      <w:r>
        <w:rPr>
          <w:rFonts w:ascii="Times New Roman;Times;serif" w:hAnsi="Times New Roman;Times;serif"/>
          <w:sz w:val="20"/>
        </w:rPr>
        <w:t>level of capital reinvestment;</w:t>
      </w:r>
    </w:p>
    <w:p>
      <w:pPr>
        <w:pStyle w:val="TextBody"/>
        <w:spacing w:before="0" w:after="240"/>
        <w:ind w:left="720" w:right="0" w:hanging="0"/>
        <w:jc w:val="both"/>
        <w:rPr/>
      </w:pPr>
      <w:r>
        <w:rPr/>
        <w:t>●</w:t>
      </w:r>
      <w:r>
        <w:rPr>
          <w:rFonts w:ascii="Times New Roman;Times;serif" w:hAnsi="Times New Roman;Times;serif"/>
          <w:sz w:val="20"/>
        </w:rPr>
        <w:t>control of foreign exchange;</w:t>
      </w:r>
    </w:p>
    <w:p>
      <w:pPr>
        <w:pStyle w:val="TextBody"/>
        <w:spacing w:before="0" w:after="240"/>
        <w:ind w:left="720" w:right="0" w:hanging="0"/>
        <w:jc w:val="both"/>
        <w:rPr/>
      </w:pPr>
      <w:r>
        <w:rPr/>
        <w:t>●</w:t>
      </w:r>
      <w:r>
        <w:rPr>
          <w:rFonts w:ascii="Times New Roman;Times;serif" w:hAnsi="Times New Roman;Times;serif"/>
          <w:sz w:val="20"/>
        </w:rPr>
        <w:t>inflation rates;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jc w:val="both"/>
        <w:rPr/>
      </w:pPr>
      <w:r>
        <w:rPr/>
        <w:t>●</w:t>
      </w:r>
      <w:r>
        <w:rPr>
          <w:rFonts w:ascii="Times New Roman;Times;serif" w:hAnsi="Times New Roman;Times;serif"/>
          <w:sz w:val="20"/>
        </w:rPr>
        <w:t>methods of allocating resources; and</w:t>
      </w:r>
    </w:p>
    <w:p>
      <w:pPr>
        <w:pStyle w:val="TextBody"/>
        <w:ind w:left="720" w:right="0" w:hanging="0"/>
        <w:jc w:val="both"/>
        <w:rPr/>
      </w:pPr>
      <w:r>
        <w:rPr/>
        <w:t>●</w:t>
      </w:r>
      <w:r>
        <w:rPr>
          <w:rFonts w:ascii="Times New Roman;Times;serif" w:hAnsi="Times New Roman;Times;serif"/>
          <w:sz w:val="20"/>
        </w:rPr>
        <w:t>balance of payments position.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differences, our business may not develop in the same way or at the same rate as might be expected if the Chinese economy were similar to those of the OECD member countries.</w:t>
      </w:r>
    </w:p>
    <w:p>
      <w:pPr>
        <w:pStyle w:val="TextBody"/>
        <w:spacing w:before="0" w:after="180"/>
        <w:ind w:left="0" w:right="0" w:hanging="0"/>
        <w:jc w:val="both"/>
        <w:rPr>
          <w:rFonts w:ascii="Times New Roman;Times;serif" w:hAnsi="Times New Roman;Times;serif"/>
          <w:b/>
          <w:sz w:val="20"/>
        </w:rPr>
      </w:pPr>
      <w:r>
        <w:rPr>
          <w:rFonts w:ascii="Times New Roman;Times;serif" w:hAnsi="Times New Roman;Times;serif"/>
          <w:b/>
          <w:sz w:val="20"/>
        </w:rPr>
        <w:t>Our business benefits from certain PRC government incentives.  Expiration of, or changes to, these incentives and PRC tax laws could have a material adverse effect on our operating results.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Under China’s Enterprise Income Tax Law, the enterprise income tax, or EIT, rate payable by domestic and foreign-invested enterprises is 25.0%.  Preferential tax treatments are granted to entities that conduct business in encouraged sectors and to entities that are classified as HNTEs, or “Software Enterprises” or “Key Software Enterprises,” whether such entities are foreign invested enterprises or domestic companies.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 xml:space="preserve">A number of our subsidiaries enjoy preferential tax rates by being recognized as an HNTE and/or a “Key Software Enterprise.” For example, Boguan, NetEase Hangzhou and certain other China mainland subsidiaries were qualified as HNTEs and enjoyed a preferential tax rate of 15% for 2020, 2021 and 2022. In 2020, Boguan, NetEase Hangzhou and certain other China mainland subsidiaries were also qualified as Key Software Enterprises and enjoyed a further reduced preferential tax rate of 10% for 2019. The related tax benefit was recorded in 2020. See Item 5.A. “Operating and Financial Review and Prospects—Operating Results—Income Taxes.”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For example, in 2021 and 2022, none of our China mainland subsidiaries were qualified as Key Software Enterprises for 2020 and 2021, respectively.  Without any preferential tax status, the standard EIT rate of 25.0% will apply.  Moreover, if there are further changes to the relevant income tax laws and their implementation, our subsidiaries and the VIEs may need to pay additional taxes, which could have a material adverse effect on our results of operations.</w:t>
      </w:r>
    </w:p>
    <w:p>
      <w:pPr>
        <w:pStyle w:val="TextBody"/>
        <w:spacing w:before="0" w:after="180"/>
        <w:ind w:left="0" w:right="0" w:hanging="0"/>
        <w:jc w:val="both"/>
        <w:rPr>
          <w:rFonts w:ascii="Times New Roman;Times;serif" w:hAnsi="Times New Roman;Times;serif"/>
          <w:b/>
          <w:sz w:val="20"/>
        </w:rPr>
      </w:pPr>
      <w:r>
        <w:rPr>
          <w:rFonts w:ascii="Times New Roman;Times;serif" w:hAnsi="Times New Roman;Times;serif"/>
          <w:b/>
          <w:sz w:val="20"/>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 5%. It is unclear at this stage whether STA Circular 9 applies to dividends from our China mainland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China mainland and Hong Kong.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and our shareholders face uncertainties with respect to indirect transfers of equity interests in PRC resident enterprises by a non-PRC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Fluctuation in Renminbi exchange rates could adversely affect the value of our ADSs and ordinary shares and any cash dividend declared on them.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value of the Renminbi against the U.S. dollar and other currencies may fluctuate and is affected by, among other things, changes in political and economic conditions and the foreign exchange policy adopted by the PRC government. In 2020 and 2021, the value of the Renminbi appreciated by approximately 6.7% and 2.4% against the U.S. dollar, respectively. In 2022, the value of the Renminbi depreciated by approximately 7.6% against the U.S. dollar. It is difficult to predict how market forces or PRC or U.S. government policy, including any interest rate increases by the Federal Reserve, may impact the exchange rate between the Renminbi and the U.S. dollar in the future. There remains significant international pressure on the PRC government to adopt a more flexible currency policy, including from the U.S. government. In August 2019, the U.S. Treasury Department announced that it labelled China a “currency manipulator,” which was officially dropped by the U.S. Treasury Department in January 2020. However, it is uncertain whether the U.S. government may issue any similar announcement in the future. As a result of such announcement, the United States may take further actions to eliminate perceived unfair competitive advantages created by alleged manipulating actions. Any actions taken by the U.S. Treasury Department in this regard as well as China’s possible responses could result in greater fluctuation of the Renminbi against the U.S. dollar.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For example, we experienced RMB3.1 billion and RMB0.5 billion net foreign exchange losses in 2020 and 2021, respectively, mainly due to the RMB appreciating against the U.S. dollar. In 2022, we experienced a RMB1.6 billion net foreign exchange gain due to the RMB depreciating against the U.S. dollar. Theses fluctuations had a significant effect on our profit and our cash dividend.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Restrictions on currency exchange may limit our ability to utilize our revenues effectively.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China mainland subsidiaries and affiliates may also retain foreign exchange in its current account to satisfy foreign exchange liabilities or to pay dividends.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foreign exchange transactions under the capital account are subject to limitations and require registration with or approval by the relevant PRC governmental authorities. In particular,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China mainland subsidiaries or the VIEs will depend on our ability to obtain these governmental registrations or approvals. In addition, because of the regulatory issues related to foreign currency loans to, and foreign investment in, domestic PRC enterprises, we may not be able to finance the operations of our China mainland subsidiaries or the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Failure to comply with PRC regulations regarding the registration requirements for employee equity incentive plans may subject our PRC citizen employees or us to fines and other legal or administrative sanctions.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has strengthened the regulation of investments made by Chinese residents in offshore companies and reinvestments in China made by these offshore companies. Our business may be adversely affected by these restrictions.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ADSs AND SHARES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2022, the PCAOB issued a report that vacated its December 16, 2021 determination and removed China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ADSs may be prohibited from trading in the United States under the Holding Foreign Companies Accountable Act, or the HFCAA, in the future if the PCAOB is unable to inspect or fully investigate auditors located in China. The delisting of our ADSs, or the threat of their being delisted, may materially and adversely affect the value of your investment.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16, 2021, the PCAOB issued a report to notify the SEC of its determination that the PCAOB was unable to inspect or investigate completely registered public accounting firms headquartered in China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China mainland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2022.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trading price of our ADSs and shares has been and is likely to continue to be volatile, which could result in substantial losses to holders of our ADSs and/or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US$53.09 to US$108.77 per ADS in 2022 and the trading prices of our ordinary shares ranged from HK$84.05 to HK$173.00 per ordinary share in 2022.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market and industry factors, the price and trading volume for our shares and/or ADSs may be highly volatile for factors specific to our operation, including the following: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results of operations that are not in line with market or research analyst expectations or changes in financial estimates by securities research analysts;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product and service offerings or those of our competitors;</w:t>
            </w:r>
          </w:p>
        </w:tc>
      </w:tr>
    </w:tbl>
    <w:tbl>
      <w:tblPr>
        <w:tblW w:w="8631" w:type="dxa"/>
        <w:jc w:val="left"/>
        <w:tblInd w:w="0" w:type="dxa"/>
        <w:tblCellMar>
          <w:top w:w="28" w:type="dxa"/>
          <w:left w:w="28" w:type="dxa"/>
          <w:bottom w:w="28" w:type="dxa"/>
          <w:right w:w="28" w:type="dxa"/>
        </w:tblCellMar>
      </w:tblPr>
      <w:tblGrid>
        <w:gridCol w:w="124"/>
        <w:gridCol w:w="256"/>
        <w:gridCol w:w="8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market players in our industries;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made by us or our competitors of new features or functionalities or other product and service offerings, investments, acquisitions, strategic relationships, joint ventures or capital commitments;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and other reports, whether or not true, about our business, including negative reports published by short sellers, regardless of their veracity or materiality to us;</w:t>
            </w:r>
          </w:p>
        </w:tc>
      </w:tr>
    </w:tbl>
    <w:tbl>
      <w:tblPr>
        <w:tblW w:w="7491" w:type="dxa"/>
        <w:jc w:val="left"/>
        <w:tblInd w:w="0" w:type="dxa"/>
        <w:tblCellMar>
          <w:top w:w="28" w:type="dxa"/>
          <w:left w:w="28" w:type="dxa"/>
          <w:bottom w:w="28" w:type="dxa"/>
          <w:right w:w="28" w:type="dxa"/>
        </w:tblCellMar>
      </w:tblPr>
      <w:tblGrid>
        <w:gridCol w:w="124"/>
        <w:gridCol w:w="256"/>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and regulatory allegations or proceedings that involve us and our directors; </w:t>
            </w:r>
          </w:p>
        </w:tc>
      </w:tr>
    </w:tbl>
    <w:tbl>
      <w:tblPr>
        <w:tblW w:w="4266" w:type="dxa"/>
        <w:jc w:val="left"/>
        <w:tblInd w:w="0" w:type="dxa"/>
        <w:tblCellMar>
          <w:top w:w="28" w:type="dxa"/>
          <w:left w:w="28" w:type="dxa"/>
          <w:bottom w:w="28" w:type="dxa"/>
          <w:right w:w="28" w:type="dxa"/>
        </w:tblCellMar>
      </w:tblPr>
      <w:tblGrid>
        <w:gridCol w:w="124"/>
        <w:gridCol w:w="256"/>
        <w:gridCol w:w="3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management;</w:t>
            </w:r>
          </w:p>
        </w:tc>
      </w:tr>
    </w:tbl>
    <w:tbl>
      <w:tblPr>
        <w:tblW w:w="9861" w:type="dxa"/>
        <w:jc w:val="left"/>
        <w:tblInd w:w="0" w:type="dxa"/>
        <w:tblCellMar>
          <w:top w:w="28" w:type="dxa"/>
          <w:left w:w="28" w:type="dxa"/>
          <w:bottom w:w="28" w:type="dxa"/>
          <w:right w:w="28" w:type="dxa"/>
        </w:tblCellMar>
      </w:tblPr>
      <w:tblGrid>
        <w:gridCol w:w="124"/>
        <w:gridCol w:w="256"/>
        <w:gridCol w:w="9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political or market instability or disruptions, and actual or perceived social unrest in the markets where we operate; </w:t>
            </w:r>
          </w:p>
        </w:tc>
      </w:tr>
    </w:tbl>
    <w:tbl>
      <w:tblPr>
        <w:tblW w:w="8226" w:type="dxa"/>
        <w:jc w:val="left"/>
        <w:tblInd w:w="0" w:type="dxa"/>
        <w:tblCellMar>
          <w:top w:w="28" w:type="dxa"/>
          <w:left w:w="28" w:type="dxa"/>
          <w:bottom w:w="28" w:type="dxa"/>
          <w:right w:w="28" w:type="dxa"/>
        </w:tblCellMar>
      </w:tblPr>
      <w:tblGrid>
        <w:gridCol w:w="124"/>
        <w:gridCol w:w="256"/>
        <w:gridCol w:w="7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of exchange rates among the Renminbi, the Hong Kong dollar and the U.S. dollar;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or perceived potential sales or other dispositions of existing or additional ADSs or other equity or equity-linked securities; </w:t>
            </w:r>
          </w:p>
        </w:tc>
      </w:tr>
    </w:tbl>
    <w:tbl>
      <w:tblPr>
        <w:tblW w:w="7296" w:type="dxa"/>
        <w:jc w:val="left"/>
        <w:tblInd w:w="0" w:type="dxa"/>
        <w:tblCellMar>
          <w:top w:w="28" w:type="dxa"/>
          <w:left w:w="28" w:type="dxa"/>
          <w:bottom w:w="28" w:type="dxa"/>
          <w:right w:w="28" w:type="dxa"/>
        </w:tblCellMar>
      </w:tblPr>
      <w:tblGrid>
        <w:gridCol w:w="124"/>
        <w:gridCol w:w="256"/>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alleged illegal acts of our senior management or other key employees;</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 repurchase program; and </w:t>
            </w:r>
          </w:p>
        </w:tc>
      </w:tr>
    </w:tbl>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our industry, customers, licensors and other suppliers.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stock market in general experiences price and volume fluctuations that are often unrelated or disproportionate to the operating performance of companies like us.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directors and employees may face additional exposure to claims and lawsuits as a result of their position in other companies. The existence of litigation, claims, investigations and proceedings against our directors and employees, even if they do not involve NetEase, may harm our reputation and adversely affect the trading price of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Substantial future sales or perceived potential sales of our shares, ADSs, or other equity or equity-linked securities in the public market could cause the price of our shares and/or ADSs to decline.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different characteristics of the capital markets in the United States and Hong Kong may negatively affect the trading prices of our shares and/or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 between our ADSs and shares may adversely affect the liquidity and/or trading price of each other.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compliance with U.S. securities law and the terms of the deposit agreement which governs our ADS program,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time required for the exchange between ADSs and shares might be longer than expected and investors might not be able to settle or effect any sale of their securities during this period, and the exchange of shares into ADSs involves costs.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direct trading or settlement between Nasdaq and the Hong Kong Stock Exchange on which our ADSs and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As a company incorporated in the Cayman Islands, we are permitted to adopt certain home country practices in relation to corporate governance matters that differ significantly from Nasdaq rules.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 majority of the board be independent (although all of the members of the audit committee must be independent under the U.S. Exchange Act);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 compensation committee or a nominating or corporate governance committee consisting entirely of independent directors; </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regularly scheduled executive sessions for non-management directors; or </w:t>
            </w:r>
          </w:p>
        </w:tc>
      </w:tr>
    </w:tbl>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executive sessions of solely independent directors each year.</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on and intend to continue to rely on some of these exemptions. Specifically, although we plan to seek shareholder’s approval for the amended and restated 2019 Share Plan, our board of directors had previously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a foreign private issuer within the meaning of the rules under the U.S. Exchange Act, and as such we are exempt from certain provisions applicable to U.S. domestic public companies.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U.S. Exchange Act, we are exempt from certain provisions of the securities rules and regulations in the United States that are applicable to U.S. domestic issuers,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rules under the U.S. Exchange Act requiring the filing with the SEC of quarterly reports on Form 10-Q or current reports on Form 8-K;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regulating the solicitation of proxies, consents, or authorizations in respect of a security registered under the U.S. Exchange Act;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requiring insiders to file public reports of their stock ownership and trading activities and liability for insiders who profit from trades made in a short period of time; and </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a company listed on the Hong Kong Stock Exchange under Chapter 19C and as such are not subject to certain provisions of the Hong Kong Listing Rules.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company listed under Chapter 19C of the Hong Kong Listing Rules, we have adopted different practices as to certain matters as compared with many other companies listed on the Hong Kong Stock Exchange. We are not subject to certain provisions of the Hong Kong Listing Rules pursuant to Rule 19C.11, including, among others, rules on notifiable transactions, connected transactions, share option schemes, content of financial statements as well as certain other continuing obligations.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been granted a number of waivers and/or exemptions from strict compliance with, among others, the Hong Kong Listing Rules and the SFO. We have also been granted a ruling from the Securities and Futures Commission of Hong Kong, as a result of which the Takeovers Codes do not apply to us. Therefore, we will adopt different practices as to those matters as compared with other companies listed on the Hong Kong Stock Exchange that do not enjoy those exemptions or waivers. However, if 55% or more of the total worldwide trading volume, by dollar value, of our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Takeovers Codes and the SFO, which could result in our incurring of incremental compliance costs. Recently on December 19, 2022, we were removed from Nasdaq-100 Index, which may cause a reduction in the holdings of our ADS by some institutional investors on NASDAQ. As a result, there may be an increase in the proportion of our total worldwide trading volume taking place on Hong Kong Stock Exchange, and this in turn will increase our risk of losing our ability to enjoy exemptions or waivers from strict compliance with the requirements under the Hong Kong Listing Rules, the Takeovers Codes and the SFO.</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voting rights of holders of ADSs are limited by the terms of the Deposit Agreement.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Holders of ADSs may exercise their voting rights with respect to the underlying shares represented by their ADSs only in accordance with the provisions of the deposit agreement which governs our ADS programs.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Except in limited circumstances, the depositary will give us a discretionary proxy to vote our shares underlying the ADSs if holders of these ADSs do not give voting instructions to the depositary, which could adversely affect the interests of holders of shares and/or the ADSs.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deposit agreement, the depositary will give us a discretionary proxy to vote the shares underlying the ADSs at shareholders’ meetings if holders of these ADSs do not give voting instructions to the depositary, unless:</w:t>
      </w:r>
    </w:p>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informed the depositary that there is substantial opposition as to a matter to be voted on at the meeting; </w:t>
            </w:r>
          </w:p>
        </w:tc>
      </w:tr>
    </w:tbl>
    <w:tbl>
      <w:tblPr>
        <w:tblW w:w="8316" w:type="dxa"/>
        <w:jc w:val="left"/>
        <w:tblInd w:w="0" w:type="dxa"/>
        <w:tblCellMar>
          <w:top w:w="28" w:type="dxa"/>
          <w:left w:w="28" w:type="dxa"/>
          <w:bottom w:w="28" w:type="dxa"/>
          <w:right w:w="28" w:type="dxa"/>
        </w:tblCellMar>
      </w:tblPr>
      <w:tblGrid>
        <w:gridCol w:w="124"/>
        <w:gridCol w:w="256"/>
        <w:gridCol w:w="7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matter to be voted on at the meeting would have a material adverse impact on shareholders; or </w:t>
            </w:r>
          </w:p>
        </w:tc>
      </w:tr>
    </w:tbl>
    <w:tbl>
      <w:tblPr>
        <w:tblW w:w="4566" w:type="dxa"/>
        <w:jc w:val="left"/>
        <w:tblInd w:w="0" w:type="dxa"/>
        <w:tblCellMar>
          <w:top w:w="28" w:type="dxa"/>
          <w:left w:w="28" w:type="dxa"/>
          <w:bottom w:w="28" w:type="dxa"/>
          <w:right w:w="28" w:type="dxa"/>
        </w:tblCellMar>
      </w:tblPr>
      <w:tblGrid>
        <w:gridCol w:w="124"/>
        <w:gridCol w:w="256"/>
        <w:gridCol w:w="4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the meeting is made on a show of hands.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Holders of ADSs may be subject to limitations on transfer of their ADSs.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Holders of ADSs may not receive distributions on our shares if the depositary decides it is impractical or unlawful to make such distributions.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depositary has agreed to pay cash to holders of ADSs to the extent that we decide to distribute cash dividends or other cash distributions on our shares or other deposited securities. 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conducted an evaluation of the effectiveness of our internal control over financial reporting and concluded that our internal control over financial reporting was effective as of December 31, 2022.  Our independent registered public accounting firm has also, in its audit report, concluded that our internal control over financial reporting was effective in all material aspects as of December 31, 2022.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Holders of our ADSs and shares may have difficulty effecting service of process and enforcing judgments obtained against us and our management, the ability of U.S. authorities to bring actions in the PRC may also be limited, and our Articles of Association include certain provisions that may be different from common practices in Hong Kong.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company is incorporated in the Cayman Islands, and the major portion of our assets are located outside the United States and Hong Kong. A substantial portion of our current operations are conducted in the PRC. In addition, some of our directors and executive officers are nationals and residents of countries or areas other than the United States and Hong Kong. A substantial portion of the assets of these persons are located outside the United States and Hong Kong. As a result, it may be difficult or impossible for holders of our shares and ADSs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may render them unable to enforce a judgment against our assets or the assets of our directors and officers. There is uncertainty as to whether the courts of the Cayman Islands or the PRC would recognize or enforce judgments. Furthermore, class action lawsuits, which are available in the United States for investors to seek remedies, are generally uncommon in the Cayman Islands and the PRC.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 may be difficult for overseas regulators to conduct investigations or collect evidence within 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  In addition, on February 24, 2023, CSRC and other three PRC regulatory authorities jointly issued the Confidentiality and Archives Administration Provisions, which took effect on March 31, 2023, according to which, overseas securities regulators and competent overseas authorities may request to inspect, investigate or collect evidence from a domestic company concerning its overseas offering and listing or from the domestic securities companies and securities service providers that undertake relevant businesses for such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As the Confidentiality and Archives Administration Provisions are relatively new, there are substantial uncertainties with respect to their interpretation and implementation.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If we are classified as a passive foreign investment company, or a PFIC for United States federal income tax purposes, such classification could result in adverse U.S. federal income tax consequences to U.S. investors.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could be classified as a PFIC by the U.S. Internal Revenue Service for U.S. federal income tax purposes. Such characterization could result in adverse U.S. federal income tax consequences to you if you are a U.S. investor. For example, U.S. investors who owned our ADSs or shares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certain estimate and assumptions, we do not believe that we were a PFIC for the taxable years 2020, 2021 and 2022. We have not obtained any opinion of counsel or any rulings from the Internal Revenue Service regarding our status as a PFIC.  The PFIC determination is highly fact intensive and made at the end of each taxable year.  We hold and will continue to hold a substantial amount of cash and cash equivalents, and our PFIC status may depend in large part in the market price of our ADSs and shares which is likely to fluctuate.  For these reasons, there can be no assurance that we were not a PFIC in prior tax years and will not be a PFIC in or any future taxable year or that the U.S. Internal Revenue Service will not challenge our determination concerning our PFIC status.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or become a PFIC, and, if so, if one or more of our subsidiaries or the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ADSs or shares and any distributions such U.S. investors may receive. We do not expect to provide the information regarding our income that would be necessary in order for a U.S. investor to make a qualified electing fund (the “QEF”) election if we are classified as a PFIC. Investors should consult their own tax advisors regarding all aspects of the application of the PFIC rules to our ADSs or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investor, the U.S. investor will be required to file an annual information return on IRS Form 8621 (or other then applicable IRS Form or statement) regarding distributions received on our ADSs or shares, and certain U.S. investors will be required to file an annual information return (also on IRS Form 8621 or other then applicable IRS Form or statement) relating to their ownership of our ADSs or shares. U.S. investors should consult their tax advisors regarding the potential application of the PFIC regime and related reporting requirements.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further discussion of the adverse U.S. federal income tax consequences of our possible classification as a PFIC, see Item 10.E. “Additional Information—Taxation—Material United States Federal Income Taxation Considerations.”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There is uncertainty as to whether Hong Kong stamp duty will apply to deposits of our ordinary shares into or withdrawal of our ordinary shares from the ADS facility or trading of our ADSs.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connection with our initial public offering of shares in Hong Kong, we established a branch register of members in Hong Kong (the “Hong Kong share register”). Our shares that are traded on the Hong Kong Stock Exchange, as well as shares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0.26% of the greater of the consideration for, or the value of, shares transferred, with 0.13% payable by each of the buyer and the seller.</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pStyle w:val="TextBody"/>
        <w:spacing w:before="0" w:after="180"/>
        <w:ind w:left="0" w:right="0" w:hanging="0"/>
        <w:jc w:val="both"/>
        <w:rPr/>
      </w:pPr>
      <w:r>
        <w:rPr/>
        <w:t>​</w:t>
      </w:r>
    </w:p>
    <w:p>
      <w:pPr>
        <w:pStyle w:val="TextBody"/>
        <w:spacing w:before="0" w:after="180"/>
        <w:ind w:left="0" w:right="0" w:hanging="0"/>
        <w:jc w:val="both"/>
        <w:rPr>
          <w:rFonts w:ascii="Times New Roman;Times;serif" w:hAnsi="Times New Roman;Times;serif"/>
          <w:b/>
          <w:sz w:val="20"/>
        </w:rPr>
      </w:pPr>
      <w:bookmarkStart w:id="68" w:name="Item4InformationontheCompany_628867"/>
      <w:bookmarkStart w:id="69" w:name="_f2ac882e_ad7a_4842_9041_95eb0f0647f0"/>
      <w:bookmarkEnd w:id="68"/>
      <w:bookmarkEnd w:id="69"/>
      <w:r>
        <w:rPr>
          <w:rFonts w:ascii="Times New Roman;Times;serif" w:hAnsi="Times New Roman;Times;serif"/>
          <w:b/>
          <w:sz w:val="20"/>
        </w:rPr>
        <w:t>Item 4.   Information on the Company</w:t>
      </w:r>
    </w:p>
    <w:p>
      <w:pPr>
        <w:pStyle w:val="TextBody"/>
        <w:spacing w:before="0" w:after="180"/>
        <w:ind w:left="0" w:right="0" w:hanging="0"/>
        <w:jc w:val="both"/>
        <w:rPr>
          <w:rFonts w:ascii="Times New Roman;Times;serif" w:hAnsi="Times New Roman;Times;serif"/>
          <w:b/>
          <w:sz w:val="20"/>
        </w:rPr>
      </w:pPr>
      <w:r>
        <w:rPr>
          <w:rFonts w:ascii="Times New Roman;Times;serif" w:hAnsi="Times New Roman;Times;serif"/>
          <w:b/>
          <w:sz w:val="20"/>
        </w:rPr>
        <w:t xml:space="preserve">A.           History and Development of the Company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was founded in June 1997 and our company was incorporated on July 6, 1999 under the Cayman Companies Act (As Revised). Our principal executive offices are located at NetEase Building, No. 599 Wangshang Road, Binjiang District, Hangzhou, People’s Republic of China 310052. Our telephone number is (86-571) 8985-3378.</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key business milestones are summarized below:</w:t>
      </w:r>
    </w:p>
    <w:tbl>
      <w:tblPr>
        <w:tblW w:w="10205" w:type="dxa"/>
        <w:jc w:val="left"/>
        <w:tblInd w:w="0" w:type="dxa"/>
        <w:tblCellMar>
          <w:top w:w="0" w:type="dxa"/>
          <w:left w:w="0" w:type="dxa"/>
          <w:bottom w:w="0" w:type="dxa"/>
          <w:right w:w="0" w:type="dxa"/>
        </w:tblCellMar>
      </w:tblPr>
      <w:tblGrid>
        <w:gridCol w:w="9634"/>
        <w:gridCol w:w="571"/>
      </w:tblGrid>
      <w:tr>
        <w:trPr/>
        <w:tc>
          <w:tcPr>
            <w:tcW w:w="9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117590" cy="175260"/>
                      <wp:effectExtent l="0" t="0" r="0" b="0"/>
                      <wp:wrapNone/>
                      <wp:docPr id="3" name="Frame3"/>
                      <a:graphic xmlns:a="http://schemas.openxmlformats.org/drawingml/2006/main">
                        <a:graphicData uri="http://schemas.microsoft.com/office/word/2010/wordprocessingShape">
                          <wps:wsp>
                            <wps:cNvSpPr txBox="1"/>
                            <wps:spPr>
                              <a:xfrm>
                                <a:off x="0" y="0"/>
                                <a:ext cx="6117590"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Founding of our business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1997</w:t>
            </w:r>
          </w:p>
        </w:tc>
      </w:tr>
      <w:tr>
        <w:trPr/>
        <w:tc>
          <w:tcPr>
            <w:tcW w:w="9634" w:type="dxa"/>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Launch of free web-based e-mail services, and business model shifted from software development to internet technology with the launch of our NetEase website (“</w:t>
            </w:r>
            <w:r>
              <w:rPr>
                <w:rFonts w:ascii="Times New Roman;Times;serif" w:hAnsi="Times New Roman;Times;serif"/>
                <w:b/>
                <w:i w:val="false"/>
                <w:caps w:val="false"/>
                <w:smallCaps w:val="false"/>
                <w:sz w:val="20"/>
              </w:rPr>
              <w:t>www.163.com</w:t>
            </w:r>
            <w:r>
              <w:rPr>
                <w:rFonts w:ascii="Times New Roman;Times;serif" w:hAnsi="Times New Roman;Times;serif"/>
                <w:caps w:val="false"/>
                <w:smallCaps w:val="false"/>
                <w:sz w:val="20"/>
              </w:rPr>
              <w:t>”</w:t>
            </w:r>
            <w:r>
              <w:rPr>
                <w:rFonts w:ascii="Times New Roman;Times;serif" w:hAnsi="Times New Roman;Times;serif"/>
                <w:b w:val="false"/>
                <w:i w:val="false"/>
                <w:caps w:val="false"/>
                <w:smallCaps w:val="false"/>
                <w:sz w:val="20"/>
              </w:rPr>
              <w:t>)</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1998</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Launches of advertisement services, online platforms, online shopping malls, and other internet services in China</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1999</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on Nasdaq on June 30</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2000</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fee-based premium services and online entertainment services, including online games, wireless value-added services and other subscription-type services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2001</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first PC-client MMORPG game, </w:t>
            </w:r>
            <w:r>
              <w:rPr>
                <w:rFonts w:ascii="Times New Roman;Times;serif" w:hAnsi="Times New Roman;Times;serif"/>
                <w:b w:val="false"/>
                <w:i/>
                <w:sz w:val="20"/>
              </w:rPr>
              <w:t>Westward Journey Online</w:t>
            </w:r>
            <w:r>
              <w:rPr>
                <w:rFonts w:ascii="Times New Roman;Times;serif" w:hAnsi="Times New Roman;Times;serif"/>
                <w:b w:val="false"/>
                <w:i w:val="false"/>
                <w:caps w:val="false"/>
                <w:smallCaps w:val="false"/>
                <w:sz w:val="20"/>
              </w:rPr>
              <w:t>, our widely popular in-house developed game series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2001</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w:t>
            </w:r>
            <w:r>
              <w:rPr>
                <w:rFonts w:ascii="Times New Roman;Times;serif" w:hAnsi="Times New Roman;Times;serif"/>
                <w:b w:val="false"/>
                <w:i/>
                <w:sz w:val="20"/>
              </w:rPr>
              <w:t>Fantasy Westward Journey</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series, our second widely popular original game series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2004</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Founding of Youdao, an intelligent learning company that now offers learning content, applications and solutions, as well as online marketing services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2006</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of NetEase Cloud Music, our music streaming platform</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2013</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first mobile game, the mobile version of </w:t>
            </w:r>
            <w:r>
              <w:rPr>
                <w:rFonts w:ascii="Times New Roman;Times;serif" w:hAnsi="Times New Roman;Times;serif"/>
                <w:b w:val="false"/>
                <w:i/>
                <w:sz w:val="20"/>
              </w:rPr>
              <w:t>Fantasy Westward Journey II</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2013</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of Yanxuan, our e-commerce business</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2016</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of Youdao on the New York Stock Exchange on October 26</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2019</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on Hong Kong Stock Exchange on June 11</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2020</w:t>
            </w:r>
          </w:p>
        </w:tc>
      </w:tr>
      <w:tr>
        <w:trPr/>
        <w:tc>
          <w:tcPr>
            <w:tcW w:w="9634" w:type="dxa"/>
            <w:tcBorders/>
            <w:shd w:fill="auto" w:val="clear"/>
            <w:vAlign w:val="center"/>
          </w:tcPr>
          <w:p>
            <w:pPr>
              <w:pStyle w:val="TableContents"/>
              <w:spacing w:before="0" w:after="0"/>
              <w:jc w:val="both"/>
              <w:rPr/>
            </w:pPr>
            <w:r>
              <w:rPr/>
              <w:t>●</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of Cloud Music on the Hong Kong Stock Exchange on December 2</w:t>
            </w:r>
          </w:p>
        </w:tc>
        <w:tc>
          <w:tcPr>
            <w:tcW w:w="571" w:type="dxa"/>
            <w:tcBorders/>
            <w:shd w:fill="auto" w:val="clear"/>
            <w:vAlign w:val="center"/>
          </w:tcPr>
          <w:p>
            <w:pPr>
              <w:pStyle w:val="TableContents"/>
              <w:spacing w:before="0" w:after="200"/>
              <w:ind w:left="0" w:right="0" w:hanging="0"/>
              <w:jc w:val="both"/>
              <w:rPr>
                <w:rFonts w:ascii="Times New Roman;Times;serif" w:hAnsi="Times New Roman;Times;serif"/>
                <w:sz w:val="20"/>
              </w:rPr>
            </w:pPr>
            <w:r>
              <w:rPr>
                <w:rFonts w:ascii="Times New Roman;Times;serif" w:hAnsi="Times New Roman;Times;serif"/>
                <w:sz w:val="20"/>
              </w:rPr>
              <w:t>2021</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principal capital expenditures for 2022 consisted mainly of the construction of our new office buildings in Hangzhou and Shanghai in China and the acquisition of new servers in connection with the operation of our business for a total of approximately RMB2,100.3 million (US$304.5 million). Our principal capital expenditures for 2021 and 2020 consisted mainly of the construction of our new office buildings in Guangzhou and Shanghai in China and the acquisition of new servers in connection with the operation of our businesses for a total of approximately RMB1,601.8 and RMB1,055.6 million,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capital expenditure commitments of RMB3,098.7 million (US$449.3 million) for 2023 and thereafter, which primarily consist of commitments made in connection with the construction of new office buildings in Shanghai, Hangzhou and other cities.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maintains a website that contains reports, proxy and information statements, and other information regarding issuers that file electronically with the SEC, including us, at http://www.sec.gov. Our corporate website can be accessed at http://ir.netease.com.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B.            Business Overview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ORGANIZATIONAL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in China through our subsidiaries and the VIEs. Due to legal restrictions and prohibitions on foreign investment in Chinese companies providing, among other things, value-added telecommunications services, internet cultural services and internet publication services,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the: (a) the power to direct the activities that most significantly impact the economic performance of the VIEs and their subsidiaries; (b) the economic benefits of these VIEs and their subsidiaries; and (c) an exclusive option to purchase all or part of the equity interests in the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VIEs, and they operate the NetEase game services in China, education platforms, websites, as well as our other online businesses. For more information on these agreements, see Item 7.B. “Major Shareholders and Related Party Transactions—Related Party Transactions.”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Any violations by the VIEs of our agreements with them could disrupt our operations or adversely affect our services.  See Item 3.D. “Key Information—Risk Factors” for a detailed discussion of the risks to NetEase, Inc. regarding its dependency on these companies.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diagram below summarizes our corporate structure as of March 31, 2023 and identifies the subsidiaries and variable interest entities that together are representative of our major business units, including our significant subsidiaries, as that term is defined under Section 1-02 of Regulation S-X under the Securities Act, and other representative subsidiaries:</w:t>
      </w:r>
    </w:p>
    <w:p>
      <w:pPr>
        <w:pStyle w:val="TextBody"/>
        <w:spacing w:before="0" w:after="0"/>
        <w:ind w:left="0" w:right="0" w:hanging="0"/>
        <w:jc w:val="center"/>
        <w:rPr/>
      </w:pPr>
      <w:r>
        <w:rPr/>
        <w:drawing>
          <wp:inline distT="0" distB="0" distL="0" distR="0">
            <wp:extent cx="5605145" cy="598932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605145" cy="5989320"/>
                    </a:xfrm>
                    <a:prstGeom prst="rect">
                      <a:avLst/>
                    </a:prstGeom>
                  </pic:spPr>
                </pic:pic>
              </a:graphicData>
            </a:graphic>
          </wp:inline>
        </w:drawing>
      </w:r>
    </w:p>
    <w:tbl>
      <w:tblPr>
        <w:tblW w:w="7307" w:type="dxa"/>
        <w:jc w:val="left"/>
        <w:tblInd w:w="0" w:type="dxa"/>
        <w:tblCellMar>
          <w:top w:w="0" w:type="dxa"/>
          <w:left w:w="0" w:type="dxa"/>
          <w:bottom w:w="0" w:type="dxa"/>
          <w:right w:w="0" w:type="dxa"/>
        </w:tblCellMar>
      </w:tblPr>
      <w:tblGrid>
        <w:gridCol w:w="346"/>
        <w:gridCol w:w="696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9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NetEase Leihuo Technology Co., Ltd. is owned by two of our employees.</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Guangzhou NetEase Computer System Co., Ltd. and Hangzhou Yuedu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NetEase Youdao Computer System Co., Ltd. is 71.1% owned by William Lei Ding and 28.9% owned by the chief executive officer of Youdao, Inc.</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our user insights and execution expertise, we have also incubated and developed in-house a pipeline of innovative and successful businesses, including intelligent learning and other businesses, ranging from music streaming and e-commerce to advertising services, e-mail, payment platform and other services. For a breakdown of total revenue by segment for the last three financial years, see Item 5.A. “Operating and Financial Review and Prospects—Operating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Games and Related Value-added Services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game products and services are comprised of in-house developed mobile and PC games (including certain games co-developed with our collaboration partners)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Game Library</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Mobile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Mobile games have gained increasing popularity and an expanding user base as internet users in China and across the world rely more and more on mobile devices to access the internet. We are one of the largest mobile game providers globally in terms of game revenue, having commercially launched over 100 mobile games of various genres as of December 31, 2022, including in-house developed and licensed MMORPGs, collectible card games, or CCGs, first-person shooter games, battle arena games, and simulation games, or SLGs, as well as other casual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date, the majority of our most popular mobile games are in-house developed games. We have launched the mobile versions of our in-house developed flagship MMORPGs, including the </w:t>
      </w:r>
      <w:r>
        <w:rPr>
          <w:rFonts w:ascii="Times New Roman;Times;serif" w:hAnsi="Times New Roman;Times;serif"/>
          <w:i/>
          <w:sz w:val="20"/>
        </w:rPr>
        <w:t xml:space="preserve">Fantasy Westward Journey </w:t>
      </w:r>
      <w:r>
        <w:rPr>
          <w:rFonts w:ascii="Times New Roman;Times;serif" w:hAnsi="Times New Roman;Times;serif"/>
          <w:sz w:val="20"/>
        </w:rPr>
        <w:t xml:space="preserve">and </w:t>
      </w:r>
      <w:r>
        <w:rPr>
          <w:rFonts w:ascii="Times New Roman;Times;serif" w:hAnsi="Times New Roman;Times;serif"/>
          <w:i/>
          <w:sz w:val="20"/>
        </w:rPr>
        <w:t xml:space="preserve">Westward Journey Online </w:t>
      </w:r>
      <w:r>
        <w:rPr>
          <w:rFonts w:ascii="Times New Roman;Times;serif" w:hAnsi="Times New Roman;Times;serif"/>
          <w:sz w:val="20"/>
        </w:rPr>
        <w:t>mobile games. We distribute our mobile games through partnerships with major Android- and iOS-based application stores in China, as well as our proprietary distribution channels. We offer a variety of in-game virtual items that players can purchase, including avatars, skills, privileges and other in-game consumables, features and functionalities.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table below sets forth certain of our major in-house developed mobile games:</w:t>
      </w:r>
    </w:p>
    <w:tbl>
      <w:tblPr>
        <w:tblW w:w="8425" w:type="dxa"/>
        <w:jc w:val="left"/>
        <w:tblInd w:w="0" w:type="dxa"/>
        <w:tblCellMar>
          <w:top w:w="0" w:type="dxa"/>
          <w:left w:w="0" w:type="dxa"/>
          <w:bottom w:w="28" w:type="dxa"/>
          <w:right w:w="0" w:type="dxa"/>
        </w:tblCellMar>
      </w:tblPr>
      <w:tblGrid>
        <w:gridCol w:w="4021"/>
        <w:gridCol w:w="326"/>
        <w:gridCol w:w="2281"/>
        <w:gridCol w:w="326"/>
        <w:gridCol w:w="1471"/>
      </w:tblGrid>
      <w:tr>
        <w:trPr/>
        <w:tc>
          <w:tcPr>
            <w:tcW w:w="4021"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Game</w:t>
            </w:r>
          </w:p>
        </w:tc>
        <w:tc>
          <w:tcPr>
            <w:tcW w:w="326" w:type="dxa"/>
            <w:tcBorders>
              <w:bottom w:val="single" w:sz="2" w:space="0" w:color="000000"/>
            </w:tcBorders>
            <w:shd w:fill="auto" w:val="clear"/>
            <w:vAlign w:val="center"/>
          </w:tcPr>
          <w:p>
            <w:pPr>
              <w:pStyle w:val="TableHeading"/>
              <w:spacing w:before="0" w:after="0"/>
              <w:ind w:left="0" w:right="0" w:hanging="0"/>
              <w:jc w:val="left"/>
              <w:rPr/>
            </w:pPr>
            <w:r>
              <w:rPr/>
              <w:t>    </w:t>
            </w:r>
          </w:p>
        </w:tc>
        <w:tc>
          <w:tcPr>
            <w:tcW w:w="2281"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Genre</w:t>
            </w:r>
          </w:p>
        </w:tc>
        <w:tc>
          <w:tcPr>
            <w:tcW w:w="326" w:type="dxa"/>
            <w:tcBorders>
              <w:bottom w:val="single" w:sz="2" w:space="0" w:color="000000"/>
            </w:tcBorders>
            <w:shd w:fill="auto" w:val="clear"/>
            <w:vAlign w:val="center"/>
          </w:tcPr>
          <w:p>
            <w:pPr>
              <w:pStyle w:val="TableHeading"/>
              <w:spacing w:before="0" w:after="0"/>
              <w:ind w:left="0" w:right="0" w:hanging="0"/>
              <w:jc w:val="left"/>
              <w:rPr/>
            </w:pPr>
            <w:r>
              <w:rPr/>
              <w:t>    </w:t>
            </w:r>
          </w:p>
        </w:tc>
        <w:tc>
          <w:tcPr>
            <w:tcW w:w="1471"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Initial</w:t>
              <w:br/>
              <w:t>Launch</w:t>
            </w:r>
          </w:p>
        </w:tc>
      </w:tr>
      <w:tr>
        <w:trPr/>
        <w:tc>
          <w:tcPr>
            <w:tcW w:w="4021" w:type="dxa"/>
            <w:tcBorders>
              <w:top w:val="single" w:sz="2" w:space="0" w:color="000000"/>
            </w:tcBorders>
            <w:shd w:fill="CCEEFF"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Mobile Version of Fantasy Westward Journey II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Turn-based MMORPG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2013</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Fantasy Westward Journey mobile game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Turn-based MMORPG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2015</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Westward Journey Online mobile game</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Turn-based MMORPG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2015</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Invincible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SLG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October 2015</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The mobile version of Ghost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Real-time MMORPG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2016</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Onmyoji</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CCG &amp; RPG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2016</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Knives Out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Battle Arena</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November 2017</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Rules of Survival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Battle Arena</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November 2017</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 About Jianghu</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Real-time MMORPG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2018</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Identity V</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Battle Arena</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2018</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LifeAfter</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Cooperative Survival 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November 2018</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Fantasy Westward Journey 3D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3D MMORPG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2019</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Onmyoji: The Card Game</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CCG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2019</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Fantasy Westward Journey H5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MMORPG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2020</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Revelation mobile game</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MMORPG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2021</w:t>
            </w:r>
          </w:p>
        </w:tc>
      </w:tr>
      <w:tr>
        <w:trPr/>
        <w:tc>
          <w:tcPr>
            <w:tcW w:w="4021"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Harry Potter: Magic Awakened*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MMORPG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2021</w:t>
            </w:r>
          </w:p>
        </w:tc>
      </w:tr>
      <w:tr>
        <w:trPr/>
        <w:tc>
          <w:tcPr>
            <w:tcW w:w="4021"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Eggy Party</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28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Casual Party Mobile Game</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47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2022</w:t>
            </w:r>
          </w:p>
        </w:tc>
      </w:tr>
      <w:tr>
        <w:trPr/>
        <w:tc>
          <w:tcPr>
            <w:tcW w:w="4021"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Diablo</w:t>
            </w:r>
            <w:r>
              <w:rPr>
                <w:rFonts w:ascii="Times New Roman;Times;serif" w:hAnsi="Times New Roman;Times;serif"/>
                <w:i/>
                <w:sz w:val="15"/>
              </w:rPr>
              <w:t>®</w:t>
            </w:r>
            <w:r>
              <w:rPr>
                <w:rFonts w:ascii="Times New Roman;Times;serif" w:hAnsi="Times New Roman;Times;serif"/>
                <w:sz w:val="20"/>
              </w:rPr>
              <w:t xml:space="preserve"> Immortal™*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28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MMO Action-RPG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2022</w:t>
            </w:r>
          </w:p>
        </w:tc>
      </w:tr>
    </w:tbl>
    <w:p>
      <w:pPr>
        <w:pStyle w:val="TextBody"/>
        <w:spacing w:lineRule="auto" w:line="240" w:before="0" w:after="240"/>
        <w:ind w:left="0" w:right="0" w:hanging="0"/>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i/>
          <w:sz w:val="20"/>
        </w:rPr>
        <w:t xml:space="preserve">Harry Potter: Magic Awakened </w:t>
      </w:r>
      <w:r>
        <w:rPr>
          <w:rFonts w:ascii="Times New Roman;Times;serif" w:hAnsi="Times New Roman;Times;serif"/>
          <w:sz w:val="20"/>
        </w:rPr>
        <w:t xml:space="preserve">and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sz w:val="20"/>
        </w:rPr>
        <w:t xml:space="preserve"> were co-developed with Warner Bros. Games and Blizzard Entertainment, respectively.</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PC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launched our first PC based MMORPG, </w:t>
      </w:r>
      <w:r>
        <w:rPr>
          <w:rFonts w:ascii="Times New Roman;Times;serif" w:hAnsi="Times New Roman;Times;serif"/>
          <w:i/>
          <w:sz w:val="20"/>
        </w:rPr>
        <w:t>Westward Journey Online</w:t>
      </w:r>
      <w:r>
        <w:rPr>
          <w:rFonts w:ascii="Times New Roman;Times;serif" w:hAnsi="Times New Roman;Times;serif"/>
          <w:sz w:val="20"/>
        </w:rPr>
        <w:t xml:space="preserve">, in December 2001. Subsequently, we launched </w:t>
      </w:r>
      <w:r>
        <w:rPr>
          <w:rFonts w:ascii="Times New Roman;Times;serif" w:hAnsi="Times New Roman;Times;serif"/>
          <w:i/>
          <w:sz w:val="20"/>
        </w:rPr>
        <w:t>Westward Journey Online II</w:t>
      </w:r>
      <w:r>
        <w:rPr>
          <w:rFonts w:ascii="Times New Roman;Times;serif" w:hAnsi="Times New Roman;Times;serif"/>
          <w:sz w:val="20"/>
        </w:rPr>
        <w:t xml:space="preserve"> in August 2002 and our second original PC based MMORPG, </w:t>
      </w:r>
      <w:r>
        <w:rPr>
          <w:rFonts w:ascii="Times New Roman;Times;serif" w:hAnsi="Times New Roman;Times;serif"/>
          <w:i/>
          <w:sz w:val="20"/>
        </w:rPr>
        <w:t>Fantasy Westward Journey</w:t>
      </w:r>
      <w:r>
        <w:rPr>
          <w:rFonts w:ascii="Times New Roman;Times;serif" w:hAnsi="Times New Roman;Times;serif"/>
          <w:sz w:val="20"/>
        </w:rPr>
        <w:t xml:space="preserve">, in January 2004. </w:t>
      </w:r>
      <w:r>
        <w:rPr>
          <w:rFonts w:ascii="Times New Roman;Times;serif" w:hAnsi="Times New Roman;Times;serif"/>
          <w:i/>
          <w:sz w:val="20"/>
        </w:rPr>
        <w:t>Westward Journey Online II</w:t>
      </w:r>
      <w:r>
        <w:rPr>
          <w:rFonts w:ascii="Times New Roman;Times;serif" w:hAnsi="Times New Roman;Times;serif"/>
          <w:sz w:val="20"/>
        </w:rPr>
        <w:t xml:space="preserve"> and </w:t>
      </w:r>
      <w:r>
        <w:rPr>
          <w:rFonts w:ascii="Times New Roman;Times;serif" w:hAnsi="Times New Roman;Times;serif"/>
          <w:i/>
          <w:sz w:val="20"/>
        </w:rPr>
        <w:t>Fantasy Westward Journey</w:t>
      </w:r>
      <w:r>
        <w:rPr>
          <w:rFonts w:ascii="Times New Roman;Times;serif" w:hAnsi="Times New Roman;Times;serif"/>
          <w:sz w:val="20"/>
        </w:rPr>
        <w:t xml:space="preserve"> were upgraded to </w:t>
      </w:r>
      <w:r>
        <w:rPr>
          <w:rFonts w:ascii="Times New Roman;Times;serif" w:hAnsi="Times New Roman;Times;serif"/>
          <w:i/>
          <w:sz w:val="20"/>
        </w:rPr>
        <w:t>New Westward Journey Online II</w:t>
      </w:r>
      <w:r>
        <w:rPr>
          <w:rFonts w:ascii="Times New Roman;Times;serif" w:hAnsi="Times New Roman;Times;serif"/>
          <w:sz w:val="20"/>
        </w:rPr>
        <w:t xml:space="preserve"> and </w:t>
      </w:r>
      <w:r>
        <w:rPr>
          <w:rFonts w:ascii="Times New Roman;Times;serif" w:hAnsi="Times New Roman;Times;serif"/>
          <w:i/>
          <w:sz w:val="20"/>
        </w:rPr>
        <w:t>Fantasy Westward Journey Online</w:t>
      </w:r>
      <w:r>
        <w:rPr>
          <w:rFonts w:ascii="Times New Roman;Times;serif" w:hAnsi="Times New Roman;Times;serif"/>
          <w:sz w:val="20"/>
        </w:rPr>
        <w:t xml:space="preserve"> in 2013. Both game series remain popular with gamers today as a result of continued content updating and innovation in play modes over the past two decades. In July 2021, we launched our action battle royale game, </w:t>
      </w:r>
      <w:r>
        <w:rPr>
          <w:rFonts w:ascii="Times New Roman;Times;serif" w:hAnsi="Times New Roman;Times;serif"/>
          <w:i/>
          <w:sz w:val="20"/>
        </w:rPr>
        <w:t>Naraka: Bladepoint</w:t>
      </w:r>
      <w:r>
        <w:rPr>
          <w:rFonts w:ascii="Times New Roman;Times;serif" w:hAnsi="Times New Roman;Times;serif"/>
          <w:sz w:val="20"/>
        </w:rPr>
        <w:t>, which was well received by players with great success and named a “Top Seller” on Steam’s Best of 2021 games list.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sets forth our major in-house developed PC games:</w:t>
      </w:r>
    </w:p>
    <w:p>
      <w:pPr>
        <w:pStyle w:val="TextBody"/>
        <w:spacing w:before="0" w:after="0"/>
        <w:ind w:left="0" w:right="0" w:firstLine="720"/>
        <w:rPr/>
      </w:pPr>
      <w:r>
        <w:rPr/>
        <w:t>​</w:t>
      </w:r>
    </w:p>
    <w:tbl>
      <w:tblPr>
        <w:tblW w:w="10205" w:type="dxa"/>
        <w:jc w:val="left"/>
        <w:tblInd w:w="0" w:type="dxa"/>
        <w:tblCellMar>
          <w:top w:w="0" w:type="dxa"/>
          <w:left w:w="0" w:type="dxa"/>
          <w:bottom w:w="28" w:type="dxa"/>
          <w:right w:w="0" w:type="dxa"/>
        </w:tblCellMar>
      </w:tblPr>
      <w:tblGrid>
        <w:gridCol w:w="4608"/>
        <w:gridCol w:w="326"/>
        <w:gridCol w:w="2328"/>
        <w:gridCol w:w="326"/>
        <w:gridCol w:w="2617"/>
      </w:tblGrid>
      <w:tr>
        <w:trPr/>
        <w:tc>
          <w:tcPr>
            <w:tcW w:w="4608"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Game</w:t>
            </w:r>
          </w:p>
        </w:tc>
        <w:tc>
          <w:tcPr>
            <w:tcW w:w="326" w:type="dxa"/>
            <w:tcBorders>
              <w:bottom w:val="single" w:sz="2" w:space="0" w:color="000000"/>
            </w:tcBorders>
            <w:shd w:fill="auto" w:val="clear"/>
            <w:vAlign w:val="center"/>
          </w:tcPr>
          <w:p>
            <w:pPr>
              <w:pStyle w:val="TableHeading"/>
              <w:spacing w:before="0" w:after="0"/>
              <w:ind w:left="0" w:right="0" w:hanging="0"/>
              <w:jc w:val="left"/>
              <w:rPr/>
            </w:pPr>
            <w:r>
              <w:rPr/>
              <w:t>    </w:t>
            </w:r>
          </w:p>
        </w:tc>
        <w:tc>
          <w:tcPr>
            <w:tcW w:w="2328"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Genre</w:t>
            </w:r>
          </w:p>
        </w:tc>
        <w:tc>
          <w:tcPr>
            <w:tcW w:w="326" w:type="dxa"/>
            <w:tcBorders>
              <w:bottom w:val="single" w:sz="2" w:space="0" w:color="000000"/>
            </w:tcBorders>
            <w:shd w:fill="auto" w:val="clear"/>
            <w:vAlign w:val="center"/>
          </w:tcPr>
          <w:p>
            <w:pPr>
              <w:pStyle w:val="TableHeading"/>
              <w:spacing w:before="0" w:after="0"/>
              <w:ind w:left="0" w:right="0" w:hanging="0"/>
              <w:jc w:val="left"/>
              <w:rPr/>
            </w:pPr>
            <w:r>
              <w:rPr/>
              <w:t>    </w:t>
            </w:r>
          </w:p>
        </w:tc>
        <w:tc>
          <w:tcPr>
            <w:tcW w:w="2617"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Date(s) of Launch and Major Upgrade</w:t>
            </w:r>
          </w:p>
        </w:tc>
      </w:tr>
      <w:tr>
        <w:trPr/>
        <w:tc>
          <w:tcPr>
            <w:tcW w:w="4608" w:type="dxa"/>
            <w:tcBorders>
              <w:top w:val="single" w:sz="2" w:space="0" w:color="000000"/>
            </w:tcBorders>
            <w:shd w:fill="CCEEFF"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New Westward Journey Online II (a comprehensive upgrade of Westward Journey Online II)</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328"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2D MMORPG, classical Chinese setting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617"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August 2002</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2013</w:t>
            </w:r>
          </w:p>
        </w:tc>
      </w:tr>
      <w:tr>
        <w:trPr/>
        <w:tc>
          <w:tcPr>
            <w:tcW w:w="4608"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Fantasy Westward Journey Online (previously known as Fantasy Westward Journey II)</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32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2D MMORPG, classical Chinese setting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1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2004</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2013</w:t>
            </w:r>
          </w:p>
        </w:tc>
      </w:tr>
      <w:tr>
        <w:trPr/>
        <w:tc>
          <w:tcPr>
            <w:tcW w:w="4608"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Tianxia III</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32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3D MMORPG, classical Chinese setting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61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October 2011</w:t>
            </w:r>
          </w:p>
        </w:tc>
      </w:tr>
      <w:tr>
        <w:trPr/>
        <w:tc>
          <w:tcPr>
            <w:tcW w:w="4608"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New Ghost (a new version of Ghost II)</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32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2.5D MMORPG, classical Chinese setting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1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2012</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2015</w:t>
            </w:r>
          </w:p>
        </w:tc>
      </w:tr>
      <w:tr>
        <w:trPr/>
        <w:tc>
          <w:tcPr>
            <w:tcW w:w="4608"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Justice</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32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3D MMORPG, classical Chinese setting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61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2018</w:t>
            </w:r>
          </w:p>
        </w:tc>
      </w:tr>
      <w:tr>
        <w:trPr/>
        <w:tc>
          <w:tcPr>
            <w:tcW w:w="4608"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Naraka: Bladepoint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32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Action Battle Royale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1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2021</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Licensed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in-house developed mobile and PC games, we also offer games licensed from other international game developers, including Microsoft. For further details, see Item 4.B. “Information on the Company—Business Overview—Our Services—Games and Related Value-added Services—International Partnerships.” Revenues from licensed games accounted for 9.1%, 9.5% and 9.5% of our total revenues in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Global Presence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continue to advance our games and make inroads that expand our reach in overseas markets. We have launched numerous mobile games in global markets since 2015. Our mobile game, </w:t>
      </w:r>
      <w:r>
        <w:rPr>
          <w:rFonts w:ascii="Times New Roman;Times;serif" w:hAnsi="Times New Roman;Times;serif"/>
          <w:i/>
          <w:sz w:val="20"/>
        </w:rPr>
        <w:t>Knives Out</w:t>
      </w:r>
      <w:r>
        <w:rPr>
          <w:rFonts w:ascii="Times New Roman;Times;serif" w:hAnsi="Times New Roman;Times;serif"/>
          <w:sz w:val="20"/>
        </w:rPr>
        <w:t xml:space="preserve">, has remained popular in Japan since its launch in 2017 and topped Japan’s iOS grossing chart multiple times in 2021 and in 2022. </w:t>
      </w:r>
      <w:r>
        <w:rPr>
          <w:rFonts w:ascii="Times New Roman;Times;serif" w:hAnsi="Times New Roman;Times;serif"/>
          <w:i/>
          <w:sz w:val="20"/>
        </w:rPr>
        <w:t>Identity V</w:t>
      </w:r>
      <w:r>
        <w:rPr>
          <w:rFonts w:ascii="Times New Roman;Times;serif" w:hAnsi="Times New Roman;Times;serif"/>
          <w:sz w:val="20"/>
        </w:rPr>
        <w:t xml:space="preserve">, which we launched in Japan in 2018, and </w:t>
      </w:r>
      <w:r>
        <w:rPr>
          <w:rFonts w:ascii="Times New Roman;Times;serif" w:hAnsi="Times New Roman;Times;serif"/>
          <w:i/>
          <w:sz w:val="20"/>
        </w:rPr>
        <w:t>LifeAfter</w:t>
      </w:r>
      <w:r>
        <w:rPr>
          <w:rFonts w:ascii="Times New Roman;Times;serif" w:hAnsi="Times New Roman;Times;serif"/>
          <w:sz w:val="20"/>
        </w:rPr>
        <w:t>, which we launched in Japan in 2019, were also ranked in Japan’s iOS grossing chart multiple times in 2021 and in 2022 further evidencing our potential to operate a diverse range of games in overseas markets over the long term.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our success in Japan, we have expanded our footprint across more regions. In December 2019, we launched </w:t>
      </w:r>
      <w:r>
        <w:rPr>
          <w:rFonts w:ascii="Times New Roman;Times;serif" w:hAnsi="Times New Roman;Times;serif"/>
          <w:i/>
          <w:sz w:val="20"/>
        </w:rPr>
        <w:t>MARVEL Super War</w:t>
      </w:r>
      <w:r>
        <w:rPr>
          <w:rFonts w:ascii="Times New Roman;Times;serif" w:hAnsi="Times New Roman;Times;serif"/>
          <w:sz w:val="20"/>
        </w:rPr>
        <w:t xml:space="preserve"> in several Southeast Asian markets where it topped many of the iOS download charts. In 2020, we also introduced </w:t>
      </w:r>
      <w:r>
        <w:rPr>
          <w:rFonts w:ascii="Times New Roman;Times;serif" w:hAnsi="Times New Roman;Times;serif"/>
          <w:i/>
          <w:sz w:val="20"/>
        </w:rPr>
        <w:t>EVE Echoes</w:t>
      </w:r>
      <w:r>
        <w:rPr>
          <w:rFonts w:ascii="Times New Roman;Times;serif" w:hAnsi="Times New Roman;Times;serif"/>
          <w:sz w:val="20"/>
        </w:rPr>
        <w:t xml:space="preserve"> and </w:t>
      </w:r>
      <w:r>
        <w:rPr>
          <w:rFonts w:ascii="Times New Roman;Times;serif" w:hAnsi="Times New Roman;Times;serif"/>
          <w:i/>
          <w:sz w:val="20"/>
        </w:rPr>
        <w:t>MARVEL Duel</w:t>
      </w:r>
      <w:r>
        <w:rPr>
          <w:rFonts w:ascii="Times New Roman;Times;serif" w:hAnsi="Times New Roman;Times;serif"/>
          <w:sz w:val="20"/>
        </w:rPr>
        <w:t xml:space="preserve"> to overseas markets. In 2021, we launched </w:t>
      </w:r>
      <w:r>
        <w:rPr>
          <w:rFonts w:ascii="Times New Roman;Times;serif" w:hAnsi="Times New Roman;Times;serif"/>
          <w:i/>
          <w:sz w:val="20"/>
        </w:rPr>
        <w:t>The Lord of the Rings: Rise to War</w:t>
      </w:r>
      <w:r>
        <w:rPr>
          <w:rFonts w:ascii="Times New Roman;Times;serif" w:hAnsi="Times New Roman;Times;serif"/>
          <w:sz w:val="20"/>
        </w:rPr>
        <w:t xml:space="preserve"> in Europe, the Americas, Oceania and Southeast Asia. In June 2022, we launched </w:t>
      </w:r>
      <w:r>
        <w:rPr>
          <w:rFonts w:ascii="Times New Roman;Times;serif" w:hAnsi="Times New Roman;Times;serif"/>
          <w:i/>
          <w:sz w:val="20"/>
        </w:rPr>
        <w:t>Naraka: Bladepoint</w:t>
      </w:r>
      <w:r>
        <w:rPr>
          <w:rFonts w:ascii="Times New Roman;Times;serif" w:hAnsi="Times New Roman;Times;serif"/>
          <w:sz w:val="20"/>
        </w:rPr>
        <w:t xml:space="preserve"> on Xbox Series X|S and with Xbox Game Pass for console and PC globally. In the first two weeks of the title being available on the Xbox console, an impressive one million new players have joined the game, which is known for its fast-paced and agile melee combat.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strengthened our global R&amp;D capabilities by launching or acquiring overseas game studios and working with top international game developers. For example: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our first game studio in Montréal, Canada in 2019 and subsequently appointed industry veteran Emile Liang as its lead producer, bringing the studio more than two decades of rich industry expertise in triple-A game production.  Subsequently, we acquired SkyBox Labs, a full-service game studio founded in 2011 and based in Burnaby and Victoria, Canada.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In Japan, we have launched several game studios in the past few years, such as Sakura Studio in 2020, and Nagoshi Studio Inc. in 2022, which is led by Toshihiro Nagoshi, the former producer of the </w:t>
            </w:r>
            <w:r>
              <w:rPr>
                <w:rFonts w:ascii="Times New Roman;Times;serif" w:hAnsi="Times New Roman;Times;serif"/>
                <w:b w:val="false"/>
                <w:i/>
                <w:sz w:val="20"/>
              </w:rPr>
              <w:t>Yakuza</w:t>
            </w:r>
            <w:r>
              <w:rPr>
                <w:caps w:val="false"/>
                <w:smallCaps w:val="false"/>
              </w:rPr>
              <w:t xml:space="preserve"> </w:t>
            </w:r>
            <w:r>
              <w:rPr>
                <w:rFonts w:ascii="Times New Roman;Times;serif" w:hAnsi="Times New Roman;Times;serif"/>
                <w:b w:val="false"/>
                <w:i w:val="false"/>
                <w:caps w:val="false"/>
                <w:smallCaps w:val="false"/>
                <w:sz w:val="20"/>
              </w:rPr>
              <w:t xml:space="preserve">game series.  In 2021, we also acquired Grasshopper Manufacture Inc., an interactive entertainment software development company based in Tokyo which has more than 20 years of experience in console-focused game development and successfully developed more than 25 games.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We established our first-ever first-party U.S. studio, Jackalope Games, in 2022 to create new and exciting PC and console games, which is led by industry veteran Jack Emmert who has worked on numerous well-known games. We subsequently set up another U.S.-based first-party studio, Jar of Sparks, led by Jerry Hook, the former Head of Design on the game </w:t>
            </w:r>
            <w:r>
              <w:rPr>
                <w:rFonts w:ascii="Times New Roman;Times;serif" w:hAnsi="Times New Roman;Times;serif"/>
                <w:b w:val="false"/>
                <w:i/>
                <w:sz w:val="20"/>
              </w:rPr>
              <w:t>Halo Infinite</w:t>
            </w:r>
            <w:r>
              <w:rPr>
                <w:rFonts w:ascii="Times New Roman;Times;serif" w:hAnsi="Times New Roman;Times;serif"/>
                <w:b w:val="false"/>
                <w:i w:val="false"/>
                <w:caps w:val="false"/>
                <w:smallCaps w:val="false"/>
                <w:sz w:val="20"/>
              </w:rPr>
              <w:t xml:space="preserv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we acquired Quantic Dream S.A., one of the premier independent game developers in the world based in Paris, France and Montréal, Canada. Quantic Dream is known for creating games with a strong narrative focus and nonlinear stories that reward players’ choices.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2023, we also announced the establishment of Spliced, a new global, remote-working game studio which brings together a talented group of passionate industry veterans from a variety of backgrounds, including participating in the development of a number of major gaming franchise.</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invest in other leading global studios across the world to strengthen our development capabilities and diversity, including investments in Bungie, a game studio in the United States which was later acquired by Sony Interactive Entertainment LLC, and Behaviour Interactive Inc., one of Canada’s leading independent game studios.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International Partnerships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Building on our strong in-house content development capabilities, we have formed strategic partnerships and collaborations with world-famous game studios and content owners. As a leader in online games in China, we have successfully attracted leading international game studios and content owners with our development and operational capabilities, such as Blizzard, Marvel, Microsoft and Warner Bros. Games, to co-develop and/or operate games in China and abroad. In addition, we established a series of IP collaborations with various third parties.</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we have co-developed and successfully launched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sz w:val="15"/>
        </w:rPr>
        <w:t>TM</w:t>
      </w:r>
      <w:r>
        <w:rPr>
          <w:rFonts w:ascii="Times New Roman;Times;serif" w:hAnsi="Times New Roman;Times;serif"/>
          <w:sz w:val="20"/>
        </w:rPr>
        <w:t xml:space="preserve">, an MMO action-RPG, with Blizzard in 2022 and also entered into a license agreement with Marvel in May 2019 to create original entertainment content based on internationally beloved Marvel characters and stories. We commercially launched </w:t>
      </w:r>
      <w:r>
        <w:rPr>
          <w:rFonts w:ascii="Times New Roman;Times;serif" w:hAnsi="Times New Roman;Times;serif"/>
          <w:i/>
          <w:sz w:val="20"/>
        </w:rPr>
        <w:t>MARVEL Super War</w:t>
      </w:r>
      <w:r>
        <w:rPr>
          <w:rFonts w:ascii="Times New Roman;Times;serif" w:hAnsi="Times New Roman;Times;serif"/>
          <w:sz w:val="20"/>
        </w:rPr>
        <w:t xml:space="preserve"> and </w:t>
      </w:r>
      <w:r>
        <w:rPr>
          <w:rFonts w:ascii="Times New Roman;Times;serif" w:hAnsi="Times New Roman;Times;serif"/>
          <w:i/>
          <w:sz w:val="20"/>
        </w:rPr>
        <w:t>Marvel Duel</w:t>
      </w:r>
      <w:r>
        <w:rPr>
          <w:rFonts w:ascii="Times New Roman;Times;serif" w:hAnsi="Times New Roman;Times;serif"/>
          <w:sz w:val="20"/>
        </w:rPr>
        <w:t xml:space="preserve"> in 2019 and 2020, respectively, and are continuing our joint product development in games that feature Marvel characters for users in China and beyond. In 2019, we launched in the PRC </w:t>
      </w:r>
      <w:r>
        <w:rPr>
          <w:rFonts w:ascii="Times New Roman;Times;serif" w:hAnsi="Times New Roman;Times;serif"/>
          <w:i/>
          <w:sz w:val="20"/>
        </w:rPr>
        <w:t>Sky</w:t>
      </w:r>
      <w:r>
        <w:rPr>
          <w:rFonts w:ascii="Times New Roman;Times;serif" w:hAnsi="Times New Roman;Times;serif"/>
          <w:sz w:val="20"/>
        </w:rPr>
        <w:t xml:space="preserve"> which is an award-winning adventure mobile game featuring unique graphics and gameplay that we have licensed from thatgamecompany.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in May 2016, we entered into an exclusive agreement with Microsoft, pursuant to which Microsoft agreed to license both the mobile and PC versions of </w:t>
      </w:r>
      <w:r>
        <w:rPr>
          <w:rFonts w:ascii="Times New Roman;Times;serif" w:hAnsi="Times New Roman;Times;serif"/>
          <w:i/>
          <w:sz w:val="20"/>
        </w:rPr>
        <w:t>Minecraft</w:t>
      </w:r>
      <w:r>
        <w:rPr>
          <w:rFonts w:ascii="Times New Roman;Times;serif" w:hAnsi="Times New Roman;Times;serif"/>
          <w:sz w:val="20"/>
        </w:rPr>
        <w:t xml:space="preserve"> to us for operation in China until 2022. In May 2019, we extended the term of the </w:t>
      </w:r>
      <w:r>
        <w:rPr>
          <w:rFonts w:ascii="Times New Roman;Times;serif" w:hAnsi="Times New Roman;Times;serif"/>
          <w:i/>
          <w:sz w:val="20"/>
        </w:rPr>
        <w:t>Minecraft</w:t>
      </w:r>
      <w:r>
        <w:rPr>
          <w:rFonts w:ascii="Times New Roman;Times;serif" w:hAnsi="Times New Roman;Times;serif"/>
          <w:sz w:val="20"/>
        </w:rPr>
        <w:t xml:space="preserve"> license for an additional year to August 2023. We successfully introduced both versions of </w:t>
      </w:r>
      <w:r>
        <w:rPr>
          <w:rFonts w:ascii="Times New Roman;Times;serif" w:hAnsi="Times New Roman;Times;serif"/>
          <w:i/>
          <w:sz w:val="20"/>
        </w:rPr>
        <w:t>Minecraft</w:t>
      </w:r>
      <w:r>
        <w:rPr>
          <w:rFonts w:ascii="Times New Roman;Times;serif" w:hAnsi="Times New Roman;Times;serif"/>
          <w:sz w:val="20"/>
        </w:rPr>
        <w:t xml:space="preserve"> in China across various platforms in 2017.</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co-developed the mobile game </w:t>
      </w:r>
      <w:r>
        <w:rPr>
          <w:rFonts w:ascii="Times New Roman;Times;serif" w:hAnsi="Times New Roman;Times;serif"/>
          <w:i/>
          <w:sz w:val="20"/>
        </w:rPr>
        <w:t>Harry Potter: Magic Awakened</w:t>
      </w:r>
      <w:r>
        <w:rPr>
          <w:rFonts w:ascii="Times New Roman;Times;serif" w:hAnsi="Times New Roman;Times;serif"/>
          <w:sz w:val="20"/>
        </w:rPr>
        <w:t xml:space="preserve"> with Warner Bros. Games under the Portkey Games label. We successfully launched this game in Chinese mainland, Hong Kong, Macau and Taiwan in September 2021 and expect to launch globally across various platforms in near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establish and deepen collaboration with other leading international game studios, including entering into a joint development agreement with Codemasters, a leading UK game studio focusing on racing games.</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Game Design and Development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Our Franchises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continue to build upon existing successful games to offer multi-dimensional content by leveraging our in-house developed franchises and intellectual property. Our </w:t>
      </w:r>
      <w:r>
        <w:rPr>
          <w:rFonts w:ascii="Times New Roman;Times;serif" w:hAnsi="Times New Roman;Times;serif"/>
          <w:i/>
          <w:sz w:val="20"/>
        </w:rPr>
        <w:t>Fantasy Westward Journey</w:t>
      </w:r>
      <w:r>
        <w:rPr>
          <w:rFonts w:ascii="Times New Roman;Times;serif" w:hAnsi="Times New Roman;Times;serif"/>
          <w:sz w:val="20"/>
        </w:rPr>
        <w:t xml:space="preserve"> and </w:t>
      </w:r>
      <w:r>
        <w:rPr>
          <w:rFonts w:ascii="Times New Roman;Times;serif" w:hAnsi="Times New Roman;Times;serif"/>
          <w:i/>
          <w:sz w:val="20"/>
        </w:rPr>
        <w:t>Westward Journey Online</w:t>
      </w:r>
      <w:r>
        <w:rPr>
          <w:rFonts w:ascii="Times New Roman;Times;serif" w:hAnsi="Times New Roman;Times;serif"/>
          <w:sz w:val="20"/>
        </w:rPr>
        <w:t xml:space="preserve"> franchises remain popular and have been instilled in the collective memory of a generation of Chinese players. We further expanded the reach of these franchises through the introduction of </w:t>
      </w:r>
      <w:r>
        <w:rPr>
          <w:rFonts w:ascii="Times New Roman;Times;serif" w:hAnsi="Times New Roman;Times;serif"/>
          <w:i/>
          <w:sz w:val="20"/>
        </w:rPr>
        <w:t>Fantasy Westward Journey 3D</w:t>
      </w:r>
      <w:r>
        <w:rPr>
          <w:rFonts w:ascii="Times New Roman;Times;serif" w:hAnsi="Times New Roman;Times;serif"/>
          <w:sz w:val="20"/>
        </w:rPr>
        <w:t xml:space="preserve"> and </w:t>
      </w:r>
      <w:r>
        <w:rPr>
          <w:rFonts w:ascii="Times New Roman;Times;serif" w:hAnsi="Times New Roman;Times;serif"/>
          <w:i/>
          <w:sz w:val="20"/>
        </w:rPr>
        <w:t>Fantasy Westward Journey H5</w:t>
      </w:r>
      <w:r>
        <w:rPr>
          <w:rFonts w:ascii="Times New Roman;Times;serif" w:hAnsi="Times New Roman;Times;serif"/>
          <w:sz w:val="20"/>
        </w:rPr>
        <w:t xml:space="preserve"> in 2019 and 2020, respectively, captivating both returning fans and new players. We subsequently successfully launched </w:t>
      </w:r>
      <w:r>
        <w:rPr>
          <w:rFonts w:ascii="Times New Roman;Times;serif" w:hAnsi="Times New Roman;Times;serif"/>
          <w:i/>
          <w:sz w:val="20"/>
        </w:rPr>
        <w:t>Westward Journey Return</w:t>
      </w:r>
      <w:r>
        <w:rPr>
          <w:rFonts w:ascii="Times New Roman;Times;serif" w:hAnsi="Times New Roman;Times;serif"/>
          <w:sz w:val="20"/>
        </w:rPr>
        <w:t xml:space="preserve"> in early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growing and strengthening our existing franchises, we have continually incubated new ideas and delivered new and long-lasting game titles to our users. For example, one of our younger franchises built in-house, </w:t>
      </w:r>
      <w:r>
        <w:rPr>
          <w:rFonts w:ascii="Times New Roman;Times;serif" w:hAnsi="Times New Roman;Times;serif"/>
          <w:i/>
          <w:sz w:val="20"/>
        </w:rPr>
        <w:t>Onmyoji</w:t>
      </w:r>
      <w:r>
        <w:rPr>
          <w:rFonts w:ascii="Times New Roman;Times;serif" w:hAnsi="Times New Roman;Times;serif"/>
          <w:sz w:val="20"/>
        </w:rPr>
        <w:t xml:space="preserve">, has spun off three mobile games in MOBA, card and simulation genres, been adapted into a feature motion picture, a musical and a network series and inspired several themed coffee shops. Another in-house developed young IP is </w:t>
      </w:r>
      <w:r>
        <w:rPr>
          <w:rFonts w:ascii="Times New Roman;Times;serif" w:hAnsi="Times New Roman;Times;serif"/>
          <w:i/>
          <w:sz w:val="20"/>
        </w:rPr>
        <w:t>Identity V</w:t>
      </w:r>
      <w:r>
        <w:rPr>
          <w:rFonts w:ascii="Times New Roman;Times;serif" w:hAnsi="Times New Roman;Times;serif"/>
          <w:sz w:val="20"/>
        </w:rPr>
        <w:t xml:space="preserve">, which we believe has the potential to become another successful NetEase franchise. We are continually enriching this IP through a variety of initiatives, including e-sports, game collaborations and off-line activities. We have hosted a number of high-profile events featuring </w:t>
      </w:r>
      <w:r>
        <w:rPr>
          <w:rFonts w:ascii="Times New Roman;Times;serif" w:hAnsi="Times New Roman;Times;serif"/>
          <w:i/>
          <w:sz w:val="20"/>
        </w:rPr>
        <w:t>Identity V</w:t>
      </w:r>
      <w:r>
        <w:rPr>
          <w:rFonts w:ascii="Times New Roman;Times;serif" w:hAnsi="Times New Roman;Times;serif"/>
          <w:sz w:val="20"/>
        </w:rPr>
        <w:t xml:space="preserve">, including both international and regional series tournaments. More recently, we drove strong revenue and user growth of </w:t>
      </w:r>
      <w:r>
        <w:rPr>
          <w:rFonts w:ascii="Times New Roman;Times;serif" w:hAnsi="Times New Roman;Times;serif"/>
          <w:i/>
          <w:sz w:val="20"/>
        </w:rPr>
        <w:t>Eggy Party</w:t>
      </w:r>
      <w:r>
        <w:rPr>
          <w:rFonts w:ascii="Times New Roman;Times;serif" w:hAnsi="Times New Roman;Times;serif"/>
          <w:sz w:val="20"/>
        </w:rPr>
        <w:t>, a casual party mobile game initially launched in the Chinese mainland in 2022, accumulating the highest daily active users of any game in our history.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programs. For more description on our R&amp;D capabilities, see Item 4.B. “Information on the Company—Business Overview—Our Services—Games and Related Value-added Services—Game R&amp;D and Technologies.”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Content Quality and User Experience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creating a highly realistic and immersive gaming experience through the use of advanced technologies, we also employ innovative gamification thinking that takes into consideration both the in-game and out-of-game user experience. We have also launched offline gaming experience stores to allow for dynamic and spontaneous offline interactions among game players, as well as create an offline user feedback channel.</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Game R&amp;D and Technologies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consistent and significant investment in innovative game research and development is a key contributor to the success of our online game business and has been widely recognized in the games industry. In 2019, we were awarded the “Top Ten Game Research and Development Companies in China” award by the China Audio-video and Digital Publishing Association. During the 2022 Chinese Games Industry Annual Conference, a conference supervised by the NPPA and organized by China Audio-video and Digital Publishing Association, Guangzhou NetEase was named as the Enterprise for Excellent Technological Innovation, and our game </w:t>
      </w:r>
      <w:r>
        <w:rPr>
          <w:rFonts w:ascii="Times New Roman;Times;serif" w:hAnsi="Times New Roman;Times;serif"/>
          <w:i/>
          <w:sz w:val="20"/>
        </w:rPr>
        <w:t>Infinite Lagrange</w:t>
      </w:r>
      <w:r>
        <w:rPr>
          <w:rFonts w:ascii="Times New Roman;Times;serif" w:hAnsi="Times New Roman;Times;serif"/>
          <w:sz w:val="20"/>
        </w:rPr>
        <w:t xml:space="preserve"> was awarded for Excellence in Game Art Design.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Our Proprietary Game R&amp;D Capabilities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strive to recruit and grow the best talent in the industry. Our </w:t>
      </w:r>
      <w:r>
        <w:rPr>
          <w:rFonts w:ascii="Times New Roman;Times;serif" w:hAnsi="Times New Roman;Times;serif"/>
          <w:i/>
          <w:sz w:val="20"/>
        </w:rPr>
        <w:t>NetEase Games Academy</w:t>
      </w:r>
      <w:r>
        <w:rPr>
          <w:rFonts w:ascii="Times New Roman;Times;serif" w:hAnsi="Times New Roman;Times;serif"/>
          <w:sz w:val="20"/>
        </w:rPr>
        <w:t xml:space="preserve"> is widely recognized in China as a premier online games training institution which offer a wide range of programs for creative minds. We were awarded the 2021 ATD BEST Award by the Association for Talent Development, one of the most authoritative international awards in the global talent development industry. In addition, we established our in-house game advanced technology research institutions to focus on researching, among other things,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Key Game Technologies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game R&amp;D is centered around using technologies to deliver a superior and differentiated user experience. The key areas of our proprietary game technologies include: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Proprietary game engines:</w:t>
      </w:r>
      <w:r>
        <w:rPr>
          <w:rFonts w:ascii="Times New Roman;Times;serif" w:hAnsi="Times New Roman;Times;serif"/>
          <w:sz w:val="20"/>
        </w:rPr>
        <w:t xml:space="preserve"> In addition to game development, we have continually invested in proprietary game engine R&amp;D. Since the initial 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User profile analytics:</w:t>
      </w:r>
      <w:r>
        <w:rPr>
          <w:rFonts w:ascii="Times New Roman;Times;serif" w:hAnsi="Times New Roman;Times;serif"/>
          <w:sz w:val="20"/>
        </w:rPr>
        <w:t xml:space="preserve"> We perform an in-depth analysis of our users profile by analyzing activities and performances in games, in-game purchasing preferences and other data and information. We leverage our user data on an aggregate basis to guide game development and upgrades, marketing and other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Intelligent non-player characters (NPCs): </w:t>
      </w:r>
      <w:r>
        <w:rPr>
          <w:rFonts w:ascii="Times New Roman;Times;serif" w:hAnsi="Times New Roman;Times;serif"/>
          <w:sz w:val="20"/>
        </w:rPr>
        <w:t xml:space="preserve">Enabled by deep learning technology, we have created intelligent NPCs that can join players’ in-game 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Natural language processing (NLP): </w:t>
      </w:r>
      <w:r>
        <w:rPr>
          <w:rFonts w:ascii="Times New Roman;Times;serif" w:hAnsi="Times New Roman;Times;serif"/>
          <w:sz w:val="20"/>
        </w:rPr>
        <w:t>We apply NLP technology in our games to enable players to develop their own storyline by carrying out conversations with NPCs and explore hidden elements in the game, creating an immersive gaming experience for players.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Advanced game graphics: </w:t>
      </w:r>
      <w:r>
        <w:rPr>
          <w:rFonts w:ascii="Times New Roman;Times;serif" w:hAnsi="Times New Roman;Times;serif"/>
          <w:sz w:val="20"/>
        </w:rPr>
        <w:t>Our advanced game graphics enable game players to create unique characters with customized facial features. We also offer automatic character customization based on real-life photographs uploaded by players. In addition, we deploy high-quality 3D game graphics and automatic scene generation in our games.</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related value-added services include the NetEase CC live streaming service, a platform offering various live streaming content with primary focus on game broadcasting, and other related or ancillary value-added services related to games such as the sales of game-themed merchandise.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Intelligent Learning Services – Youdao</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Youdao’s Products and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 is a leading technology-focused, intelligent learning company in China and operates in a number of overseas markets. We founded Youdao in 2006 and launched the flagship Youdao Dictionary in 2007, which remains the top language app in China in terms of MAUs. Youdao has experienced rapid growth since its founding and completed its public listing on the New York Stock Exchange in October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Building on the early success of Youdao Dictionary, we have attracted a massive user base, built a strong brand, and expanded into a broad range of products and services addressing people’s lifelong learning needs, including online knowledge tools, learning services, smart devices and education digitalization solutions. Youdao has historically offered a major portion of its services through its Academic AST Business, but it disposed of such business in 2021 in order to comply with applicable PRC regulatory requirements adopted by the PRC government. Leveraging its strong course and content development capabilities, accumulated from developing its Academic AST Business, Youdao continues to develop online learning services, which mainly include STEAM courses, digital content services, adult and vocational courses, and other courses such as </w:t>
      </w:r>
      <w:r>
        <w:rPr>
          <w:rFonts w:ascii="Times New Roman;Times;serif" w:hAnsi="Times New Roman;Times;serif"/>
          <w:i/>
          <w:sz w:val="20"/>
        </w:rPr>
        <w:t>China University MOOC</w:t>
      </w:r>
      <w:r>
        <w:rPr>
          <w:rFonts w:ascii="Times New Roman;Times;serif" w:hAnsi="Times New Roman;Times;serif"/>
          <w:sz w:val="20"/>
        </w:rPr>
        <w:t>. Youdao’s smart devices seamlessly integrate advanced artificial intelligence, or AI, algorithms and data analytics which supplement its online learning services and further enhance the user experience and efficiency.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revenues consist of three parts: learning services, smart devices and online marketing services. We currently generate the majority of the revenues of Youdao’s learning services from its tutoring services, which mainly include its online courses and digital content services. In addition, we generate revenues from sales of smart devices and from Youdao’s online marketing services through the provision of different formats of advertisements.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Online Knowledge Tools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Youdao Dictionary</w:t>
            </w:r>
            <w:r>
              <w:rPr>
                <w:rFonts w:ascii="Times New Roman;Times;serif" w:hAnsi="Times New Roman;Times;serif"/>
                <w:b w:val="false"/>
                <w:i w:val="false"/>
                <w:caps w:val="false"/>
                <w:smallCaps w:val="false"/>
                <w:sz w:val="20"/>
              </w:rPr>
              <w:t>. Launched in 2007, Youdao Dictionary is Youdao’s first major product and flagship online language tool. Today, it is China’s most popular and trusted online dictionary and translation tool with 47.1 million MAUs in 2022. As of December 31, 2022, Youdao Dictionary offered over 794 million entries across 109 languages.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Online Dictionary and Translation Tools</w:t>
            </w:r>
            <w:r>
              <w:rPr>
                <w:rFonts w:ascii="Times New Roman;Times;serif" w:hAnsi="Times New Roman;Times;serif"/>
                <w:b w:val="false"/>
                <w:i w:val="false"/>
                <w:caps w:val="false"/>
                <w:smallCaps w:val="false"/>
                <w:sz w:val="20"/>
              </w:rPr>
              <w:t>. In addition to Youdao Dictionary, we also offer Youdao Translation, a tool specifically designed to support translation needs of business and leisure travelers across over 31 languages via camera and speech translation, U-Dictionary, an online dictionary and translation app we offer in Indonesia and other overseas markets, and Youdao Kids’ Dictionary, a smart tool that offers translation services in Chinese and English.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Interactive Learning Apps. </w:t>
            </w:r>
            <w:r>
              <w:rPr>
                <w:rFonts w:ascii="Times New Roman;Times;serif" w:hAnsi="Times New Roman;Times;serif"/>
                <w:b w:val="false"/>
                <w:i w:val="false"/>
                <w:caps w:val="false"/>
                <w:smallCaps w:val="false"/>
                <w:sz w:val="20"/>
              </w:rPr>
              <w:t>We offer a wide range of interactive learning apps to nearly all age groups. We are committed to delivering a fun and effective learning experience across these apps through an abundance of gamified features, as well as social functions allowing users and students to share their learning progress with friends through social networking platforms.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Learning Services.</w:t>
      </w:r>
      <w:r>
        <w:rPr>
          <w:rFonts w:ascii="Times New Roman;Times;serif" w:hAnsi="Times New Roman;Times;serif"/>
          <w:sz w:val="20"/>
        </w:rPr>
        <w:t xml:space="preserve"> We have developed a comprehensive offering of learning services catering to the diverse learning needs of different age groups. Our learning service offerings primarily consist of (i) STEAM courses, (ii) digital content services, (iii) adult and vocational courses, and (iv) other courses, such as </w:t>
      </w:r>
      <w:r>
        <w:rPr>
          <w:rFonts w:ascii="Times New Roman;Times;serif" w:hAnsi="Times New Roman;Times;serif"/>
          <w:i/>
          <w:sz w:val="20"/>
        </w:rPr>
        <w:t>China University MOOC</w:t>
      </w:r>
      <w:r>
        <w:rPr>
          <w:rFonts w:ascii="Times New Roman;Times;serif" w:hAnsi="Times New Roman;Times;serif"/>
          <w:sz w:val="20"/>
        </w:rPr>
        <w:t>. In the past, our learning service offerings also included K-9 after-school tutoring courses as part of Youdao’s Academic AST Business, which cover the entire K-9 grades and a wide range of academic subject matters. In order to comply with applicable PRC regulatory requirements adopted by the PRC government in the second half of 2021, we disposed the Academic AST Business in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STEAM courses.</w:t>
            </w:r>
            <w:r>
              <w:rPr>
                <w:caps w:val="false"/>
                <w:smallCaps w:val="false"/>
              </w:rPr>
              <w:t xml:space="preserve"> </w:t>
            </w:r>
            <w:r>
              <w:rPr>
                <w:rFonts w:ascii="Times New Roman;Times;serif" w:hAnsi="Times New Roman;Times;serif"/>
                <w:b w:val="false"/>
                <w:i w:val="false"/>
                <w:caps w:val="false"/>
                <w:smallCaps w:val="false"/>
                <w:sz w:val="20"/>
              </w:rPr>
              <w:t xml:space="preserve">In connection with our disposal of our Academic AST Business, we have been strategically shifting our focus to offering STEAM courses under the brand of </w:t>
            </w:r>
            <w:r>
              <w:rPr>
                <w:rFonts w:ascii="Times New Roman;Times;serif" w:hAnsi="Times New Roman;Times;serif"/>
                <w:b w:val="false"/>
                <w:i/>
                <w:sz w:val="20"/>
              </w:rPr>
              <w:t>Youdao Premium Courses</w:t>
            </w:r>
            <w:r>
              <w:rPr>
                <w:rFonts w:ascii="Times New Roman;Times;serif" w:hAnsi="Times New Roman;Times;serif"/>
                <w:b w:val="false"/>
                <w:i w:val="false"/>
                <w:caps w:val="false"/>
                <w:smallCaps w:val="false"/>
                <w:sz w:val="20"/>
              </w:rPr>
              <w:t xml:space="preserve">. Our current STEAM courses primarily include (i) </w:t>
            </w:r>
            <w:r>
              <w:rPr>
                <w:rFonts w:ascii="Times New Roman;Times;serif" w:hAnsi="Times New Roman;Times;serif"/>
                <w:b w:val="false"/>
                <w:i/>
                <w:sz w:val="20"/>
              </w:rPr>
              <w:t>Youdao Weiqi</w:t>
            </w:r>
            <w:r>
              <w:rPr>
                <w:rFonts w:ascii="Times New Roman;Times;serif" w:hAnsi="Times New Roman;Times;serif"/>
                <w:b w:val="false"/>
                <w:i w:val="false"/>
                <w:caps w:val="false"/>
                <w:smallCaps w:val="false"/>
                <w:sz w:val="20"/>
              </w:rPr>
              <w:t>, (ii) computer coding courses and (iii) other STEAM courses.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Digital Content Services</w:t>
            </w:r>
            <w:r>
              <w:rPr>
                <w:rFonts w:ascii="Times New Roman;Times;serif" w:hAnsi="Times New Roman;Times;serif"/>
                <w:b w:val="false"/>
                <w:i w:val="false"/>
                <w:caps w:val="false"/>
                <w:smallCaps w:val="false"/>
                <w:sz w:val="20"/>
              </w:rPr>
              <w:t>. Following the third quarter of 2021, we launched digital content services, including pre-recorded video content that comes with interactive learning features. Through provision of digital content services, we customize learning tracks for students based on their diverse and ever-evolving learning needs, providing them with personalized exercise banks and quizzes to enhance their learning experience. In addition, our video tutorials offer fragmented knowledge and exercises to help students achieve superior learning outcomes.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Adult and Vocational Courses</w:t>
            </w:r>
            <w:r>
              <w:rPr>
                <w:rFonts w:ascii="Times New Roman;Times;serif" w:hAnsi="Times New Roman;Times;serif"/>
                <w:b w:val="false"/>
                <w:i w:val="false"/>
                <w:caps w:val="false"/>
                <w:smallCaps w:val="false"/>
                <w:sz w:val="20"/>
              </w:rPr>
              <w:t xml:space="preserve">. We offer adult and vocational courses primarily through our </w:t>
            </w:r>
            <w:r>
              <w:rPr>
                <w:rFonts w:ascii="Times New Roman;Times;serif" w:hAnsi="Times New Roman;Times;serif"/>
                <w:b w:val="false"/>
                <w:i/>
                <w:sz w:val="20"/>
              </w:rPr>
              <w:t>NetEase Cloud Classroom,</w:t>
            </w:r>
            <w:r>
              <w:rPr>
                <w:caps w:val="false"/>
                <w:smallCaps w:val="false"/>
              </w:rPr>
              <w:t xml:space="preserve"> </w:t>
            </w:r>
            <w:r>
              <w:rPr>
                <w:rFonts w:ascii="Times New Roman;Times;serif" w:hAnsi="Times New Roman;Times;serif"/>
                <w:b w:val="false"/>
                <w:i w:val="false"/>
                <w:caps w:val="false"/>
                <w:smallCaps w:val="false"/>
                <w:sz w:val="20"/>
              </w:rPr>
              <w:t xml:space="preserve">a platform providing tutoring services mainly targeting adults in China. Our adult and vocational courses primarily include graduate school entrance exam courses, foreign language courses, professional certification and skill courses and digital training courses of Amazon Web Services.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Courses.</w:t>
            </w:r>
            <w:r>
              <w:rPr>
                <w:caps w:val="false"/>
                <w:smallCaps w:val="false"/>
              </w:rPr>
              <w:t xml:space="preserve">  </w:t>
            </w:r>
            <w:r>
              <w:rPr>
                <w:rFonts w:ascii="Times New Roman;Times;serif" w:hAnsi="Times New Roman;Times;serif"/>
                <w:b w:val="false"/>
                <w:i w:val="false"/>
                <w:caps w:val="false"/>
                <w:smallCaps w:val="false"/>
                <w:sz w:val="20"/>
              </w:rPr>
              <w:t xml:space="preserve">Our other courses primarily include </w:t>
            </w:r>
            <w:r>
              <w:rPr>
                <w:rFonts w:ascii="Times New Roman;Times;serif" w:hAnsi="Times New Roman;Times;serif"/>
                <w:b w:val="false"/>
                <w:i/>
                <w:sz w:val="20"/>
              </w:rPr>
              <w:t>China University MOOC</w:t>
            </w:r>
            <w:r>
              <w:rPr>
                <w:rFonts w:ascii="Times New Roman;Times;serif" w:hAnsi="Times New Roman;Times;serif"/>
                <w:b w:val="false"/>
                <w:i w:val="false"/>
                <w:caps w:val="false"/>
                <w:smallCaps w:val="false"/>
                <w:sz w:val="20"/>
              </w:rPr>
              <w:t xml:space="preserve">. MOOC stands for “massive open online course,” which is a course designed to offer free or low-cost access to learning resources to a wide audience. In collaboration with the Higher Education Press, a publishing house under the supervision of the Ministry of Education of the PRC, we operate </w:t>
            </w:r>
            <w:r>
              <w:rPr>
                <w:rFonts w:ascii="Times New Roman;Times;serif" w:hAnsi="Times New Roman;Times;serif"/>
                <w:b w:val="false"/>
                <w:i/>
                <w:sz w:val="20"/>
              </w:rPr>
              <w:t>China University MOOC</w:t>
            </w:r>
            <w:r>
              <w:rPr>
                <w:rFonts w:ascii="Times New Roman;Times;serif" w:hAnsi="Times New Roman;Times;serif"/>
                <w:b w:val="false"/>
                <w:i w:val="false"/>
                <w:caps w:val="false"/>
                <w:smallCaps w:val="false"/>
                <w:sz w:val="20"/>
              </w:rPr>
              <w:t>, a platform offering online courses primarily targeting college students and adults in China.</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Smart Devices</w:t>
      </w:r>
      <w:r>
        <w:rPr>
          <w:rFonts w:ascii="Times New Roman;Times;serif" w:hAnsi="Times New Roman;Times;serif"/>
          <w:sz w:val="20"/>
        </w:rPr>
        <w:t xml:space="preserve">. We develop and offer smart devices, including </w:t>
      </w:r>
      <w:r>
        <w:rPr>
          <w:rFonts w:ascii="Times New Roman;Times;serif" w:hAnsi="Times New Roman;Times;serif"/>
          <w:i/>
          <w:sz w:val="20"/>
        </w:rPr>
        <w:t>Youdao Dictionary Pen, Youdao Smart Learning Pad, Youdao Listening Pod, Youdao Smart Light, Youdao Pocket Translator and Youdao Super Dictionary</w:t>
      </w:r>
      <w:r>
        <w:rPr>
          <w:rFonts w:ascii="Times New Roman;Times;serif" w:hAnsi="Times New Roman;Times;serif"/>
          <w:sz w:val="20"/>
        </w:rPr>
        <w:t>, to make learning more productive and efficient for our users. Our smart devices are developed and designed by us or in collaboration with third parties, while the manufacturing of such devices is outsourced to third-party manufacturers under original equipment manufacturer agreements.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Youdao Dictionary Pen.</w:t>
            </w:r>
            <w:r>
              <w:rPr>
                <w:caps w:val="false"/>
                <w:smallCaps w:val="false"/>
              </w:rPr>
              <w:t xml:space="preserve"> </w:t>
            </w:r>
            <w:r>
              <w:rPr>
                <w:rFonts w:ascii="Times New Roman;Times;serif" w:hAnsi="Times New Roman;Times;serif"/>
                <w:b w:val="false"/>
                <w:i w:val="false"/>
                <w:caps w:val="false"/>
                <w:smallCaps w:val="false"/>
                <w:sz w:val="20"/>
              </w:rPr>
              <w:t>In July 2018, we launched Youdao Dictionary Pen, a sleek, modern electronic translation pen with powerful Chinese/English translation capabilities. With our NMT and OCR technologies, users can simply scan the words and the screen will instantly display the translations and definitions of the words without connecting to the internet. We continued upgrading Youdao Dictionary Pen and launched the People’s Education Version in September 2021. This product marks our first strategic partnership with the People Education Electronic &amp; Audiovisual Press, whose parent company, People’s Education Press, mainly engages in the compilation, publication and distribution of school textbooks and other educational books in the PRC. We launched Youdao Dictionary Pen X5 and Youdao Dictionary Pen P5 in August 2022 and October 2022, respectively, to further expand the vocabulary bank and upgrade other functions of the device.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Youdao Smart Learning Pad. </w:t>
            </w:r>
            <w:r>
              <w:rPr>
                <w:rFonts w:ascii="Times New Roman;Times;serif" w:hAnsi="Times New Roman;Times;serif"/>
                <w:b w:val="false"/>
                <w:i w:val="false"/>
                <w:caps w:val="false"/>
                <w:smallCaps w:val="false"/>
                <w:sz w:val="20"/>
              </w:rPr>
              <w:t>In August 2022, we launched Youdao Smart Learning Pad Y10, our first intelligent learning pad product. In October 2022, we further introduced Youdao Smart Learning Pad X10, an upgraded version with improved AI-driven precision education, a larger screen and more storage. Backed by our proprietary technology infrastructure, Youdao Smart Learning Pad X10 showcases a unique AI-supported “Learning Dashboard,” which can track and present users’ learning performances and provide personalized suggestions focused on their academic weaknesses. Users can start from either uploading photos of their homework assignments and test papers to the plugged-in system, or conducting quizzes or exercises directly on the device. Leveraging our comprehensive quiz bank with over 200,000 sets of mock exams, Youdao Smart Learning Pad X10 is able to quickly process and generate users’ performance reports encompassing accurate rates, areas of improvements and levels of expertise.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Youdao Listening Pod. </w:t>
            </w:r>
            <w:r>
              <w:rPr>
                <w:rFonts w:ascii="Times New Roman;Times;serif" w:hAnsi="Times New Roman;Times;serif"/>
                <w:b w:val="false"/>
                <w:i w:val="false"/>
                <w:caps w:val="false"/>
                <w:smallCaps w:val="false"/>
                <w:sz w:val="20"/>
              </w:rPr>
              <w:t>Building on our AI-adaptive learning technology, we launched Youdao Listening Pod in September 2021, a portable learning device that is designed to deliver an immersive English learning experience to users, and offer them with differentiated, interactive listening and speaking practices. With Youdao Listening Pod handy, users can study natural pronunciation by listening and reading over 4500 recording clips of training content, interact and communicate live with AI-powered chat bots and practice on mock questions to score their English listening and speaking capabilities.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Youdao Smart Light. </w:t>
            </w:r>
            <w:r>
              <w:rPr>
                <w:rFonts w:ascii="Times New Roman;Times;serif" w:hAnsi="Times New Roman;Times;serif"/>
                <w:b w:val="false"/>
                <w:i w:val="false"/>
                <w:caps w:val="false"/>
                <w:smallCaps w:val="false"/>
                <w:sz w:val="20"/>
              </w:rPr>
              <w:t>In April 2022, we launched Youdao Smart Light, an eye-protection desk lamp with interactive, AI-enabled features. Powered by the industry-first desktop-centric learning analysis engine, our Youdao Smart Light can analyze users’ hand or body movements on the desktop to enable a variety of functionalities, such as fingertip word search, sentence intensive reading, and other AI-driven functions. Youdao Smart Light is also able to adaptively adjust the brightness and the color temperature of the light for different learning environments, which is designed to better protect users’ vision and health.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Youdao Pocket Translator.</w:t>
            </w:r>
            <w:r>
              <w:rPr>
                <w:caps w:val="false"/>
                <w:smallCaps w:val="false"/>
              </w:rPr>
              <w:t xml:space="preserve"> </w:t>
            </w:r>
            <w:r>
              <w:rPr>
                <w:rFonts w:ascii="Times New Roman;Times;serif" w:hAnsi="Times New Roman;Times;serif"/>
                <w:b w:val="false"/>
                <w:i w:val="false"/>
                <w:caps w:val="false"/>
                <w:smallCaps w:val="false"/>
                <w:sz w:val="20"/>
              </w:rPr>
              <w:t>In November 2017, we launched Youdao Pocket Translator, a pocket-size smart gadget supporting the instant translation of multiple languages to mainly address translation needs while traveling. Leveraging our ASR, OCR and NMT technologies, Youdao Pocket Translator helps to translate speech and texts in images in real time. The latest version of Youdao Pocket Translator supports translation of 107 languages and offers a variety of new functions, such as word memory and pronunciation correction.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Youdao Super Dictionary. </w:t>
            </w:r>
            <w:r>
              <w:rPr>
                <w:rFonts w:ascii="Times New Roman;Times;serif" w:hAnsi="Times New Roman;Times;serif"/>
                <w:b w:val="false"/>
                <w:i w:val="false"/>
                <w:caps w:val="false"/>
                <w:smallCaps w:val="false"/>
                <w:sz w:val="20"/>
              </w:rPr>
              <w:t>Youdao Super Dictionary is an end-to-end translation tool with polysemy recognition and translation capability. It provides smart, real-time voice translation between any two of the 42 supported languages used in over 200 different countries and regions. Youdao Super Dictionary includes professional vocabulary coverage in diversified subjects such as healthcare, IT, finance, legal, sports and energy. It also offers offline translation between English and Chinese.</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Education Digitalization Solutions</w:t>
      </w:r>
      <w:r>
        <w:rPr>
          <w:rFonts w:ascii="Times New Roman;Times;serif" w:hAnsi="Times New Roman;Times;serif"/>
          <w:sz w:val="20"/>
        </w:rPr>
        <w:t xml:space="preserve">. Our education digitalization solutions business currently include technologies and solutions licensed to schools or enterprise customers, such as </w:t>
      </w:r>
      <w:r>
        <w:rPr>
          <w:rFonts w:ascii="Times New Roman;Times;serif" w:hAnsi="Times New Roman;Times;serif"/>
          <w:i/>
          <w:sz w:val="20"/>
        </w:rPr>
        <w:t>Youdao Smart Learning Terminal, Youdao Smart Cloud</w:t>
      </w:r>
      <w:r>
        <w:rPr>
          <w:rFonts w:ascii="Times New Roman;Times;serif" w:hAnsi="Times New Roman;Times;serif"/>
          <w:sz w:val="20"/>
        </w:rPr>
        <w:t xml:space="preserve"> and </w:t>
      </w:r>
      <w:r>
        <w:rPr>
          <w:rFonts w:ascii="Times New Roman;Times;serif" w:hAnsi="Times New Roman;Times;serif"/>
          <w:i/>
          <w:sz w:val="20"/>
        </w:rPr>
        <w:t>Youdao Sports</w:t>
      </w:r>
      <w:r>
        <w:rPr>
          <w:rFonts w:ascii="Times New Roman;Times;serif" w:hAnsi="Times New Roman;Times;serif"/>
          <w:sz w:val="20"/>
        </w:rPr>
        <w:t>. Youdao Smart Learning Terminal is a device that automates paper-based homework processing and provides learning diagnosis through AI technology at schools. Youdao Smart Cloud is a cloud-based platform that allows third-party app developers, smart device brands and manufacturers to access our advanced OCR capabilities and NMT engine and incorporate them into their apps, devices and services through application programming interfaces. Youdao Sports is a sports-centric educational system that collects, processes and analyzes students’ on-campus exercise data points, leveraging our proprietary visual recognition technology.</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Technology-driven Learning Experience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integrate technologies into every major aspect of the learning and teaching process to ensure a superb learning experience across Youdao’s products and services. Over the years, we have built proprietary OCR, NMT, language data mining and voice recognition technologies and data analytics that serve as the foundation to our products and services. Such technologies are iteratively refined based on the vast data generated by our users.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Online Music Platform – Cloud Music</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Cloud Music’s Products and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founded Cloud Music in 2013 and launched the iconic cornerstone product, </w:t>
      </w:r>
      <w:r>
        <w:rPr>
          <w:rFonts w:ascii="Times New Roman;Times;serif" w:hAnsi="Times New Roman;Times;serif"/>
          <w:i/>
          <w:sz w:val="20"/>
        </w:rPr>
        <w:t>NetEase Cloud Music</w:t>
      </w:r>
      <w:r>
        <w:rPr>
          <w:rFonts w:ascii="Times New Roman;Times;serif" w:hAnsi="Times New Roman;Times;serif"/>
          <w:sz w:val="20"/>
        </w:rPr>
        <w:t xml:space="preserve">, in the same year. Cloud Music experienced rapid growth since its founding and completed its public listing on the Hong Kong Stock Exchange in December 2021.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Over the years, Cloud Music has built a large-scale, robust and rapidly growing business to provide community-centric online music services and social entertainment services to users. Leveraging </w:t>
      </w:r>
      <w:r>
        <w:rPr>
          <w:rFonts w:ascii="Times New Roman;Times;serif" w:hAnsi="Times New Roman;Times;serif"/>
          <w:i/>
          <w:sz w:val="20"/>
        </w:rPr>
        <w:t>NetEase Cloud Music</w:t>
      </w:r>
      <w:r>
        <w:rPr>
          <w:rFonts w:ascii="Times New Roman;Times;serif" w:hAnsi="Times New Roman;Times;serif"/>
          <w:sz w:val="20"/>
        </w:rPr>
        <w:t xml:space="preserve">, and ancillary, social entertainment products, it empowers music enthusiasts with a wide variety of technology-driven tools to discover, enjoy, share and create diverse music and music-inspired content and to interact with each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Cloud Music generates the majority of the revenue from its music platform through the sales of membership subscriptions for its online music services and sales of virtual items for its social entertainment services. To diversify its revenue streams, Cloud Music has also been actively developing other monetization channels, such as the provisioning of advertising services, sales of digital albums and songs, copyright sublicensing and music-inspired services. </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Online Music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Cloud Music provides a number of membership subscription packages for users to enjoy high-quality streaming access to our catalogue of music tracks and provide users with services that allow them to purchase access to certain new digital music albums and singles. In addition, Cloud Music offers advertising services for both brand advertisers and performance-based advertisers and sublicense certain of its licensed music content to other parties, including other online music platforms. The MAUs of </w:t>
      </w:r>
      <w:r>
        <w:rPr>
          <w:rFonts w:ascii="Times New Roman;Times;serif" w:hAnsi="Times New Roman;Times;serif"/>
          <w:i/>
          <w:sz w:val="20"/>
        </w:rPr>
        <w:t>NetEase Cloud Music</w:t>
      </w:r>
      <w:r>
        <w:rPr>
          <w:rFonts w:ascii="Times New Roman;Times;serif" w:hAnsi="Times New Roman;Times;serif"/>
          <w:sz w:val="20"/>
        </w:rPr>
        <w:t xml:space="preserve"> was 189.4 million in 2022.</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Social Entertainment Services and 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the size and engagement level of its online music services’ user base continues to grow, Cloud Music strives to provide more music-inspired social entertainment services to them, which primarily include its live streaming app </w:t>
      </w:r>
      <w:r>
        <w:rPr>
          <w:rFonts w:ascii="Times New Roman;Times;serif" w:hAnsi="Times New Roman;Times;serif"/>
          <w:i/>
          <w:sz w:val="20"/>
        </w:rPr>
        <w:t>Look</w:t>
      </w:r>
      <w:r>
        <w:rPr>
          <w:rFonts w:ascii="Times New Roman;Times;serif" w:hAnsi="Times New Roman;Times;serif"/>
          <w:sz w:val="20"/>
        </w:rPr>
        <w:t xml:space="preserve"> launched in the second half of 2018. Cloud Music generates revenue from live streaming services primarily from sales of virtual items. Users purchase virtual items to gift to live streaming performers as a way for them to show support and appreciation for their performance. Cloud Music also generates revenue from providing membership and value-added services on its social networking platforms. Other revenue sources primarily include movie soundtrack production and ticketing services for offline music events.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Technological-driven Music Experience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needs to ensure that it can deliver a satisfying music experience consistently at scale by continuously innovating and improving its platform and investing in research and development. Our advanced data analytics and other capabilities lay the foundation for the platform’s personalized content recommendations, assisted content creation, interactive social functions and other powerful features that optimize the user experience and realize the unique value of our diverse content. For example, our NetEase Music Audio Lab developed an audio melody extraction solution that broke three world records at the Music Information Retrieval Evaluation eXchange (“MIREX”) in 2020. In addition, with its strong music recognition ability, the lab’s “robust fingerprinting algorithm” achieved the second-best performance in the task of “audio fingerprinting” since MIREX launched this competition in 2014, representing a significant improvement in recognition rate.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Innovative Business and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our innovative businesses and others revenues primarily from Yanxuan, advertising services, premium e-mail and other value-added services.</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Yanxuan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Yanxuan, our private label consumer lifestyle brand, was established in 2016. Starting with the development of a well-designed towel, Yanxuan has always focused on optimizing the user experience of its products and improving the lives of consumers in China through simple, practical, comfortable and elegant designs. Over the past seven years, Yanxuan has gradually developed from a shopping platform favored by the new generation of middle-class families in China to a lifestyle brand favored by younger generations from all walks of life.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Yanxuan offers products in a wide range of categories, including home life, clothing, shoes, bags, gourmet food, drinks, pet food and supplies, personal care and cleaning products, among others. Yanxuan pursues the brand concept of “thoughtfully curated products for mindful moments,” which is an extension of NetEase’s overall “user-first” attitude towards its services and products. Yanxuan continuously evaluates the needs and wants of its users and searches around the world to identify and cooperate with the best suppliers available. By better understanding customers’ needs and participating in the production process, Yanxuan can provide customers with competitive prices, excellent quality and quality customer service.</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Other Innovative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offer a wide range of other innovative services, including our (i) www.163.com portal and related mobile app, </w:t>
      </w:r>
      <w:r>
        <w:rPr>
          <w:rFonts w:ascii="Times New Roman;Times;serif" w:hAnsi="Times New Roman;Times;serif"/>
          <w:i/>
          <w:sz w:val="20"/>
        </w:rPr>
        <w:t>Wangyi Xinwen</w:t>
      </w:r>
      <w:r>
        <w:rPr>
          <w:rFonts w:ascii="Times New Roman;Times;serif" w:hAnsi="Times New Roman;Times;serif"/>
          <w:sz w:val="20"/>
        </w:rPr>
        <w:t>, which deliver quality information such as news, sports events, technology, fashion trends and online entertainment to our users and generate revenues mainly from online advertising services, (ii) NetEase Pay, an online payment platform, (iii) NetEase Mail, China’s leading email service provider since 1997, through which we provide free and fee-based email services, and (iv) certain other services, such as customized B-to-B technology services and e-reading services.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TECHNOLOGIES AND IT INFRASTRUCTURE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one of the inaugural classes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core proprietary technologies, we deliver engaging content and services that are highly individualized and personalized across our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Machine Learning and Other Advanced Technologies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machine learning and other advanced technologies enable us to effectively process data generated from across our services and products, optimize recommendations, personalize offerings and predict user behavior. Our key capabilities include:</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Advanced technologies focusing on user experience</w:t>
            </w:r>
            <w:r>
              <w:rPr>
                <w:rFonts w:ascii="Times New Roman;Times;serif" w:hAnsi="Times New Roman;Times;serif"/>
                <w:b w:val="false"/>
                <w:i w:val="false"/>
                <w:caps w:val="false"/>
                <w:smallCaps w:val="false"/>
                <w:sz w:val="20"/>
              </w:rPr>
              <w:t xml:space="preserve">: We have developed advanced technologies such as natural language processing, automatic speech recognition (ASR) and text-to-speech (TTS) technologies that enable us to deliver an enjoyable and effective user experience.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Machine learning-powered applications, such as content recommendation and customization</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We have developed and adapt machine learning and related technologies in content recommendation and customization, which enables us to achieve greater user engagement and stickiness.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Big-Data Analytics</w:t>
      </w:r>
      <w:r>
        <w:rPr>
          <w:rFonts w:ascii="Times New Roman;Times;serif" w:hAnsi="Times New Roman;Times;serif"/>
          <w:sz w:val="20"/>
        </w:rPr>
        <w:t xml:space="preserv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take a holistic approach to big data innovation, with a focus on gaining deeper understanding of our users in order to provide better services, products and experience. Our platform adopts a service-oriented architecture that allows easy up-scaling and frequent upgrading of the products based on our data analytics capabilities, which mainly include:</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Scale</w:t>
            </w:r>
            <w:r>
              <w:rPr>
                <w:rFonts w:ascii="Times New Roman;Times;serif" w:hAnsi="Times New Roman;Times;serif"/>
                <w:b w:val="false"/>
                <w:i w:val="false"/>
                <w:caps w:val="false"/>
                <w:smallCaps w:val="false"/>
                <w:sz w:val="20"/>
              </w:rPr>
              <w:t>: We have accumulated a massive user base and vast and complex user data across our services and products. We maintain a high standard of data protection and privacy while productively using our data to inform our business operations and development.</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High-value data</w:t>
            </w:r>
            <w:r>
              <w:rPr>
                <w:rFonts w:ascii="Times New Roman;Times;serif" w:hAnsi="Times New Roman;Times;serif"/>
                <w:b w:val="false"/>
                <w:i w:val="false"/>
                <w:caps w:val="false"/>
                <w:smallCaps w:val="false"/>
                <w:sz w:val="20"/>
              </w:rPr>
              <w:t>: Content, relationships and behavioral data based on user activities and interactions enable us to create more accurate user profiles. Based on this data, we can be more intuitive and comprehensive in reflecting user interests and preferences and provide valuable user reference data for a wide spectrum of R&amp;D, marketing, user engagement and other strategic initiatives.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Advanced data analytical technology</w:t>
            </w:r>
            <w:r>
              <w:rPr>
                <w:rFonts w:ascii="Times New Roman;Times;serif" w:hAnsi="Times New Roman;Times;serif"/>
                <w:b w:val="false"/>
                <w:i w:val="false"/>
                <w:caps w:val="false"/>
                <w:smallCaps w:val="false"/>
                <w:sz w:val="20"/>
              </w:rPr>
              <w:t>: Our big data analytical capability enables comprehensive analysis of services and products offered and timely adjustments.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Graphics, Augmented Reality and Virtual Reality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numerous technologies to create immersive and effective entertainment and learning experiences. In addition to creating quality 3D game graphics and automatic scene generations in games, we have launched our virtual reality games to offer game players a lifelike, free and dynamic open world game experience. Outside of games, Cloud Music has also leveraged augmented reality in its marketing and user engagement activities.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 Infrastructure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China Telecom’s affiliates, China Unicom’s affiliates and China Mobile’s affiliates. As of December 31, 2022, there were approximately 141,000 of such co-located servers using leased dedicated lines mainly from various affiliates of China Telecom, China Unicom and China Mobile. We also utilize certain cloud-based servers maintained by third parties such as Amazon.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developed our own systems to facilitate sales planning, targeting, trafficking, inventory management and reporting tools, such as advertisement tracking systems for our advertising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SALES AND MARKETING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networking, video and live streaming platforms, TV, movie and stage production companies as well as book and comic publishers to extend our brand to a broader potential user group. </w:t>
      </w:r>
    </w:p>
    <w:p>
      <w:pPr>
        <w:pStyle w:val="TextBody"/>
        <w:spacing w:before="0" w:after="240"/>
        <w:ind w:left="720" w:right="0" w:hanging="0"/>
        <w:jc w:val="both"/>
        <w:rPr>
          <w:rFonts w:ascii="Times New Roman;Times;serif" w:hAnsi="Times New Roman;Times;serif"/>
          <w:b/>
          <w:sz w:val="20"/>
        </w:rPr>
      </w:pPr>
      <w:r>
        <w:rPr>
          <w:rFonts w:ascii="Times New Roman;Times;serif" w:hAnsi="Times New Roman;Times;serif"/>
          <w:b/>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and related value-added services in collaboration with online and offline third-party promoters.</w:t>
      </w:r>
    </w:p>
    <w:p>
      <w:pPr>
        <w:pStyle w:val="TextBody"/>
        <w:spacing w:before="0" w:after="240"/>
        <w:ind w:left="720" w:right="0" w:hanging="0"/>
        <w:jc w:val="both"/>
        <w:rPr>
          <w:rFonts w:ascii="Times New Roman;Times;serif" w:hAnsi="Times New Roman;Times;serif"/>
          <w:b/>
          <w:sz w:val="20"/>
        </w:rPr>
      </w:pPr>
      <w:r>
        <w:rPr>
          <w:rFonts w:ascii="Times New Roman;Times;serif" w:hAnsi="Times New Roman;Times;serif"/>
          <w:b/>
          <w:sz w:val="20"/>
        </w:rPr>
        <w:t xml:space="preserve">Youdao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Youdao generates user traffic and leads primarily from online channels.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networking platforms, as well as through optimization techniques designed to improve its ranking in popular search engines’ results. Youdao also engages in offline marketing and branding to supplement its overall sales and marketing strategies. </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Cloud 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primarily relies on word-of-mouth referrals and benefits from its high-quality music content, social networking functions and strong brands to attract users to its platforms. Besides word-of-mouth, Cloud Music engages in various marketing and promotional initiatives to promote its brand and increase its user base, including, for example, by partnering with key opinion leaders, holding various marketing campaigns and implementing new technologies and introduce new features to improve user experience.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0"/>
        </w:rPr>
        <w:t>Innovative</w:t>
      </w:r>
      <w:r>
        <w:rPr>
          <w:rFonts w:ascii="Times New Roman;Times;serif" w:hAnsi="Times New Roman;Times;serif"/>
          <w:sz w:val="20"/>
        </w:rPr>
        <w:t xml:space="preserve"> </w:t>
      </w:r>
      <w:r>
        <w:rPr>
          <w:rFonts w:ascii="Times New Roman;Times;serif" w:hAnsi="Times New Roman;Times;serif"/>
          <w:b/>
          <w:sz w:val="20"/>
        </w:rPr>
        <w:t>Businesses and 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our NetEase Pay. We attract users through a variety of channels, such as our sponsored searches, social and online advertising, internet video and television advertising and other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INTELLECTUAL PROPERTY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United States, the European Union, the Republic of Korea, Japan, the UK, Thailand and other jurisdictions.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music platform, hardware products, cloud technology, augmented reality technology, audio/video technology, computer technology and e-mail from the National Intellectual Property Administration of China, as well as Certificates of Utility Patent and Certificates of Design Patent in the United States, Europe and Japan.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Moreover, Youdao owns the intellectual property relating to in-house developed content used on its platform and the registrations of the core trademarks “Youdao.” Cloud Music owns the intellectual properties relating to </w:t>
      </w:r>
      <w:r>
        <w:rPr>
          <w:rFonts w:ascii="Times New Roman;Times;serif" w:hAnsi="Times New Roman;Times;serif"/>
          <w:i/>
          <w:sz w:val="20"/>
        </w:rPr>
        <w:t>NetEase Cloud Music</w:t>
      </w:r>
      <w:r>
        <w:rPr>
          <w:rFonts w:ascii="Times New Roman;Times;serif" w:hAnsi="Times New Roman;Times;serif"/>
          <w:sz w:val="20"/>
        </w:rPr>
        <w:t xml:space="preserve"> and the registrations of the core trademarks “Cloud Music.” We also own the intellectual property (other than the content) relating to the NetEase websites and other online and mobile platforms, and the technology that enables online community, personalization, online games, news sharing, instant messaging, video streaming, e-commerce and other services on those platforms. We license content from various freelance providers and other content providers.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actively take steps to protect our proprietary rights, such steps may not be adequate to prevent the infringement or misappropriation of our intellectual property. See Item 3.D. “Key Information—Risk Factors—Risks Related to Doing Business in China—We may not be able to adequately protect our intellectual property and we may be exposed to infringement claims by third parties.”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COMPETITION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competition primarily comes from global online game developers and operators, such as Tencent, established online and offline education service and/or product providers in China, as well as leading digital content and entertainment providers. Some of our current and potential competitors are larger than we are, and currently offer, and could further develop or acquire, content and services that compete with us. The areas in which we compete primarily include: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User traffic, time and spending</w:t>
      </w:r>
      <w:r>
        <w:rPr>
          <w:rFonts w:ascii="Times New Roman;Times;serif" w:hAnsi="Times New Roman;Times;serif"/>
          <w:sz w:val="20"/>
        </w:rPr>
        <w:t xml:space="preserve">. We compete to attract, engage and retain users based on the </w:t>
      </w:r>
      <w:r>
        <w:rPr>
          <w:rFonts w:ascii="Times New Roman;Times;serif" w:hAnsi="Times New Roman;Times;serif"/>
          <w:sz w:val="20"/>
          <w:highlight w:val="white"/>
        </w:rPr>
        <w:t xml:space="preserve">design, quality, popularity and efficacy of our content offerings, </w:t>
      </w:r>
      <w:r>
        <w:rPr>
          <w:rFonts w:ascii="Times New Roman;Times;serif" w:hAnsi="Times New Roman;Times;serif"/>
          <w:sz w:val="20"/>
        </w:rPr>
        <w:t>the overall user experience of our products and services, as well as the effectiveness of our marketing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Talent</w:t>
      </w:r>
      <w:r>
        <w:rPr>
          <w:rFonts w:ascii="Times New Roman;Times;serif" w:hAnsi="Times New Roman;Times;serif"/>
          <w:sz w:val="20"/>
        </w:rPr>
        <w:t>. We compete for motivated and capable talent, including engineers, game designers, product developers and creative professionals to build compelling content, tools and functions.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Global collaboration opportunities</w:t>
      </w:r>
      <w:r>
        <w:rPr>
          <w:rFonts w:ascii="Times New Roman;Times;serif" w:hAnsi="Times New Roman;Times;serif"/>
          <w:sz w:val="20"/>
        </w:rPr>
        <w:t xml:space="preserve">. We compete to win collaboration relationships with well-known global IP and content owners based on our level of expertise in systematically developing in-house developed games, delivering a compelling user experience through operational knowhow and customizing established game titles for rapid expansion into overseas markets.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be able to compete successfully against our current or future competitors or that competition will not have a material adverse effect on our business, results of operations and financial condition.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CORPORATE SOCIAL RESPONSIBILITY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founding, we have been committed to realizing the values of creating corporate social responsibility (CSR), striving to contribute to communities and operating in a sustainable way. We aim to improve people’s lives with digital technologies and make positive contributions to material social issues, such as education inequity, disaster recovery, workplace equality and diversity and green and low-carbon development.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focused on reducing education inequity and have launched several initiatives for that purpose. For example, in 2018, we launched the “One Screen” program, aiming to promote the equitable distribution of educational resources and stimulating balanced development among students from different regions. As of the end of 2022, we have donated teaching resources to more than 300 schools across six provinces (Sichuan Province, Gansu Province, Yunnan Province and Guizhou Province, Hunan Province and Chongqing), and nearly 200,000 teachers and students directly benefited from this project. Moreover, in 2022, Cloud Music together and NetEase Public Welfare and The Little Snail Library jointly launched the “Rap Dream Maker” public welfare campaign to bring rap music to rural children and help them realize their music dreams. In this event, we recorded lectures for children on how to make rap music, which have now been delivered to a total of 66 rural schools across Zhejiang Province, Sichuan Province and Inner Mongolia Autonomous Region, and have been viewed by more than 20,000 students.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provide swift and impactful aid to victims of nature disasters. In September 2022, a magnitude 6.8 earthquake struck Luding County, Ganzi, Sichuan Province, and affected lives of millions of people in the region. Zhejiang NetEase Charity Foundation donated RMB1 million cash and RMB500,000 worth of emergency supplies to help the earthquake victims living through the hardship and to assist them in the post-disaster reconstruction.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always adhered to the vision of improving society and have conducted a series of related projects to empower county-level entrepreneurship and innovation. We helped grow the cultural tourism industry in various provinces by fusing their local cultures and commodities with new digital technologies. With Yanxuan, our e-commerce platform, we have assisted local artisans and farmers to sell their products to customers that they had never reached before.  We also helped farmers and small to medium-sized enterprises in rural areas to establish their brands or upgrade their existing brands in an effort to revitalize the rural China. Moreover, the players in our games have contributed to advance the vision of social improvement. For example, we connected players on the mobile version of </w:t>
      </w:r>
      <w:r>
        <w:rPr>
          <w:rFonts w:ascii="Times New Roman;Times;serif" w:hAnsi="Times New Roman;Times;serif"/>
          <w:i/>
          <w:sz w:val="20"/>
        </w:rPr>
        <w:t>New Ghost</w:t>
      </w:r>
      <w:r>
        <w:rPr>
          <w:rFonts w:ascii="Times New Roman;Times;serif" w:hAnsi="Times New Roman;Times;serif"/>
          <w:sz w:val="20"/>
        </w:rPr>
        <w:t xml:space="preserve">, and with their help, we built roads for children in Malong village, a region in Yunnan Province with poor transportation access. We have also launched a long-term public welfare activity “World for all” through our </w:t>
      </w:r>
      <w:r>
        <w:rPr>
          <w:rFonts w:ascii="Times New Roman;Times;serif" w:hAnsi="Times New Roman;Times;serif"/>
          <w:i/>
          <w:sz w:val="20"/>
        </w:rPr>
        <w:t>Tianxia</w:t>
      </w:r>
      <w:r>
        <w:rPr>
          <w:rFonts w:ascii="Times New Roman;Times;serif" w:hAnsi="Times New Roman;Times;serif"/>
          <w:sz w:val="20"/>
        </w:rPr>
        <w:t xml:space="preserve"> game, donating winter clothing for children in rural elementary schools. During the Spring Festival in 2022, </w:t>
      </w:r>
      <w:r>
        <w:rPr>
          <w:rFonts w:ascii="Times New Roman;Times;serif" w:hAnsi="Times New Roman;Times;serif"/>
          <w:i/>
          <w:sz w:val="20"/>
        </w:rPr>
        <w:t>Tianxia</w:t>
      </w:r>
      <w:r>
        <w:rPr>
          <w:rFonts w:ascii="Times New Roman;Times;serif" w:hAnsi="Times New Roman;Times;serif"/>
          <w:sz w:val="20"/>
        </w:rPr>
        <w:t xml:space="preserve"> also cooperated with the public welfare organization Baby Come Home to continuously display information on lost children in the game during the peak hours of 10 p.m. to 12 p.m. every night.  Furthermore, in cooperation with the Blue Sky Rescue Team, our game </w:t>
      </w:r>
      <w:r>
        <w:rPr>
          <w:rFonts w:ascii="Times New Roman;Times;serif" w:hAnsi="Times New Roman;Times;serif"/>
          <w:i/>
          <w:sz w:val="20"/>
        </w:rPr>
        <w:t>All About Jianghu</w:t>
      </w:r>
      <w:r>
        <w:rPr>
          <w:rFonts w:ascii="Times New Roman;Times;serif" w:hAnsi="Times New Roman;Times;serif"/>
          <w:sz w:val="20"/>
        </w:rPr>
        <w:t xml:space="preserve"> donated and built 50 solar-powered street lights for the Shuitang Village, an impoverished region in Guizhou Province.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adhere to our commitment to equality and diversity in our recruitment and career development policies. We won the 2022 SHL China Talent Management Practice Award for Best Recruitment Practices. In February 2023, we were also named as a member of 2023 Bloomberg Gender-Equality Index, which comprises 484 companies that are committed to gender equality in the workplace. We feel deeply honored to have received this recognition. We understand the importance and value in having a diversified workforce and currently recruit talent from more than 40 countries and regions worldwide, including the United States, Japan, South Korea and Canada. We have built a multidimensional talent training and development system to help employees succeed in their areas of expertise and achieve career advancement.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Given that the majority of our operations are conducted online, our impact on the environment is limited. We deployed carbon mitigation measures to reduce our carbon footprint and will continue to explore ways to further improve energy efficiency. We intentionally choose partners with a strong commitment to carbon emission reduction in our collaboration with third-party cloud servers. Moreover, we also spread green and environment-friendly concepts to the public through interesting ways. All of the servers we use meet the criteria for energy efficiency of the Chinese mainland, and we launched a series of activities with the theme of the ecology for the special festival “Earth Day” in our game </w:t>
      </w:r>
      <w:r>
        <w:rPr>
          <w:rFonts w:ascii="Times New Roman;Times;serif" w:hAnsi="Times New Roman;Times;serif"/>
          <w:i/>
          <w:sz w:val="20"/>
        </w:rPr>
        <w:t>Infinite Lagrange</w:t>
      </w:r>
      <w:r>
        <w:rPr>
          <w:rFonts w:ascii="Times New Roman;Times;serif" w:hAnsi="Times New Roman;Times;serif"/>
          <w:sz w:val="20"/>
        </w:rPr>
        <w:t>, cooperated with the China Green Foundation’s Million Forest Project to encourage players to practice and share environmental protection actions in their daily lives and donated 10,000 saplings for reforestation in the Alashan region.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 MANAGEMENT AND INTERNAL CONTROL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and implemented comprehensive risk management policies in various aspects of our business operations, such as financial reporting, information system, internal control, human resources and investment management.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Reporting Risk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Information System Risk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Sufficient maintenance, storage and protection of user data and other related information is critical to our business. We have implemented various internal procedures and controls to ensure that user data is protected and that leakage and loss of such data is avoided.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it is crucial that our users understand how we handle their information so that they can make informed choices in deciding how such information is used and shared. To this end, we collect personal information and data from users only with their prior consent, and we offer our users opt-out or opt-in options. We have established and implemented a strict companywide policy on data collection, usage, disclosure, transfer and storage. In accordance with our policy, we are required to go through the following procedures: (i) providing notice to users as to why and how their data is being collected and used; (ii) providing users with the choice to opt-out or opt-in; (iii) making continuous efforts to prevent loss or leakage of user data; and (iv) providing users with access to their own personal information collected by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a network of process and software controls to protect individual personal information and privacy. We encrypt user data in network transmission. For back-end storage, we also use various encryption technologies at software and hardware levels to protect sensitive user data. To minimize the risk of data loss or leakage, we conduct regular data backup and data recovery tests.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prioritize user data security and privacy by strictly following our defined policy. We have obtained the certificates of ISO 27001 and filing certificates of multi-level protection scheme (MLPS) for some of our entities and products. We have established a coordination mechanism with third-party agencies to handle information security threats in a timely manner.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At the enterprise level, we established a systematic and universal user account authorization and management mechanism based on which we periodically review the status of user accounts and the related authorization information. We regularly perform security configuration assessment on our databases and servers and implement procedures for system log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put in place a series of back-up management procedures. We deploy different back-up mechanisms, including local back-ups and remote back-ups, depending on the needs of our business, to minimize the risk of user data loss or leakage. We have also established protocols for the design, implementation and monitoring of remote back-ups. We also require any access to or processing of user data to go through strict assessment and approval procedures in order to ensure that only valid and legitimate requests are executed.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information security training to our employees and conduct ongoing trainings, and we discuss any issues or necessary updates from time to time. We also have an emergency response mechanism to evaluate critical risks, formulate disaster response plans and perform emergency drills on a regular basis. In addition, each of our business units is responsible for ensuring that the usage, maintenance and protection of user data are in compliance with our internal information security policy and the applicable laws and regulations.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Internal Control Risk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designed and adopted strict internal procedures to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the NetEase group.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continually review the implementation of our risk management policies and measures to ensure our policies and implementation are effective and sufficient.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Human Resources Risk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regular and specialized training tailored to: (a) the needs of our employees in different departments, and (b) our anti-bribery &amp; corruption policy. We regularly organize internal training sessions conducted by senior employees or outside consultants.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an employee handbook and a code of conduct approved by our management and have distributed them to all our employees. The handbook contains internal rules and guidelines regarding work ethics, fraud prevention mechanisms, negligence and corruption. We provide employees with regular training as well as resources to explain the guidelines contained in the employee handbook.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an anti-bribery and corruption policy to safeguard against any corruption within the NetEase group. The policy explains potential bribery and corruption conduct and our anti-bribery and corruption measures. We make our internal reporting channel open and available for our staff to report any bribery and corruption acts, and our staff can also make anonymous reports to our ethics committee. Our ethics committee is responsible for investigating the reported incidents and taking appropriate measures.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Investment Risk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invest in or acquire businesses that are complementary to our business, such as businesses that can expand the services we offer and strengthen our R&amp;D capabilities.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we intend to hold our investments for the long term. In order to protect our interests as shareholders and control the potential risks associated with our investments, we generally request our investee companies to grant us customary investor protective rights.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finance department monitors the deal performance on a regular basis. Our finance and legal departments cooperate with deal team on deal analysis, communication, execution, risk control and reporting. Any material factors will be timely reported to the senior management or board of director for further decision.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Audit Committee Experience and Qualification and Board Oversight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an audit committee to monitor the implementation of our risk management policies across the NetEase group on an ongoing basis to ensure that our internal control system is effective in identifying, managing and mitigating risks involved in our business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consists of three members, namely Grace Hui Tang, Alice Cheng and Joseph Tong, all of whom are independent non-executive directors. Grace Hui Tang is the chairperson of the audit committee. For the professional qualifications and experiences of the members of our audit committee, see “Directors and Senior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maintain internal control and audit departments which are responsible for reviewing the effectiveness of internal controls and reporting to the audit committee and senior management on any issues identified. Our internal control and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Ongoing Measures to Monitor the Implementation of Risk Management Policies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 committee, internal audit department and senior management together monitor the implementation of our risk management policies on an ongoing basis to ensure our policies and implementation are effective and sufficient.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INSURANCE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our insurance coverage to be adequate as 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line with general market practice, we do not maintain any business interruption insurance or product liability insurance, which are not mandatory under PRC laws. We do not maintain key person life insurance, insurance policies covering damages to our network infrastructures or information technology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In 2022, we did not make any material insurance claims in relation to our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PERMISSIONS REQUIRED FROM THE PRC AUTHORITIES FOR OUR OPERATIONS AND OFFERINGS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China mainland subsidiaries and the VIEs have obtained the requisite licenses and permits from the PRC government authorities that are necessary for their material business operations in China, except for our Online Publishing Service License which we are in the process of renewing as disclosed in Item 3.D. “Key Information—Risk Factors—Risks Related to Our Games and Related Value-added Services—Any difficulties or delays in receiving approval from the relevant government authorities for our new games or new expansion packs for, or material changes to, our existing games could adversely affect such games’ popularity and profitability,” Such licenses and permits include, among others, Value-added Telecommunications Business Operating License, Online Publishing Service License, Internet Audiovisual Program Services License, Internet Cultural Business License, and Commercial Performance License. If we or any of the VIEs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Given the uncertainties of interpretation and implementation of relevant laws and regulations and the enforcement practice by relevant government authorities, we may be required to obtain additional licenses, permits, filings, or approvals for our business operations in the future. For more detailed information, see Item 3.D. “Key Information—Risk Factors—Risks Related to Doing Business in China.”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our prior overseas offerings and listing status, as of the date of the filing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we are not required to obtain any permission from or complete any filing with CSRC or go through a cybersecurity review by the CAC to maintain our listing status, based on their consultation with competent government authorities.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Filing Rules, which will take effect on March 31, 2023. According to the Filing Rules, domestic companies in China mainland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Filing Rules. Therefore, we will be required to file with the CSRC for our overseas offering of equity and equity linked securities in the future within the applicable scope of the Filing Rules.  For more detailed information, see Item 3.D. “Key Information—Risk Factors—Risks Related to Our Business and Industry—The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GOVERNMENT REGULATIONS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Foreign Investment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 On October 26, 2022, MOFCOM and the NDRC released the Catalog of Industries for Encouraging Foreign Investment (2022 Version), which became effective on January 1, 2023, to replace the previous Encouraging Catalogue. On December 27, 2021, MOFCOM and the NDRC released the Special Management Measures (Negative List) for the Access of Foreign Investment (2021 Version), which became effective on January 1, 2022, to replace the previous 2020 Negative List. To comply with the above foreign investment restrictions and to obtain necessary licenses and permits in industries that are currently subject to foreign investment restrictions in China, we operate in China through the VIEs. See Item 4.B. “Information on the Company—Business Overview—Our Organizational Structure.” There remain substantial uncertainties with respect to the interpretation and application of existing or future PRC laws and regulations on foreign investment. See Item 3.D. “Key Information—Risk Factors—Risks Related to Our Corporate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Furthermore, the 2019 PRC Foreign Investment Law provides that foreign invested enterprises established according to the existing laws regulating foreign investment may maintain their structure and corporate governance for five years after the 2019 PRC Foreign Investment Law is implemented, which means that foreign invested enterprises may be required to adjust their structure and corporate governance after five years. For further details, please see Item 3.D. “Key Information—Risk Factors—Risks Related to Our Corporate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2019, the State Council promulgated the Implementation Rules to the Foreign Investment Law, which became effective on January 1, 2020, and repealed the Regulations on Implementing the Sino-Foreign Equity Joint Venture Enterprise Law of the PRC, the Provisional Regulations on the Duration of Sino-Foreign Equity Joint Venture, the Regulations on Implementing the Wholly Foreign-Invested Enterprise Law of the PRC, and the Regulations on Implementing the Sino-Foreign Cooperative Joint Venture Enterprise Law of the PRC. The implementation rules further clarified and elaborated on the relevant provisions of the 2019 PRC Foreign Investment Law. However, given that these implementation rules were enacted not long ago, a number of uncertainties still exist in relation to the interpretation and implementation of the 2019 PRC Foreign Investment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foreign-invested enterprise must submit the investment information to the competent commerce department for further handling.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Telecommunication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2000, China’s State Council promulgated the Telecommunications Regulations of the PRC (the “Telecom Regulations”), which was last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2015, MIIT issued the Telecommunication Services Classification Catalog (2015 Edition). 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(the “MIIT Measures 2017”), which became effective on September 1, 2017. The MIIT Measures 2017 require companies who are engaged in telecommunications businesses to have a Telecom Business License. However, the MIIT Measures 2017 removed the previous requirement to file trans-regional value-added telecommunications business permits.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2001, in order to comply with China’s commitments with respect to its entry into the WTO, the State Council promulgated the Regulation for the Administration of Foreign-Invested Telecommunications Enterprises (the “FITE Regulations”), which was last revised in March 2022 and came into effect on May 1, 2022.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However, the FITE Regulations do not define “online data processing and transaction processing (operating e-commerce) business,” and its interpretation and enforcement involve significant uncertainties.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Circular of the MII on Intensifying the Administration of Foreign Investment in Value-Added Telecommunication Services (the “2006 MII Circular”), was promulgated by MII on July 13, 2006. The 2006 MII Circular provides that: (i) any domain name used by a valued-added telecommunications service provider must be legally owned by the service provider or its shareholder(s); (ii) any trademark used by a value-added telecommunications service provider must be legally owned by the service provider or its shareholder(s); (iii) the operation site and facilities of a value-added telecommunications service provider must be installed within the scope prescribed by the operating licenses obtained by the service provider and must correspond to the value-added telecommunications services that the service provider has been approved to provide; and (iv) a value-added telecommunications service provider must establish or improve the measures of ensuring information security. Companies that have obtained operating licenses for value-added telecommunications services are required to conduct self-examination and self-correction according to the requirements above and report their results to MII. To comply with these requirements, Guangzhou NetEase submitted its self-correction report to MII in 2007 and the VIEs have registered the domain names used by them.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Internet Information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Measures for the Administration of Internet Information Services (the “ICP Measures”), issued by the State Council went into effect on September 25, 2000 and was revised on January 8, 2011. Under the ICP Measures, any entity that provides information to internet users must obtain an operating license from the MII, or its local branch at the provincial level in accordance with the Regulations on Telecommunication Services described above.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Provisional Regulations for the Administration of Website Operation of News Publications, which was jointly issued by the SCIO, and MII on November 6, 2000, stipulates that websites of non-news organizations shall not publish news items produced by themselves, and that their websites shall be approved by SCIO after securing permission from SCIO at the provincial level. On June 1, 2017, the latest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 On March 12, 2022, the NDRC and the MOFCOM jointly issued the Negative List for Market Access (2022 Edition), pursuant to which market entities are prohibited from illegally conducting news media related businesses. To be specific, non-public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 (vi) hold forum, summit or award selection activities in the field of news and public opinion. 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 On November 11, 2021, the MOCT issued the Provisions on Credit Management of the Culture and Tourism Market, which took effect on January 1, 2022. The Provisions on Credit Management of the Culture and Tourism Market establish and improve the system for the administration of the entities and persons in the cultural market, including those engaging in internet culture activities, that have seriously broken their trust, and specify the standards, identification procedures, administrative measures and remedies for such entities and persons.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SAPPRFT issued a Notice on Strengthening the Management of Live Streaming Service for the Network Audio-visual Programs in September 2016, pursuant to which an internet live streaming service provider shall: (i) provide necessary censorship on the content of live-streams; (ii) establish a mechanism to timely identify unlawful content, prevent any unlawful content from being distributed and replace the content with backup programs; and (iii) record live streaming programs and keep the records for at least 60 days. Shortly after this notice, in November 2016, the CAC promulgated the Administrative Provisions on Internet Live Streaming Services, pursuant to which an internet live streaming service provider shall: (i) establish a live streaming content review platform; (ii) require authentication for the registration of live streaming content providers; and (iii) enter into a service agreement with live streaming service users to specify each of the live streaming service user’s and the content provider’s rights and obligations.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2018, the CAC, together with the Ministry of Public Security,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Measures for the Administration of Internet E-mail Services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 Administration of Radio, Film and Television (the “SARFT”) and MII jointly issued the Regulations for the Administration of Internet Audiovisual Program Services (the “Audiovisual Regulations”) on December 20, 2007, which was revised on August 28, 2015 by the SAPPRFT. The Audiovisual Regulations require that online audio and video service providers obtain a permit from NRTA in accordance with the Audiovisual Regulations.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18, 2019, the CAC, the MOCT and the NRTA jointly issued the Promulgation of the Administrative Provisions on Online Audio and Video Information Services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Organizations and individuals are prohibited from utilizing online audio and video information services and the related information technology to carry out illegal activities that infringe upon the legitimate rights and interests of others.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23, 2015, the MOC issued its Notice on Further Strengthening and Improving the Management of Online Music. According to this notice, entities should examine and verify the content of online music by themselves, while the culture management administration should supervise compliance upon and following the content’s publication.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7, 2014, the CAC issued the Interim Provisions on Managing the Development of Public Information Services on Instant Messaging Tools (the “Instant Messaging Interim Provisions”), which stipulate that instant messaging tool service providers must enter into an agreement with their users during account registration to require them to abide by “Seven Principals,” including, without limitation, compliance with applicable laws and social ethics.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29, 2011, MIIT issued the Several Provisions on Regulating the Market Order for Internet Information Services (the “Market Order Provisions”). According to the provisions, internet information service providers (“IISP(s)”), are prohibited from a wide range of activities that would infringe upon the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users. In addition, IISPs are prohibited from collecting information that is related to users and can serve to identify users’ identities solely or in conjunction with other information without the users’ consent or providing other people with the information, unless otherwise permitted or required under Laws.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17, 2015, the National Copyright Administration of the People’s Republic of China issued the Circular on Regulating the Order of Internet Reproduction of Copyrighted Works. Under this circular, in order to reproduce the work of others, internet media companies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such companies must not make material alterations to the content of the work.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28, 2016, the CAC published the first regulation of mobile applications in the PRC, the Administrative Provisions on Information Services for Mobile Internet Applications (the “App Administrative Provisions”). On 14 June 2022, the CAC issued a revised version of the Administrative Provisions on Mobile Internet Application Information Services (the “APP Provisions”), which basically reflects the regulatory development since 2016 and further emphasizes that mobile internet app providers shall comply with the relevant provisions on the scope of necessary personal information when engaging in personal information processing activities. According to the APP Provisions, mobile internet app providers shall not compel users to agree to non-essential personal information collection out of any reason and are prohibited from banning users from their basic functional services due to the users’ refusal of providing non-essential personal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2019, the CAC issued the Provisions on the Ecological Governance of Network Information Content, which took effect on March 1, 2020. For the purpose of these provisions, the term “ecological governance of network information contents” refers to the relevant activities carried out by governments, enterprises, society, internet users and other parties to promote positive energy, and dispose of illegal and harmful information. According to these provisions, a network information content service platform has a duty to act as the information content administrator, to strengthen the ecological governance of the network information content on the platform and to promote the formation of positive cyber culture towards kindness. Network information content service platforms are required to set up the mechanism of ecological governance of the network information content, develop detailed rules for ecological governance of network information content on the platform, and improve the systems for user registration, account management, information release and examination, post and comments examination, ecological page management, real-time inspection, emergency response, and disposal of cyber rumors and black industry chain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15, 2021, the CAC issued the Opinions on Further Pushing Website Platforms to Fulfill Primary Responsibility for Information Content Management, effective on the same date, which urges website platforms to fulfill their primary responsibility for information content management and fully leverage the role of website platforms as the primary entity in charge of information content management. These opinions systematically set out the requirements for a website platform to engage in information content management, mainly covering ten specific topics: (i) clearly grasp the meaning of the primary responsibility which shall be borne by website platforms; (ii) improve the platform community rules; (iii) strengthen the standardized management of accounts; (iv) improve the content review mechanism; (v) improve the quality of information content; (vi) standardize the dissemination of information content; (vii) strengthen the management of key functions; (viii) insist on operating in compliance with laws and regulations; (ix) strictly protect minors on the internet; and (x) strengthen the construction of the personnel team. Besides, these opinions further put forward specific requirements for the website platform to perform the main responsibility.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31, 2021, the CAC and other three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within ten business days from the date of providing such services. Pursuant to the Administrative Provisions on Internet Information Service Algorithm Recommendation, algorithmic recommendation service providers are required to provide users with options that are not specific to their personal characteristics, or provide users with convenient options to cancel algorithmic recommendation services and shall not set up algorithm models against applicable laws, regulations and social norms, including without limitation inducing users to indulge or engage in excess consumption.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 2022, the Standing Committee of the National People’s Congress promulgated the Anti-Telecom and Online Fraud Law of PRC which became effective on December 1, 2022, which requires that, information service providers, among others, shall carry out publicity and education against telecom or online fraud to the public.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9, 2022, the CAC, MIIT and SAMR issued the Administrative Provisions on Internet Pop-up Window Information Push Services, which became effective on September 30, 2022. The “Internet Pop-up Window Information Push Services” provided in such provisions refers to the information push services provided to internet users in the form of pop-up message windows through operating systems, application software, websites, etc. The provisions require that providers of internet pop-up window information push services shall implement the responsibilities as subjects of information content management and establish and improve management systems for censoring of information content, ecological governance, data security and personal information protection, and protection of minors. And it is not allowed for any provider of internet pop-up window information push services, among others: (i) to push illegal and unhealthy information as provided by relevant laws; (ii) to carry out unreasonable different push services for ordinary users and member users, or interfere or affect users to close pop-up windows in any form; (iii) to make use of algorithms to paint portraits of minor users and push information that may affect their physical and mental health; (iv) to present such information as third-party links and QR codes leading and redirecting malicious traffic by way of pop-up information push services, or induce users to click through such services to falsify or hijack traffic.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16, 2022, the CAC issued the Administrative Provisions on Comment Threading Services on the Internet, effective on December 15, 2022, which grant CAC the responsibility for the supervision and administration of comment threading services nationwide. The “comment threading services” provided in such provisions refers to the services of threading text, symbols, expressions, pictures, audio and video and other information provided for the users by way of comments, replies, messages, bullet screens, likes, etc. According to the provisions, comment threading service providers shall strictly implement their primary responsibilities for the administration of comment threading services, and fulfill a series of duties, including, among others: (i) verifying the real identity information of the registered users according to the principles of “using real name at back end and using alias or real name voluntarily at front end;” (ii) establishing and improving a protection system for users’ personal information; (iii) establishing and improving a system of review and management of comments posted, real-time inspection, emergency response and reporting acceptance and other information security management systems, timely identifying and disposing of illegal and negative information, and reporting the same to the cyberspace administrations.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25, 2022, the CAC, MIIT and the Ministry of Public Security promulgated the Administrative Provisions for In-depth Integration as an Internet Information Service, which took effect on January 10, 2023. The “in-depth integrating technology” provided in such provisions refers to the technology to make text, graphics, radio, video, virtual scenes, among others, with the use of deep learning and virtual reality. The measures emphasize that the in-depth integrating services shall not be utilized for illegal activities prohibited by laws and regulations, and specifically, the related providers of such in-depth integrating services shall (i) establish and improve control systems in regards to user registration, algorithm review, technological ethic review, information public review, statistics security, personal information protection, anti-telecom and online fraud, emergency disposal, etc. and hold safe and controlled technical protection measures; (ii) formulate and publicize related management rules and platform pacts, improve service agreements, perform the management responsibilities in accordance with laws and agreements, and inform with explicit methods the technical supporters and users of the in-depth integration of their respective information safety obligations.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Information Security and Censorship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Regulations governing information security and censorship include:</w:t>
      </w:r>
    </w:p>
    <w:p>
      <w:pPr>
        <w:pStyle w:val="TextBody"/>
        <w:spacing w:before="0" w:after="240"/>
        <w:ind w:left="720" w:right="0" w:hanging="0"/>
        <w:jc w:val="both"/>
        <w:rPr/>
      </w:pPr>
      <w:r>
        <w:rPr/>
        <w:t>●</w:t>
      </w:r>
      <w:r>
        <w:rPr>
          <w:rFonts w:ascii="Times New Roman;Times;serif" w:hAnsi="Times New Roman;Times;serif"/>
          <w:sz w:val="20"/>
        </w:rPr>
        <w:t>The Law of the PRC on the Preservation of State Secrets (1988, revised in 2010) and its Implementation Rules (2014);</w:t>
      </w:r>
    </w:p>
    <w:p>
      <w:pPr>
        <w:pStyle w:val="TextBody"/>
        <w:spacing w:before="0" w:after="240"/>
        <w:ind w:left="720" w:right="0" w:hanging="0"/>
        <w:jc w:val="both"/>
        <w:rPr/>
      </w:pPr>
      <w:r>
        <w:rPr/>
        <w:t>●</w:t>
      </w:r>
      <w:r>
        <w:rPr>
          <w:rFonts w:ascii="Times New Roman;Times;serif" w:hAnsi="Times New Roman;Times;serif"/>
          <w:sz w:val="20"/>
        </w:rPr>
        <w:t>The Counter-espionage Law of the PRC (2014);</w:t>
      </w:r>
    </w:p>
    <w:p>
      <w:pPr>
        <w:pStyle w:val="TextBody"/>
        <w:spacing w:before="0" w:after="240"/>
        <w:ind w:left="720" w:right="0" w:hanging="0"/>
        <w:jc w:val="both"/>
        <w:rPr/>
      </w:pPr>
      <w:r>
        <w:rPr/>
        <w:t>●</w:t>
      </w:r>
      <w:r>
        <w:rPr>
          <w:rFonts w:ascii="Times New Roman;Times;serif" w:hAnsi="Times New Roman;Times;serif"/>
          <w:sz w:val="20"/>
        </w:rPr>
        <w:t>The Rules of the PRC for Protecting the Security of Computer Information Systems (1994, revised in 2011);</w:t>
      </w:r>
    </w:p>
    <w:p>
      <w:pPr>
        <w:pStyle w:val="TextBody"/>
        <w:spacing w:before="0" w:after="240"/>
        <w:ind w:left="720" w:right="0" w:hanging="0"/>
        <w:jc w:val="both"/>
        <w:rPr/>
      </w:pPr>
      <w:r>
        <w:rPr/>
        <w:t>●</w:t>
      </w:r>
      <w:r>
        <w:rPr>
          <w:rFonts w:ascii="Times New Roman;Times;serif" w:hAnsi="Times New Roman;Times;serif"/>
          <w:sz w:val="20"/>
        </w:rPr>
        <w:t>The Measures for the Administration of Security Products for Computer Information Systems Examination and Sales (1997);</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Protection of the Security of International Internetworking of Computer Information Networks (1997, revised in 2011);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the Administration of Keeping Secrets in the International Internetworking of Computer Information Systems (2000);</w:t>
            </w:r>
          </w:p>
        </w:tc>
      </w:tr>
    </w:tbl>
    <w:p>
      <w:pPr>
        <w:pStyle w:val="TextBody"/>
        <w:spacing w:before="0" w:after="240"/>
        <w:ind w:left="720" w:right="0" w:hanging="0"/>
        <w:jc w:val="both"/>
        <w:rPr/>
      </w:pPr>
      <w:r>
        <w:rPr/>
        <w:t>●</w:t>
      </w:r>
      <w:r>
        <w:rPr>
          <w:rFonts w:ascii="Times New Roman;Times;serif" w:hAnsi="Times New Roman;Times;serif"/>
          <w:sz w:val="20"/>
        </w:rPr>
        <w:t>The Notice issued by the Ministry of Public Security of the PRC Regarding Issues Relating to the Implementation of the Administrative Measure for the Security Protection of International Connections to Computer Information Networks (2000);</w:t>
      </w:r>
    </w:p>
    <w:p>
      <w:pPr>
        <w:pStyle w:val="TextBody"/>
        <w:spacing w:before="0" w:after="240"/>
        <w:ind w:left="720" w:right="0" w:hanging="0"/>
        <w:jc w:val="both"/>
        <w:rPr/>
      </w:pPr>
      <w:r>
        <w:rPr/>
        <w:t>●</w:t>
      </w:r>
      <w:r>
        <w:rPr>
          <w:rFonts w:ascii="Times New Roman;Times;serif" w:hAnsi="Times New Roman;Times;serif"/>
          <w:sz w:val="20"/>
        </w:rPr>
        <w:t>The Decision of the Standing Committee of the National People’s Congress Regarding the Safeguarding of Internet Security (2000, revised in 2009);</w:t>
      </w:r>
    </w:p>
    <w:p>
      <w:pPr>
        <w:pStyle w:val="TextBody"/>
        <w:spacing w:before="0" w:after="240"/>
        <w:ind w:left="720" w:right="0" w:hanging="0"/>
        <w:jc w:val="both"/>
        <w:rPr/>
      </w:pPr>
      <w:r>
        <w:rPr/>
        <w:t>●</w:t>
      </w:r>
      <w:r>
        <w:rPr>
          <w:rFonts w:ascii="Times New Roman;Times;serif" w:hAnsi="Times New Roman;Times;serif"/>
          <w:sz w:val="20"/>
        </w:rPr>
        <w:t>The Provisions on the Technical Measures for the Protection of the Security of the Internet (2006);</w:t>
      </w:r>
    </w:p>
    <w:p>
      <w:pPr>
        <w:pStyle w:val="TextBody"/>
        <w:spacing w:before="0" w:after="220"/>
        <w:ind w:left="720" w:right="0" w:hanging="0"/>
        <w:jc w:val="both"/>
        <w:rPr/>
      </w:pPr>
      <w:r>
        <w:rPr/>
        <w:t>●</w:t>
      </w:r>
      <w:r>
        <w:rPr>
          <w:rFonts w:ascii="Times New Roman;Times;serif" w:hAnsi="Times New Roman;Times;serif"/>
          <w:sz w:val="20"/>
        </w:rPr>
        <w:t>The Administrative Regulations for the Classified Protection of Information Security (2007);</w:t>
      </w:r>
    </w:p>
    <w:p>
      <w:pPr>
        <w:pStyle w:val="TextBody"/>
        <w:spacing w:before="0" w:after="220"/>
        <w:ind w:left="720" w:right="0" w:hanging="0"/>
        <w:jc w:val="both"/>
        <w:rPr/>
      </w:pPr>
      <w:r>
        <w:rPr/>
        <w:t>●</w:t>
      </w:r>
      <w:r>
        <w:rPr>
          <w:rFonts w:ascii="Times New Roman;Times;serif" w:hAnsi="Times New Roman;Times;serif"/>
          <w:sz w:val="20"/>
        </w:rPr>
        <w:t>The Decision of the Standing Committee of the National People’s Congress on Strengthening Network Information Protection (2012);</w:t>
      </w:r>
    </w:p>
    <w:p>
      <w:pPr>
        <w:pStyle w:val="TextBody"/>
        <w:spacing w:before="0" w:after="220"/>
        <w:ind w:left="720" w:right="0" w:hanging="0"/>
        <w:jc w:val="both"/>
        <w:rPr/>
      </w:pPr>
      <w:r>
        <w:rPr/>
        <w:t>●</w:t>
      </w:r>
      <w:r>
        <w:rPr>
          <w:rFonts w:ascii="Times New Roman;Times;serif" w:hAnsi="Times New Roman;Times;serif"/>
          <w:sz w:val="20"/>
        </w:rPr>
        <w:t>Provisions on Protection of Personal Information of Telecommunication and Internet Users (2013);</w:t>
      </w:r>
    </w:p>
    <w:p>
      <w:pPr>
        <w:pStyle w:val="TextBody"/>
        <w:spacing w:before="0" w:after="220"/>
        <w:ind w:left="720" w:right="0" w:hanging="0"/>
        <w:jc w:val="both"/>
        <w:rPr/>
      </w:pPr>
      <w:r>
        <w:rPr/>
        <w:t>●</w:t>
      </w:r>
      <w:r>
        <w:rPr>
          <w:rFonts w:ascii="Times New Roman;Times;serif" w:hAnsi="Times New Roman;Times;serif"/>
          <w:sz w:val="20"/>
        </w:rPr>
        <w:t xml:space="preserve">Internet User Account Name Management Regulations (2015); </w:t>
      </w:r>
    </w:p>
    <w:p>
      <w:pPr>
        <w:pStyle w:val="TextBody"/>
        <w:spacing w:before="0" w:after="220"/>
        <w:ind w:left="720" w:right="0" w:hanging="0"/>
        <w:jc w:val="both"/>
        <w:rPr/>
      </w:pPr>
      <w:r>
        <w:rPr/>
        <w:t>●</w:t>
      </w:r>
      <w:r>
        <w:rPr>
          <w:rFonts w:ascii="Times New Roman;Times;serif" w:hAnsi="Times New Roman;Times;serif"/>
          <w:sz w:val="20"/>
        </w:rPr>
        <w:t>Cybersecurity Law of the PRC (the “Cybersecurity Law”) (2017 Edition);</w:t>
      </w:r>
    </w:p>
    <w:p>
      <w:pPr>
        <w:pStyle w:val="TextBody"/>
        <w:spacing w:before="0" w:after="220"/>
        <w:ind w:left="720" w:right="0" w:hanging="0"/>
        <w:rPr/>
      </w:pPr>
      <w:r>
        <w:rPr/>
        <w:t>●</w:t>
      </w:r>
      <w:r>
        <w:rPr>
          <w:rFonts w:ascii="Times New Roman;Times;serif" w:hAnsi="Times New Roman;Times;serif"/>
          <w:sz w:val="20"/>
        </w:rPr>
        <w:t>Detailed Rules for the Implementation of the Counter-espionage Law of the PRC (2017);</w:t>
      </w:r>
    </w:p>
    <w:p>
      <w:pPr>
        <w:pStyle w:val="TextBody"/>
        <w:spacing w:before="0" w:after="220"/>
        <w:ind w:left="720" w:right="0" w:hanging="0"/>
        <w:rPr/>
      </w:pPr>
      <w:r>
        <w:rPr/>
        <w:t>●</w:t>
      </w:r>
      <w:r>
        <w:rPr>
          <w:rFonts w:ascii="Times New Roman;Times;serif" w:hAnsi="Times New Roman;Times;serif"/>
          <w:sz w:val="20"/>
        </w:rPr>
        <w:t>Provisions on the Cyber Protection of Children’s Personal Information (the “Children’s Provisions”)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720" w:right="0" w:hanging="0"/>
        <w:jc w:val="both"/>
        <w:rPr/>
      </w:pPr>
      <w:r>
        <w:rPr/>
        <w:t>●</w:t>
      </w:r>
      <w:r>
        <w:rPr>
          <w:rFonts w:ascii="Times New Roman;Times;serif" w:hAnsi="Times New Roman;Times;serif"/>
          <w:sz w:val="20"/>
        </w:rPr>
        <w:t xml:space="preserve">Interpretation of the Supreme People’s Court and the Supreme People’s Procuratorate on Several Issues Concerning the Application of Law in the Handling of Criminal Cases Involving Illegal Use of Information Networks and Assistance in Criminal Activities Committed through Information Networks (the “Fa Shi No. 15”) (2019); </w:t>
      </w:r>
    </w:p>
    <w:p>
      <w:pPr>
        <w:pStyle w:val="TextBody"/>
        <w:spacing w:before="0" w:after="220"/>
        <w:ind w:left="720" w:right="0" w:hanging="0"/>
        <w:jc w:val="both"/>
        <w:rPr/>
      </w:pPr>
      <w:r>
        <w:rPr/>
        <w:t>●</w:t>
      </w:r>
      <w:r>
        <w:rPr>
          <w:rFonts w:ascii="Times New Roman;Times;serif" w:hAnsi="Times New Roman;Times;serif"/>
          <w:sz w:val="20"/>
        </w:rPr>
        <w:t>Information Security Technology —Personal Information Security Specification (2020 edition);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Guiding Opinions on Implementing the Multi-Level Protection System for Cybersecurity and the Security Protection System for Critical Information Infrastructure (2020);</w:t>
            </w:r>
          </w:p>
        </w:tc>
      </w:tr>
    </w:tbl>
    <w:tbl>
      <w:tblPr>
        <w:tblW w:w="2496" w:type="dxa"/>
        <w:jc w:val="left"/>
        <w:tblInd w:w="0" w:type="dxa"/>
        <w:tblCellMar>
          <w:top w:w="28" w:type="dxa"/>
          <w:left w:w="28" w:type="dxa"/>
          <w:bottom w:w="28" w:type="dxa"/>
          <w:right w:w="28" w:type="dxa"/>
        </w:tblCellMar>
      </w:tblPr>
      <w:tblGrid>
        <w:gridCol w:w="124"/>
        <w:gridCol w:w="256"/>
        <w:gridCol w:w="2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Civil Code (2021);</w:t>
            </w:r>
          </w:p>
        </w:tc>
      </w:tr>
    </w:tbl>
    <w:tbl>
      <w:tblPr>
        <w:tblW w:w="9771" w:type="dxa"/>
        <w:jc w:val="left"/>
        <w:tblInd w:w="0" w:type="dxa"/>
        <w:tblCellMar>
          <w:top w:w="28" w:type="dxa"/>
          <w:left w:w="28" w:type="dxa"/>
          <w:bottom w:w="28" w:type="dxa"/>
          <w:right w:w="28" w:type="dxa"/>
        </w:tblCellMar>
      </w:tblPr>
      <w:tblGrid>
        <w:gridCol w:w="124"/>
        <w:gridCol w:w="256"/>
        <w:gridCol w:w="9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on the Scope of Necessary Personal Information for Common Types of Mobile Internet Applications (2021);</w:t>
            </w:r>
          </w:p>
        </w:tc>
      </w:tr>
    </w:tbl>
    <w:tbl>
      <w:tblPr>
        <w:tblW w:w="3786" w:type="dxa"/>
        <w:jc w:val="left"/>
        <w:tblInd w:w="0" w:type="dxa"/>
        <w:tblCellMar>
          <w:top w:w="28" w:type="dxa"/>
          <w:left w:w="28" w:type="dxa"/>
          <w:bottom w:w="28" w:type="dxa"/>
          <w:right w:w="28" w:type="dxa"/>
        </w:tblCellMar>
      </w:tblPr>
      <w:tblGrid>
        <w:gridCol w:w="124"/>
        <w:gridCol w:w="256"/>
        <w:gridCol w:w="3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Review Measures (2021);</w:t>
            </w:r>
          </w:p>
        </w:tc>
      </w:tr>
    </w:tbl>
    <w:tbl>
      <w:tblPr>
        <w:tblW w:w="3126" w:type="dxa"/>
        <w:jc w:val="left"/>
        <w:tblInd w:w="0" w:type="dxa"/>
        <w:tblCellMar>
          <w:top w:w="28" w:type="dxa"/>
          <w:left w:w="28" w:type="dxa"/>
          <w:bottom w:w="28" w:type="dxa"/>
          <w:right w:w="28" w:type="dxa"/>
        </w:tblCellMar>
      </w:tblPr>
      <w:tblGrid>
        <w:gridCol w:w="124"/>
        <w:gridCol w:w="256"/>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PRC Data Security Law (2021); </w:t>
            </w:r>
          </w:p>
        </w:tc>
      </w:tr>
    </w:tbl>
    <w:tbl>
      <w:tblPr>
        <w:tblW w:w="7341" w:type="dxa"/>
        <w:jc w:val="left"/>
        <w:tblInd w:w="0" w:type="dxa"/>
        <w:tblCellMar>
          <w:top w:w="28" w:type="dxa"/>
          <w:left w:w="28" w:type="dxa"/>
          <w:bottom w:w="28" w:type="dxa"/>
          <w:right w:w="28" w:type="dxa"/>
        </w:tblCellMar>
      </w:tblPr>
      <w:tblGrid>
        <w:gridCol w:w="124"/>
        <w:gridCol w:w="25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for the Security Protection of Critical Information Infrastructure (2021);</w:t>
            </w:r>
          </w:p>
        </w:tc>
      </w:tr>
    </w:tbl>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Information Protection Law (2021);</w:t>
            </w:r>
          </w:p>
        </w:tc>
      </w:tr>
    </w:tbl>
    <w:tbl>
      <w:tblPr>
        <w:tblW w:w="4821" w:type="dxa"/>
        <w:jc w:val="left"/>
        <w:tblInd w:w="0" w:type="dxa"/>
        <w:tblCellMar>
          <w:top w:w="28" w:type="dxa"/>
          <w:left w:w="28" w:type="dxa"/>
          <w:bottom w:w="28" w:type="dxa"/>
          <w:right w:w="28" w:type="dxa"/>
        </w:tblCellMar>
      </w:tblPr>
      <w:tblGrid>
        <w:gridCol w:w="124"/>
        <w:gridCol w:w="256"/>
        <w:gridCol w:w="44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Anti-Telecom and Online Fraud Law of PRC (2022); </w:t>
            </w:r>
          </w:p>
        </w:tc>
      </w:tr>
    </w:tbl>
    <w:tbl>
      <w:tblPr>
        <w:tblW w:w="7296" w:type="dxa"/>
        <w:jc w:val="left"/>
        <w:tblInd w:w="0" w:type="dxa"/>
        <w:tblCellMar>
          <w:top w:w="28" w:type="dxa"/>
          <w:left w:w="28" w:type="dxa"/>
          <w:bottom w:w="28" w:type="dxa"/>
          <w:right w:w="28" w:type="dxa"/>
        </w:tblCellMar>
      </w:tblPr>
      <w:tblGrid>
        <w:gridCol w:w="124"/>
        <w:gridCol w:w="256"/>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Provisions for Deep Integrating Internet Information Service (2022);</w:t>
            </w:r>
          </w:p>
        </w:tc>
      </w:tr>
    </w:tbl>
    <w:tbl>
      <w:tblPr>
        <w:tblW w:w="6666" w:type="dxa"/>
        <w:jc w:val="left"/>
        <w:tblInd w:w="0" w:type="dxa"/>
        <w:tblCellMar>
          <w:top w:w="28" w:type="dxa"/>
          <w:left w:w="28" w:type="dxa"/>
          <w:bottom w:w="28" w:type="dxa"/>
          <w:right w:w="28" w:type="dxa"/>
        </w:tblCellMar>
      </w:tblPr>
      <w:tblGrid>
        <w:gridCol w:w="124"/>
        <w:gridCol w:w="256"/>
        <w:gridCol w:w="6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Measures for the Security Assessment of Data Cross-border Transfer (2022); </w:t>
            </w:r>
          </w:p>
        </w:tc>
      </w:tr>
    </w:tbl>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Guidelines for Declaring Data Cross-border Security Assessment (First Edition) (2022); </w:t>
            </w:r>
          </w:p>
        </w:tc>
      </w:tr>
    </w:tbl>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 on the Implementation of Certification for Personal Information Protection (2022);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Measures for Data Security Administration in the Industry and Information Technology Field (Trial Implementation) (2022); and</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Measures for Standard Contracts for Cross-border Transfers of Personal Information (2023).</w:t>
            </w:r>
          </w:p>
        </w:tc>
      </w:tr>
    </w:tbl>
    <w:p>
      <w:pPr>
        <w:pStyle w:val="TextBody"/>
        <w:spacing w:before="0" w:after="220"/>
        <w:ind w:left="720" w:right="0" w:hanging="0"/>
        <w:rPr>
          <w:rFonts w:ascii="Times New Roman;Times;serif" w:hAnsi="Times New Roman;Times;serif"/>
          <w:sz w:val="20"/>
        </w:rPr>
      </w:pPr>
      <w:r>
        <w:rPr>
          <w:rFonts w:ascii="Times New Roman;Times;serif" w:hAnsi="Times New Roman;Times;serif"/>
          <w:sz w:val="20"/>
        </w:rPr>
        <w:t>Under various Laws, ICP operators and internet publishers are prohibited from posting or displaying any content that:</w:t>
      </w:r>
    </w:p>
    <w:p>
      <w:pPr>
        <w:pStyle w:val="TextBody"/>
        <w:spacing w:before="0" w:after="0"/>
        <w:ind w:left="720" w:right="0" w:hanging="0"/>
        <w:rPr/>
      </w:pPr>
      <w:r>
        <w:rPr/>
        <w:t>●</w:t>
      </w:r>
      <w:r>
        <w:rPr>
          <w:rFonts w:ascii="Times New Roman;Times;serif" w:hAnsi="Times New Roman;Times;serif"/>
          <w:sz w:val="20"/>
        </w:rPr>
        <w:t>opposes the fundamental principles set out in China’s Constitution;</w:t>
      </w:r>
    </w:p>
    <w:p>
      <w:pPr>
        <w:pStyle w:val="TextBody"/>
        <w:spacing w:before="0" w:after="220"/>
        <w:ind w:left="720" w:right="0" w:hanging="0"/>
        <w:rPr/>
      </w:pPr>
      <w:r>
        <w:rPr/>
        <w:t>●</w:t>
      </w:r>
      <w:r>
        <w:rPr>
          <w:rFonts w:ascii="Times New Roman;Times;serif" w:hAnsi="Times New Roman;Times;serif"/>
          <w:sz w:val="20"/>
        </w:rPr>
        <w:t>compromises state security, divulges state secrets, subverts state power or damages national unity;</w:t>
      </w:r>
    </w:p>
    <w:p>
      <w:pPr>
        <w:pStyle w:val="TextBody"/>
        <w:spacing w:before="0" w:after="220"/>
        <w:ind w:left="720" w:right="0" w:hanging="0"/>
        <w:rPr/>
      </w:pPr>
      <w:r>
        <w:rPr/>
        <w:t>●</w:t>
      </w:r>
      <w:r>
        <w:rPr>
          <w:rFonts w:ascii="Times New Roman;Times;serif" w:hAnsi="Times New Roman;Times;serif"/>
          <w:sz w:val="20"/>
        </w:rPr>
        <w:t>harms the dignity or interests of the state;</w:t>
      </w:r>
    </w:p>
    <w:p>
      <w:pPr>
        <w:pStyle w:val="TextBody"/>
        <w:spacing w:before="0" w:after="220"/>
        <w:ind w:left="720" w:right="0" w:hanging="0"/>
        <w:rPr/>
      </w:pPr>
      <w:r>
        <w:rPr/>
        <w:t>●</w:t>
      </w:r>
      <w:r>
        <w:rPr>
          <w:rFonts w:ascii="Times New Roman;Times;serif" w:hAnsi="Times New Roman;Times;serif"/>
          <w:sz w:val="20"/>
        </w:rPr>
        <w:t>incites ethnic hatred or racial discrimination or damages inter-ethnic unity;</w:t>
      </w:r>
    </w:p>
    <w:p>
      <w:pPr>
        <w:pStyle w:val="TextBody"/>
        <w:spacing w:before="0" w:after="220"/>
        <w:ind w:left="720" w:right="0" w:hanging="0"/>
        <w:rPr/>
      </w:pPr>
      <w:r>
        <w:rPr/>
        <w:t>●</w:t>
      </w:r>
      <w:r>
        <w:rPr>
          <w:rFonts w:ascii="Times New Roman;Times;serif" w:hAnsi="Times New Roman;Times;serif"/>
          <w:sz w:val="20"/>
        </w:rPr>
        <w:t>sabotages China’s religious policy or propagates heretical teachings or feudal superstitions;</w:t>
      </w:r>
    </w:p>
    <w:p>
      <w:pPr>
        <w:pStyle w:val="TextBody"/>
        <w:spacing w:before="0" w:after="220"/>
        <w:ind w:left="720" w:right="0" w:hanging="0"/>
        <w:rPr/>
      </w:pPr>
      <w:r>
        <w:rPr/>
        <w:t>●</w:t>
      </w:r>
      <w:r>
        <w:rPr>
          <w:rFonts w:ascii="Times New Roman;Times;serif" w:hAnsi="Times New Roman;Times;serif"/>
          <w:sz w:val="20"/>
        </w:rPr>
        <w:t>disseminates rumors, disturbs social order or disrupts social stability;</w:t>
      </w:r>
    </w:p>
    <w:p>
      <w:pPr>
        <w:pStyle w:val="TextBody"/>
        <w:spacing w:before="0" w:after="220"/>
        <w:ind w:left="720" w:right="0" w:hanging="0"/>
        <w:rPr/>
      </w:pPr>
      <w:r>
        <w:rPr/>
        <w:t>●</w:t>
      </w:r>
      <w:r>
        <w:rPr>
          <w:rFonts w:ascii="Times New Roman;Times;serif" w:hAnsi="Times New Roman;Times;serif"/>
          <w:sz w:val="20"/>
        </w:rPr>
        <w:t>propagates obscenity, pornography, gambling, violence, murder or fear or incites the commission of crimes;</w:t>
      </w:r>
    </w:p>
    <w:p>
      <w:pPr>
        <w:pStyle w:val="TextBody"/>
        <w:spacing w:before="0" w:after="220"/>
        <w:ind w:left="720" w:right="0" w:hanging="0"/>
        <w:rPr/>
      </w:pPr>
      <w:r>
        <w:rPr/>
        <w:t>●</w:t>
      </w:r>
      <w:r>
        <w:rPr>
          <w:rFonts w:ascii="Times New Roman;Times;serif" w:hAnsi="Times New Roman;Times;serif"/>
          <w:sz w:val="20"/>
        </w:rPr>
        <w:t>insults or slanders a third party or infringes upon the lawful rights and interests of a third party; or</w:t>
      </w:r>
    </w:p>
    <w:p>
      <w:pPr>
        <w:pStyle w:val="TextBody"/>
        <w:ind w:left="720" w:right="0" w:hanging="0"/>
        <w:rPr/>
      </w:pPr>
      <w:r>
        <w:rPr/>
        <w:t>●</w:t>
      </w:r>
      <w:r>
        <w:rPr>
          <w:rFonts w:ascii="Times New Roman;Times;serif" w:hAnsi="Times New Roman;Times;serif"/>
          <w:sz w:val="20"/>
        </w:rPr>
        <w:t>includes other content prohibited by laws or administrative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18, 1994, the State Council promulgated the Rules of the PRC for Protecting the Security of Computer Information Systems, and amended in 2011, which defines “Security Products for Computer Information Systems” as software and hardware products designed for the protection of computer information security and stipulates that a license must be obtained before selling Security Products for Computer Information Systems. The Ministry of Public Security issued the Measures for the Administration of Security Products for Computer Information Systems Examination and Sales on December 12, 1997 confirming that a license for the sale of security products for computer information systems must be obtained as a precondition for sales of these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2012, the Standing Committee of the National People’s Congress issued the Decision on Strengthening Network Information Protection (the “Information Protection Decision”), which provides that electronic information through which a citizen’s identity can be identified or in which a citizen’s privacy is involved (“Personal Information”), is protected and no person shall steal, illegally obtain, sell or illegally provide to others any Personal Information. Also, according to the Information Protection Decision, where a network service provider provides website access service, or handles network access formalities for fixed-line telephones or mobile phones, or provides information publication services to its users, it shall require users to provide authentic identity information when concluding agreements or confirming provisions of its service with the users.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16, 2013, MIIT issued the Provisions on Protection of Personal Information of Telecommunication and Internet Users, which defines “Personal Information” as information that can identify the user either on its own or in combination with other information that is collected in the course of providing services by telecommunication business operators and internet information service providers, and sets out detailed provisions concerning the collection and utilization of Personal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27, 2022, the CAC issued the Internet User Account Information Management Regulations, which took effect on August 1, 2022. The Internet User Account Information Management Regulations stipulates that an internet information service provider shall perform the responsibility of internet user account information management as a service provider, be equipped with professional personnel and technical capabilities corresponding to its service scale, and establish a sound and strictly implement authentic identity information verification, account information verification, information content security, ecological governance, emergency response and personal information protection management systems.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7, 2016, the Standing Committee of the National People’s Congress promulgated the Cybersecurity Law, which became effective on June 1, 2017.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 On September 12, 2022, the CAC, issued the Decision on Amending the PRC Cybersecurity Law (Draft for Comments), focusing on the following four aspects: (i) to improve the legal liability system for violating the general provisions on the security of cyber operation; (ii) to amend the legal liability system for the security protection of critical information infrastructure; (iii) to adjust the legal liability system for network information security; and (iv) to amend the legal liability system for the protection of personal information. As of the date of the filing of this annual report, the PRC Cybersecurity Law (Draft for Comments) has not been formally adopted.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CAC issued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this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2021, CAC, MIIT, MPS and SAMR jointly issued the Rules on the Scope of Necessary Personal Information for Common Types of Mobile Internet Applications to further provides guidance of “essential personal information” for different types of mobile apps, with effect on May 1, 2021, pursuant to which mobile apps shall not deny user access to apps’ basic functional services in case that the users want to opt to not provide non-essential personal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21, 2019, the Supreme People’s Court and the Supreme People’s Procuratorate jointly issued the Fa Shi No. 15, which became effective on November 1, 2019. The Fa Shi No. 15 interpreted several issues concerning the application of law in handling criminal cases such as refusing to fulfill the obligation of managing the security of information networks, illegally using information networks and assisting in criminal activities committed through information networks, in accordance with the Criminal Law of the PRC and the Criminal Procedure Law of the PRC.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Measures for the Security Assessment of Data Cross-border Transfer, which took effect on September 1, 2022. The Measures for the Security Assessment of Data Cross-border Transfer requires the data processor providing data overseas and falling under any of the following circumstances to apply for the security assessment of cross-border data transfer by the national cybersecurity authority through its local counterpart: (i) where the data processor intends to provide important data overseas; (ii) where the critical information infrastructure operator and any data processor who has processed personal information of more than 1,000,000 individuals intend to provide personal information overseas; (iii) where any data processor who has provided personal information of 100,000 individuals or sensitive personal information of 10,000 individuals to overseas recipients accumulatively since January 1 of the last year intends to provide personal information overseas; and (iv) other circumstances where the security assessment of data cross-border transfer is required as prescribed by the CAC.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On August 31, 2022, the CAC issued the Guidelines for Declaring Data Cross-border Security Assessment (First Edition), which became effective on September 1, 2022 and further clarifies the scope of application, declaration methods and processes of data cross-border security assessment.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MIIT promulgated the Measures for Data Security Administration in the Industry and Information Technology Field (Trial Implementation), or the Trial Measures, which took effect on January 1, 2023. In accordance with the Trial Measures, industrial and information technology field data processors must classify data based on the data’s category and the security level, and also classify and identify data based on the industry requirements, business needs, data sources and purposes and other factors, and to make a data classification catalogue. In addition, the industrial and information technology field data processors are required to establish and improve a sound data classification management system, take measures to protect data based on its levels, carry out key protection of critical data and core data, and implement the protection with the highest level of requirement if different levels of data are processed at the same time. The Trial Measures also impose certain obligations on industrial and information technology field data processors in relation to, among other things, data collection, data storage, data usage, data transmission, cross-border of data, data destruction, data security review and emergency plans, etc.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Administrative Provisions on the Information Services Provided through Official Accounts of Internet Users, the Administrative Provisions on the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6, 2020, the SAMR and Standardization Administration jointly issued the Standard of Information Security Technology—Personal Information Security Specification (GB/T 35273-2020), which took effect on October 1, 2020 and substitute the 2017 version.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prior to collecting such data, the information provider’s consent is required. The 2020 version of Personal Information Security Specification includes the following changes compared with the 2017 version: (i) adding new requirements to prevent excessive collection of personal data; (ii) adding new requirements concerning user profiling and personalized display; (iii) Adding new requirements concerning third-party plugins; (iv) adjusting requirements on organizational measures; and (v) adding new requirements concerning personal biometric data.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Data Security Law was released by the National People’s Congress Standing Committee on June 10, 2021 and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 In the event of a data security incident, the processors of data shall take immediate measures to deal with it, inform the user in time and report to the competent authorities in accordance with relevant provisions. The processors of important data shall, in accordance with relevant provisions, carry out regular risk assessments of their data processing activities and submit risk assessment reports to the competent authorities. The PRC Data Security Law provides a national data security review system, under which data processing activities that affect or may affect national security shall be reviewed. Any organization or individual carrying out data processing activities that violates the PRC Data Security Law shall bear the corresponding civil, administrative or criminal liability depending on the specific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14 November 2021, the CAC publicly solicited opinions on the Draft Data Security Regulations. According to the Draft Data Security Regulations, data processors shall, in accordance with relevant state provisions, apply for cyber security review when carrying out the following activities:(1) the merger, reorganization or separation of internet platform operators that have acquired a large number of data resources related to national security, economic development or public interests, which affects or may affect national security; (2) data processors that handle the personal information of more than one million people intends to be listed abroad; (3) the data processor intends to be listed in Hong Kong, which affects or may affect national security; (4) other data processing activities that affect or may affect national security. The scope of and threshold for determining what “affects or may affect national security” is still subject to uncertainty and further elaboration by the CAC.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2021, the CAC, NDRC, MIIT and other ten PRC regulatory authorities jointly issued the Cybersecurity Review Measures, effective on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affects or may affect national security, including that any network platform operators which has personal information of more than one million users and is going to be listed abroad, are subject to cybersecurity review. Since the measures were recently promulgated, there exists uncertainties with respect to their interpretation and implementation.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State Council promulgated the Regulations on Critical Information Infrastructure Protection (the “CII Regulations”), which came into effect on 1 September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particular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22, 2020, the Ministry of Public Security issued the Guiding Opinions on Implementing the Multi-Level Protection System for Cybersecurity and the Security Protection System for Critical Information Infrastructure, which took effect on the same date. The work objectives of the above-mentioned Guiding Opinions include: (i) implementing the cybersecurity MLPS; (ii) establishing and implementing the critical information infrastructure security protection system; (iii) markedly increasing cybersecurity monitoring, early warning and emergency response capabilities; and (iv) creating a comprehensive cybersecurity protection and control system. Since the measures were recently promulgated, there exists uncertainties with respect to their interpretation and implementation.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Personal Information Protection Law (the “PIPL”) was released by the National People’s Congress Standing Committee on August 20, 2021 and became effective on November 1, 2021. The PIPL stipulates the scope of personal information and the general principles of processing personal information, establishes rules for processing personal information, special rules for processing sensitive personal information and rules for the cross-border transfer of personal information abroad, as well as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Failure to comply with the requirements of the PIPL may result in various legal liabilities including confiscation of unlawful income, a warning, a fine of up to RMB50 million or 5% of annual revenue, and suspension of related business activities, among others.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we expand our operations internationally, we may be also subject to privacy laws and data security laws of other jurisdictions in which we operate, including the GDPR. The GDPR has applied directly in all European Union member states since May 25, 2018 and applies to the processing carried out by companies with an establishment in the EEA, and to the processing carried out by certain other companies which are not established in the EEA but offer goods or services to individuals located in the EEA or monitor the behavior of individuals located in the EEA. The GDPR implements stringent operational requirements for controllers and processors of personal data, including, for example, disclosures on how personal data is to be used, limitations on retention of personal data and implementation of appropriate safeguards for transfer of personal data out of the EEA (such requirements have been further strengthened following the ruling of the Court of Justice of the European Union issued on July 16, 2020, the so-called Schrems II ruling) together with a transfer risk assessment to verify if anything in the law and/or practices of the destination country may impinge on the effectiveness of the safeguards, cyber security requirements, mandatory data breach notification requirements and requirements for controllers to demonstrate that they have relied on a valid legal basis to carry out data processing activities.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additional penalties pursuant to European Union member states’ laws may apply, including criminal liability.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existing privacy considerations at both the federal and state level in the United States, several states have recently enacted comprehensive privacy laws.  For example, California enacted legislation affording consumers expanded privacy protections, including the CCPA, which went into effect on January 1, 2020 and was amended by the CPRA, which went into effect on January 1, 2023. The CPRA gives California residents (including employees and business-to-business contacts) expanded rights to transparency (e.g., detailed information about how personal information is collected, used, and shared), access to, correction of, and deletion of their personal information, and a right to opt out of the sale or sharing of their personal information, amongst others. The CPRA also invests enforcement power in a first-of-its-kind in the U.S. enforcement agency, the CPPA, which provides for additional unknowns relating to costs and risks for potential legal liability.  The CPPA is expected to finalize implementing regulations that are intended to provide additional details regarding requirements for covered businesses. The CPRA provides for co-enforcement authority for violations between the CPPA and the California Attorney General, as well as a private right of action for certain data breaches that could increase data breach litigation and liability, in light of the potential for statutory damages. Several other states in the United States, namely Virginia, Colorado, Connecticut, and Utah, have passed additional comprehensive state privacy laws which are taking effect in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Online Games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4, 2009, the MOC and MOFCOM jointly issued the Notice on Strengthening Administration on Online Game Virtual Currency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publication of online games also requires approval from SAPPRFT in accordance with the Rules for the Administration of Online Publishing Service. In March 2018, the Central Committee of the Communist Party of China issued the Plans for Deepening the Institutional Reform of the Party and State and the National People’s Congress issued the Institutional Reform Plan of the State Council (collectively, the “Institutional Reform Plans”). According to the Institutional Reform Plans, the SAPPRFT is reformed and became the NRTA, under the State Council and the NPPA under the Propaganda Department of the Central Committee of the Communist Party of China, and the MOC is reformed and became the MOCT. Starting from March 2018, the SAPPRFT at the national level temporarily suspended its approval of online games, which was later resumed in December 2018. Since the first quarter of 2019, the NPPA has kept publishing the Online Game Approval Lists on its website except for the approval suspension during the period from July 2021 to April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 April 2007, GAPP and several other government authorities jointly promulgated the Notice Concerning the Protection of Minors’ Physical and Mental Well-being and Implementation of Anti-addiction System on Online Games (the “Anti-Addiction Notice”), which confirms the real name verification scheme and anti-addiction system standard made by GAPP in previous years and requires online game operators to develop and test their anti-addiction systems from April 2007 to July 2007, after which no online games can be registered or operated without an anti-addiction system, in accordance with the Anti-Addiction Notice. On January 15, 2011, the MOC and several other government authorities jointly issued the Notice on Implementation Program of Online Game Monitoring System of the Guardians of Minors (the “Monitoring System Notice”), which requires online game operators to adopt certain measures to maintain an interactive system for the protection of minors. Through communication with online game operators, parents may monitor and restrict online game activities by minors, including restriction or suspension of playtime. 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Ministry of Public Security’s National Citizen Identity Information Center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25, 2014, the SAPPRFT issued the Notice Regarding the Implementation of the Anti-Addiction and Real-Name Verification System in Online Games, which requires online game operators to complete their real-name verification procedure for online games when applying for publication of online games. On August 30, 2018, the Implementation Scheme on Comprehensive Prevention and Control of Adolescent Myopia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Preventing Minors from Indulging in Online Games, which became effective on September 1, 2021. The Notice on Further Preventing Minors from Indulging in Online Games imposes stricter time limits for playing online games by minors and provides that online game operators may only provide online game services to minors on every Friday, Saturday, Sunday or PRC statutory holiday for one hour per day from 8:00 p.m. to 9:00 p.m. In addition, the Notice on Further Preventing Minors from Indulging in Online Games requires that all the online games must be connected to the real-name registration and game addiction prevention system of the NPPA, all the online game players must register or login in using authentic and valid identity information, and online game operators may not provide game services, in any manner (including in visitor experience mode), to any users who have not registered using their real names. On October 20, 2021, six PRC governmental authorities jointly issued the Notice on Strengthening the Management of Preventing Primary and Middle School Students from Indulging in Online Games, which further stipulates that online game companies shall fulfill the requirements for real-name registration. Real-name registration information submitted by online game users must be verified by the real-name verification system of the NPPA. Online game operators may only provide online game services to primary and middle school students on every Friday, Saturday, Sunday or PRC statutory holiday for one hour per day from 8:00 p.m. to 9:00 p.m.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the MOC, the SARFT and the GAPP, or Circular 35. According to this Circular 35, GAPP shall be responsible for the examination and approval of online games made available on the internet, and once an online game is available on the internet, it shall be solely and completely administrated by the MOC. The circular further clarifies that the GAPP shall be responsible for the examination and approval of the game publications authorized by overseas copyright owners to be made available on the internet, and all other imported online games shall be examined and approved by the MOC. However, according to the MOCT Notice 81, the MOCT shall no longer be responsible for administration and supervision of online games and the local counterparts of the MOCT shall no longer approve or issue online culture business permits that involve business scope such as online game operation via information network. As of the date of the annual report, Circular 35 has not been repealed and is still effective. Given that the MOCT Notice 81 is relatively new and it is unclear how these three Provisions will be amended, we are unable to fully assess what impact, if any, these new requirements may have on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the approval from GAPP.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Interim Measures for the Administration of Online Games (the “Online Games Measures”) were issued by the MOC in June 2010 and repealed on July 10, 2019. The Online Games Measures set forth certain requirements regarding online games, including requirements that game operators follow certain registration procedures, publicize information about the content and suitability of their games, prevent access by minors to inappropriate games, avoid certain types of content in games targeted at minors, avoid game content that compels players to kill other players, manage virtual currency in certain ways and register users with their real identities. Accordingly, the Notice on Implementing Interim Measures for the Administration of Online Games (the “Online Games Notice”), in which several provisions of the Online Games Measures are supplemented, has also been repealed. In addition, since June 2018, the MOCT at the national level has closed the post-filing recording online system, through which the domestic online games were filed according to the post-filing requirements under the Online Games Measures and the Online Game Notice. As of date of the annual report, no government authority has issued or promulgated any provisions to replace the above-mentioned regulations.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Private Education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Education Law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2002, the Standing Committee of the National People’s Congress, promulgated the Law for Promoting Private Education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7, 2021, the State Council published the amendment to the Regulations on the Implementation of the Law for Promoting Private Education of the PRC, or the Amended Implementation Rules, which became effective on September 1, 2021. The Amended Implementation Rules stipulate that online education activities using internet technology are encouraged by the regulatory authorities and shall comply with laws and regulations related to internet management. A private school using internet technology shall obtain the private school operating permit, as well as the internet operating permit. It shall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Implementation Rules further stipulates that relevant government authorities shall enhance the supervision on the agreements entered into between non-profit private schools and its related party and shall review such transaction on an annual basis.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Uncertainties exist with respect to the interpretation and application of the existing and future laws governing the online private education industry, as well as how the local government would promulgate implementing rules relating to the specific requirements applicable to online education service providers.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After-school Tutoring and Educational Apps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13, 2018, the Ministry of Education, or the MOE, the Ministry of Civil Affairs, the Ministry of Human Resources and Social Security and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the circular,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 On May 6, 2020, the General Office of the MOE promulgated the Notice on the Negative List of Advanced Trainings for Six Compulsory Education Subjects (for Trial Implementation), which, in accordance with the State Council Circular 80, prohibits after-school training institutions from providing advanced trainings that do not follow the formal school curricula to the students in primary school and secondary school, and further defined activities that will be regarded as advanced training in the subjects of Chinese, mathematics, English, physics, chemistry and biology.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30, 2018, the MOE, SAMR and certain other government authorities issued the Implementation Scheme which requires, among others, that the schools shall (i) shall use electronic products based on the principle of necessity, shall not rely on electronic products for teaching and homework assignment and shall rather assign paper-based homework in principle, and the teaching time using electronic products shall account for, in principle, not more than 30% of the total teaching time, and (ii) shall strictly implement the learning and development guidelines for children aged 3-6, pay attention to the value of life and play for these children and shall not teach them primary-school-level lessons.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20, 2018, the General Office of the MOE, the General Office of the SAMR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investigations on apps used on campus, and shall call off using any apps that contain harmful content such as commercial advertisements and internet games, or that increase the burden on students; and (ii) the filing and reviewing system of learning apps shall be established.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Central Committee of the Communist Party and the State Council jointly issued the Opinions on the Further Reform of Education and Teaching and Comprehensive Improvement on the Compulsory Education Quality (the “Opinions”), which became effective on June 23, 2019. The Opinions stipulates, among other things, that: (i) the SAMR and its local counterparts shall be responsible for the registrations and filings of all after-school training institutions and shall supervise and govern their operational behaviors, such as advertising, fee collecting, and antitrust competitions etc.; and (ii) 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MOE, jointly with certain other PRC government authorities, issued the Opinions on Guiding and Regulating the Orderly and Healthy Development of Educational Mobile Apps on August 10, 2019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(the “Educational Apps”), be filed with competent provincial regulatory authorities for education. The Opinions on Educational Apps also requires, among others, that: (i) before filing, the Educational App’s provider obtain the ICP license or complete the ICP filing and obtain the certificate and the grade evaluation report for graded protection of cybersecurity; (ii) Educational Apps whose main users are under the age of 18 must limit the use time, specify the range of suitable ages, and have strictly monitored content; (iii) 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six months.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2020, the General Office of MOE and the General Office of SAMR promulgated the Notice on Issuing the Form of Service Contract for After-school Training Provided to Primary and Secondary School Students, which requires the local competent regulatory authorities to guide the relevant parties to use the form of service contract for after-school training activities provided to primary and secondary school students. The form of service contract covers the obligations and rights of parties involved in the after-school training, including detailed provisions on training fees, refund arrangement and default liabilities. On September 27, 2021, the General Office of MOE and the General Office of SAMR promulgated the Notice on Issuing the Form of Service Contract for After-school Training Provided to Primary and Secondary School Students (Revised 2021), which added the special notes, adjusted the contract structure and updated certain provisions in the prior version of form of service contract.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2020, the MOE and certain other PRC government authorities jointly promulgated the Opinion on Further Strengthening and Regulating the Management of Educational Fees (the “Education Fees Opinions”), pursuant to which all fees collected by private schools shall be paid into the school’s bank account filed with the education authority, be unifiedly managed, and mainly used for educational and teaching activities, improving the operational conditions, protection of teachers’ and staffs’ treatment and allocating development fund according to relevant laws and regulations.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13, 2020, the General Office of the MOE and the General Office of the SAMR jointly promulgated the Notice on the Centralized Rectification of After-school Tutoring Institutions’ Illegal Acts of Infringing Consumers’ Rights by Using Unfair Standard Terms. The Notice stipulates that local education and market regulation authorities shall increase the efforts for the investigation of after-school tutoring institutions’ illegal acts which infringes consumers’ rights by using unfair standard terms/ to exempt them from their own responsibility, increase consumers’ liability and exclude consumers’ legal rights.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Law of the PRC on the Protection of Minors (“Minors Protection Law”) issued by the National People’s Congress Standing Committee on September 4, 1991 was recently amended on October 17, 2020, which took effect on June 1, 2021. According to the amended Minors Protection Law, kindergartens and after-school training agencies may not carry out primary school curriculum education for the preschool-aged minors, and online education products and services which are targeted at minors shall not include any links to online games or push any advertisements and other information irrelevant to teaching.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after-school tutoring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Any violation of the foregoing shall be rectified. Moreover, the Alleviating Burden Opinion specifies a series of operating requirements that after-school tutoring institutions must meet regarding the course time, advertisements, tuition fees, etc.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7, 2021, the MOE published on its official website that the MOE,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18, 2021, the MOE further published on its official website that the General Office of MOE, together with five other government authorities, issued a circular requiring all online after-school tutoring institutions that have filed with the local education administration authorities providing tutoring services on academic subjects to obtain the private school operating permit by the end of 2021, and all online after-school tutoring institutions shall, before obtain such permit, suspend enrollment of students and charging fees.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21, 2021, the MOE jointly with certain other PRC government authorities, promulgated the Notice on Strengthening the Supervision of After-School Tutoring Institutions Pre-collection of Fees, which requires the pre-collection of fees by academic AST institutions and non-academic AST institutions be supervised. Local governments will establish bank custodians or risk reserves to mitigate the related risks suitable for their own jurisdictions.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3, 2022, the MOE jointly with SAMR and NDRC promulgated the Notice on Regulating Non-Academic After-school Training Institutions, which provide that, among others, (i) non-academic after-school tutoring institutions shall have the corresponding qualifications and their staffs shall have the corresponding certificates for their profession; (ii) non-academic after-school tutoring institutions shall ensure that training contents and training methods are suitable for the students’ age, mental and physical characteristics and cognitive level. The notice also specifies a series of operating requirements that non-academic after-school tutoring institutions must meet regarding the course content, course time, advertisements, tuition fees, contract form and premise, etc.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MOE together with twelve other government authorities issued the Opinions on Standardizing Non-Academic After-School Tutoring for Primary and Secondary School Students, or Standardizing Opinions, which reiterates that local authorities shall identify corresponding competent authorities for different tutoring categories and shall set forth basic standards for establishment and approval procedures for online and offline tutoring institutions of the corresponding categories based on local conditions. In addition, the Standardizing Opinions provide that local authorities shall standardize daily operations and strengthen daily supervision of non-academic after-school tutoring, including: (i) in terms of training content and training time, non-academic tutoring institutions shall not provide academic tutoring courses, and the training time shall not conflict with the teaching time of local primary and secondary schools; the offline training shall end no later than 20:30, and the online training shall end no later than 21:00; (ii) in terms of price, non-academic tutoring institutions shall follow the principles of fairness, legality and good faith, set prices according to training costs, market supply and demand, etc. and such prices shall be reported to the competent authorities and be made to the public; (iii) in terms of pre-collection of fees, all fees collected by the tutoring institution shall be put into the special account, training fees shall not be paid by training loans; the pre-collected fees shall be included into supervision and shall not be collected for more than 60 classes, for a course length of more than three months or over RMB5,000 in one time or in the form of recharge, card and other disguised charges; and (vi) all non-academic tutoring institutions shall be included in the unified management through the National Platform for Supervision and Service of After-School Education and Training.</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E-commerce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26, 2014, SAIC issued the Administrative Measures for Online Trading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In order to further regulate online transaction activities, on March 15, 2021, SAMR issued the Online Trading Supervision and Management Measures (“Online Trading Supervision Measures”), which became effective on May 1, 2021 and replace the Online Trading Measures. The Online Trading Supervision Measures shall apply to the business activities of selling commodities or providing services in social networking, internet live streaming or other information network activities and it further regulates the operations of online trading.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14, 2022, the SAMR issued the Provisions on Clearly Marking Prices and Prohibiting Price Fraud to regulate the clear marking of prices (referring to such activities of business operators as publicly marking prices and other information in accordance with the law in the process of selling or purchasing goods or providing services), prevent and stop price fraud (referring to such activities of business operators as luring consumers or other business operators into trading with them by false or misleading pricing means), which became effective on July 1, 2022. According to the provisions, (i) business operators selling goods or providing services via the Internet or by other means shall clearly mark prices through the Web pages by text, images or other means; (ii) where business operators compare prices at the time of selling goods or providing services, the information on the compared price indicated shall be true and accurate, where a business operator fails to indicate the detailed information on the compared price, the compared price shall not be higher than the lowest transaction prices within seven days before the business operator carries out price comparison at the same business venue, and where there is no transaction within the said seven days, the compared price shall not be higher than the last transaction price before this price comparison is made; (iii) business operators shall not adopt prices without basis or method of comparison as the basis for calculation of discount or price reduction or the prices to be compared. Furthermore, no online trading platform operator may force the business operators on the platform to mark prices in a false or misleading manner by technical means or otherwise.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5, 2015, SAIC issued the Measures for the Punishment of Conduct Infringing the Rights and Interests of Consumers (the “Consumer Conduct Measures”), which was amended on October 23, 2020 and became effective on the same date.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this information in any form, or sending promotional message to consumers despite their express refusal. On January 6, 2017, SAIC issued the Interim Measures for Return of Online Purchases within seven Days without Reason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 On November 21, 2019, the SAMR issued the Interim Provisions on Administration of Consumer Product Recalls, which became effective on January 1, 2020. The provisions clarify the recall obligations and responsibilities of both the producers of consumer goods and the operators selling, leasing, or repairing consumer goods. Defects are defined in the provisions as unreasonable danger found commonly in the same batch, model number or type of consumer goods due to design, manufacturing, or labeling etc., which compromises personal safety and property safety. According to the provisions, manufacturers are accountable for the safety of consumer goods manufactured by them, and, where there are defects, the manufacturer must recall the goods. On March 1, 2022, the Supreme People’s Court released the Provisions of the Supreme People’s Court on Several Issues Concerning the Application of Law in the Trial of Cases of Disputes over Online Consumption (I), effective on March 15, 2022, which stipulated, among other things, the validity of relevant standard clauses provided by e-commerce business operators, recognition of parties to assume liabilities and civil liabilities in live streaming marketing.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Food Safety Law of the PRC, promulgated on February 28, 2009 and effective on June 1, 2009, was amended on April 29, 2021 with effect from the same date. This amendment provides that the sale of pre-packaged food only is not subject to a permit but needs to file a record with the competent authority.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 Under the regulation, legal persons, persons in charge, managers who are directly in charge and individuals who are directly responsible will be fined if the entity they worked for was found to be intentionally committing an illegal act.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Online Advertising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Regulations for the Administration of Advertising promulgated by the State Council, which took effect on December 1, 1987, websites engaged in advertising must apply for a business license to conduct such business.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9, 2012, SAIC and several other government authorities jointly issued the Rules on Review of Advertisement Release by Public Media, which, among other things, states that public media (including internet information service providers) shall have advertisement reviewers, who must participate in and pass trainings in relation to advertisement laws, regulations and business, after which, the reviewers should perform tasks including reviewing advertisements to be released and managing advertisement review archives.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24, 2015, the Standing Committee of the National People’s Congress enacted the Advertising Law of the PRC (the “New Advertising Law”), and last amended on April 29, 2021.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2016, SAIC promulgated the Provisional Measures of Internet Advertising Management, which took effect on September 1, 2016. According to these measures: (i) an internet advertisement should be identifiable and clearly labeled as “advertisement;” (ii) paid search advertisements should be clearly distinguished from natural search results; (iii) advertisements published in the form of pop-up or other forms should be clearly marked with a “Close” sign to ensure “Single Click to Close;” and (iv) no entity or individual may induce users to click on the contents of an advertisement through deception, or attach advertisements in any form to an e-mail without user’s permission.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24, 2023, the SAMR promulgated the Measures for Internet Advertising Management, which will become effective on May 1, 2023, to replace the Provisional Measures of Internet Advertising Management. The new measures (i) detail the rules on advertising management in some key areas, such as internet advertising with links, advertising paid for ranking, advertising published via algorithmic recommendation, and advertising published via online live streaming; (ii) specify that internet platform operators providing information services shall fulfill obligations of internet information service providers such as recording and keeping relevant information, actively discovering and deleting illegal advertisements, establishing a complaint handling mechanism, and cooperating with market regulatory authorities to monitor advertisements and investigate illegal activities in internet advertisements; (iii) provide that entities engaged in the design, production, agency, publishing or other activities of internet advertisements shall bear the obligations and responsibilities of advertising agencies, advertisement publishers and other subjects according to relevant laws.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2022, the SAMR, together with CAC, MOCT, NRTA, CBIRC, CSRC and China Film Administration, published the Guiding Opinions on Further Regulating Celebrities’ Endorsements in Advertising, which requires that the operators of advertising release carriers such as internet shall strictly conduct internal review, properly prepare and keep advertising release archives in accordance with law, establish and improve the internal review system for advertising release, intensify the review of the content of advertisements endorsed by celebrities, resolutely correct bad advertising information which (i) violates the correct direction, (ii) creates hype by taking advantage of sensitive topics, or (iii) is vulgar and kitsch, and timely stop the release of advertisements endorsed by illegal or immoral celebrities. The internet information service providers, as a part of the whole chain of endorsement activities, shall assume the related legal liabilities for the illegal endorsement activities.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Regulations on Online Music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8, 2015, the National Copyright Administration issued the Circular regarding Ceasing Transmitting Unauthorized Music Products by Online Music Service Providers, which requires that: (i) all unauthorized music products on the platforms of online music services providers be removed prior to July 31, 2015, and (ii) the National Copyright Protection Center investigate and punish online music services providers who continue to transmit unauthorized music products following July 31, 2015. On October 23, 2015, the Ministry of Culture promulgated the Circular on Further Strengthening and Improving the Content Administration of Online Music, effective as of January 1, 2016, which provides that internet culture operating entities shall report through a nationwide administrative platform: (i) its content administration system, department, staffing, job responsibilities, monitoring process and specifications etc., to its local provincial cultural administrative department; and (ii) the details of its self-monitoring activities to the Ministry of Culture on a quarterly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Regulations on Internet Live Streaming Services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4, 2016, the CAC issued Administrative Provisions on Internet Live Streaming Services, which became effective on December 1, 2016. Under the regulation, “internet live streaming” refers to the activities of continuously releasing real-time information to the public based on the internet in forms such as video, audio, images and texts, and “internet live streaming service providers” refers to the operators that provide internet live streaming platform services. In addition, the internet live streaming service providers shall take various measures when operating its services, such as examining and verifying the authenticity of the identification information and file this information for record.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 2016, the MOC issued the Administrative Measures for Business Activities Relating to Online Performance, which took effect on January 1, 2017. Under the Measures, an online performance business operator engaging in business operations of online performance shall obtain a Permit for Cyber Culture Business Operations, the business scope of which shall specify that online performance is included. An online performance business operator shall assume the primary responsibility for the business operations of online performance carried out thereby and shall, in accordance with the requirements of relevant laws, develop sound administrative rules for content examination, appoint examiners that meet the needs of self-examination and have obtained corresponding qualifications, and establish technical regulatory measures that meet the needs of content management.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14, 2020, the MOCT issued the Notice on Deepening Reform of “Streamline Administration, Delegating Power and Improving Services” to Promote Prosperity and Development of the Performance Market, which took effect on the same date. Under this Notice, those who provide real time live artistic performance to the public through the internet for the purpose of making profits, shall go through the formalities of application for approval in accordance with the Regulations for the Administration of Commercial Performances and other relevant provisions, and the online communication services shall be provided by internet cultural units with network culture operation license.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Guiding Opinions on Strengthening the Standardised Management of Network Live Broadcasting issued by CAC, National Office of Combating Pornography and Illegal Publications, MIIT, the Ministry of Public Security, MOCT, SAMR and NRTA on February 9, 2021, live streaming platforms that carry out business-oriented online performance activities must hold the internet cultural business license and carry out ICP filing; live streaming platforms that carry out network audio-visual program services must hold the AVSP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shall file with local cyberspace administration office in a timely manner, and shall cancel its filing immediately after it ceases to provide live streaming services. In addition, the Opinions also cover several other aspects, including urging the implementation of the subject responsibilities of platforms and anchors, regulating the code of conduct of users, ensuring correct guidance and content safety, and strengthening the protection of minors.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30, 2021, the MOCT issued the Online Performance Brokerage Agencies Measures, which took effect on the same date. Pursuant to the Measures, in order to engage in performance brokerage activities, an online performance brokerage agency shall legally obtain a commercial performance permit. An online performance business entity shall assume the primary responsibilities for its online performance business activities and verify the qualifications of online performance brokerage agencies on the platform. In addition, any online performance brokerage agency that has been engaging in online performance brokerage activities before the implementation of the Measures may obtain the business qualification within the buffer period of 18 months after the implementation of the Measures. On October 10, 2022, the MOCT issued the Notice on Extending the Policy Buffer Period of the “Online Performance Brokerage Agencies Measures,” which took effect on the same date and extends the policy buffer period to February 29, 2024.</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20, 2022, the NRTA issued the Administration Measures for Brokerage Agencies in the Field of Radio and Television and Internet Audio-Video, which became effective on June 30, 2022. The measures stipulate that, among others, (i) a brokerage agency shall obtain the consent from minors’ legal guardians before providing brokerage services to minors; and (ii) a brokerage agency shall strengthen the daily account maintenance of and supervision over any official fans group and fans club, and shall not appoint any minor to be the group leader or person in charge of such accounts.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Circular on Tightening the Administration of Internet Live Streaming Services jointly issued by the MIIT, the MOCT, and several other government agencies on August 1, 2018, live streaming services providers are required to file with the local public security authority within 30 days after it commences the service online.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Law of the PRC on the Protection of Minors, or the Minors Protection Law, issued by the National People’s Congress Standing Committee on September 4, 1991, was recently amended on October 17, 2020 and took effect on June 1, 2021. Under the amended Minors Protection Law, online product and service providers shall avoid providing content for minors that might induce obsession by minors. Online product and service providers such as providers of online games, online broadcasts, online audio/video or online social networks shall set up appropriate functions such as the management of time, authority and spending of minors using their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2020, NRTA issued the Notice on Strengthening the Administration of Online Show Live and E-commerce Live Streaming, or the Notice 78, which set forth registration requirements for platforms providing online show live streaming or e-commerce live streaming to have their information and business operations registered by November 30, 2020. The Notice 78 made it clear that live streaming platforms should implement real-name management systems. Live streaming platforms should manage the contents of live studios and the corresponding hosts with labels by categories such as “music,” “dance,” “singing,” “fitness,” “games,” “travel,” “food” and “life services.” Live streaming platforms should set up business-level rating systems for live studios and hosts, refine program quality ratings and the rating systems if there are violations, and the recommendations or promotions for live studios and hosts shall be associated with such ratings.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23, 2021, the CAC and several other government authorities jointly issued the Administrative Measures for Online Live Streaming Marketing (for Trial Implementation), which became effective on May 25, 2021. The Measures stipulate the corresponding responsibilities and obligations of entities and persons who engage in online live streaming marketing activities such as live streaming marketing platforms, live streaming room operators, live streaming marketing personnel and service agencies for live streaming marketing personnel, and specify the bottom-line rules that such entities and persons shall abide by when engaging in online live streaming marketing activities, including the rules on key links for the management of live streaming rooms. Pursuant to the Measures, live streaming room operators and live streaming marketing personnel shall do a good job in real-time management of interactive content such as voice and video connectivity, comments and bullet screens in accordance with the platform service agreement, and shall not deceive or mislead users by deleting or blocking relevant adverse comments or other means. In particular, the Measures stipulate that if the live streaming contents constitute commercial advertisements, relevant duties and obligations of advertisement publishers or advertising agents under the Advertisement Law shall be performed.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25, 2022, the CAC, the STA, and the SAMR jointly issued the Opinions on Further Regulating Profit-Making Activities of Online Live Streaming to Promote Healthy Development of the Industry (the “Live Streaming Profit-Making Regulating Opinions”), which became effective on the same date. The Live Streaming Profit-Making Regulating Opinions further regulate profit-making activities of online live streaming in the following four aspects: (i) further implementing the primary responsibility of management of online live streaming platforms, covering the management of online live streaming account registration, the classification and management of online live streaming accounts, and cooperation with law enforcement activities; (ii) regulating online live streaming marketing practices, including actively creating a fair competition environment for online live streaming services and protecting the lawful rights of businesses and consumers; (iii) regulating tax administration and promoting tax compliance; and (iv) strengthening information sharing among regulatory authorities such as cyberspace authorities, tax authorities and market regulation authorities and enhancing joint rewards and punishments system. Under the Live Streaming Profit-Making Regulating Opinions, online live streaming platforms shall semiannually report information such as the personal identity, live streaming account, online nickname, receiving account, income type and profitability status of the online live streaming publishers who engage in profitable online live streaming activities to competent cyberspace authorities and tax authorities in the places where the platforms are located.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12, 2022, the NRTA and the Propaganda Department of the Central Committee of the Communist Party of China issued the Circular on Strengthening the Administration of Game Live Streaming on Online Audio-visual Platforms, which requires that (i) it is prohibited to live broadcast any online game that is not approved by the competent authority in online audio-visual programs such as live streaming, or to attract visits to any illegal game content on various platforms in the form of live streaming room or by other means; (ii) all live streaming platforms, especially game live streaming platforms, shall strengthen the management of online game live streaming programs in such aspects as content setup, advertisement and interaction; (iii) online live streaming platforms shall implement the requirements for real-name registration, prohibit minors from recharging and gifting, and establish a special channel for handling the return of gifting by minors.; (iv) online audio-visual platforms (including various domestic and foreign personal and institutional accounts opened on the relevant platforms) shall obtain approval for live broadcasts of overseas game programs or competitions before carrying out relevant activities. On May 7, 2022, the Office of the Central Guidance Commission on Building Spiritual Civilization, MOCT, NRTA and CAC jointly issued the Opinions on Regulating Online Live Streaming Virtual Gifting and Strengthening the Protection of Minors, or the Live Streaming Opinions, which iterate the requirements for live streaming platforms in respect of strengthening real-name registration, prohibiting minors from virtual gifting and restrictions on providing live streamer services to minors. Pursuant to the Live Streaming Opinions, online platforms are prohibited from ranking, introducing or recommending live streaming performers solely by the monetary amount of virtual gifts that they have received from users, nor could the platforms rank users based on the monetary amount of virtual gifts that they have sent to live streaming performers. Any such rankings currently available on these online platforms was ordered to be removed by June 7, 2022 according to the Live Streaming Opinions. In addition, the online platforms shall procure that, during the peak hours (from 8.00 p.m. to 10.00 p.m.) every day, each live streaming performer shall not engage in “PKs” (i.e. real-time interactive competitive game between two performers) against another performer for more than twice, and the online platforms shall not impose penalty within the PKs or provide any technical support to facilitate imposing such penalty. The online platforms shall compulsorily log off all services in the “teenager mode” (i.e. a beneficial way that is subject to strict content selection and is suitable for minors to watch and use) after 10.00 p.m. every day, and it is not allowed to provide or provide in disguised forms the way to start the regular mode, so as to ensure sufficient rest time for teenagers.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8, 2022, the NRTA and the MOCT issued the Code of Conduct for Live Streaming Hosts, which requires that online performance or audio-visual platforms and brokerage agencies shall strictly perform their statutory duties and obligations and implement their primary responsibilities, including , among others: (i) strengthening the education and training, daily management, and normative guidance for live streaming hosts; (ii) developing and improving internal systems and norms such as the entry, training, daily management, business scoring files, and “red and yellow cards” management of live streaming hosts; (iii) blocking the accounts of live streaming hosts whose violations are grave in nature, or who have repeatedly committed violations but failed to amend, adding the relevant live streaming hosts into the “blacklist” or “warning list” and prohibiting the relevant live streaming hosts from carrying out live streaming again via other accounts or platforms or any other forms.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Anti-Unfair Competition and Anti-Monopoly Matters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Anti-Unfair Competition Law, which took effect on December 1, 1993 and last amended on April 23, 2019,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shall bear corresponding civil, administrative or criminal liabilities depending on the specific circumstances.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Anti-Monopoly Law, which took effect on August 1, 2008 and last amended on June 24, 2022,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issued the PRC Anti-Monopoly Law (Revised 2022), which took effective on August 1, 2022. The revised version (i) makes changes to the merger review process by enabling SAMR to review non-threshold transactions and introducing the stop-clock system, (ii) changes the rules on anticompetitive agreements for resale price maintenance, introducing a “safe harbor” for vertical monopoly agreement, (iii) provides undertakings “may not organize other undertakings to reach a monopoly agreement or provide substantial assistance for other undertakings to reach a monopoly agreement,” (iv) increases in fines imposed on different parties, e.g., amending the fine for illegal concentration of business operators from “a fine of up to RMB500,000” to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(v) creates new fines, including, for example, the specific amount of the fine at not less than two times but not more than five times of the normal amount of the fine determined by the competent authority in case of particularly serious circumstances with particularly adverse effects and serious consequences, and (vi) further targets the digital economy by adding language which prevents undertakings from “using data and algorithms, technologies, capital advantages, platform rules, etc. to engage in monopolistic behavior prohibited by this Law.” Such provisions are relatively new, and the interpretation and enforcement of these provisions involve uncertainties.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24, 2023, the SAMR issued the Provisions on the Prohibitions of Monopoly Agreements, the Provisions on the Prohibitions of Acts of Abuse of Dominant Market Positions and the Provisions on Review of Concentration of Undertakings, all of which took effect on April 15, 2023. The provisions detail the relevant rules set forth in the PRC Anti-Monopoly Law (Revised 2022) and further elaborate on the factors to be taken into consideration when assessing monopoly agreements, acts of abusing market dominance and concentration of undertakings. For example, (i) the Provisions on Prohibitions of Monopoly Agreements clarify the subject scope of “undertakings with a competitive relationship” in horizontal monopoly agreements; and (ii) the Provisions on Review of Concentration of Undertakings specify the factors such as “control right” and “implementation of concentration” in the review of the concentration of undertakings.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SAMR issued the Draft Provisions on Preventing Unfair Online Competition for public comment, which mainly regulates the production and operation activities of business operators through the internet and other information networks, and specifically stipulates the general norms of online competition, prohibits the use of technical means to impede, interfere or conduct other unfair competition behaviors and prohibits the use of technical means to conduct other online unfair competition behaviors. As of the date of the filing of this annual report, the Draft Provisions on Preventing Unfair Online Competition has not been formally adopted, and due to the lack of further clarification, there are still uncertainties regarding the interpretation and implementation of the Draft Provisions on Preventing Unfair Online Competition.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22, 2022, the SAMR issued a draft amendment to the PRC Anti-Unfair Competition Law for public comments, which (i) sets forth detailed rules on unfair competition in the Digital Economy, e.g., improperly obtaining and using another business operator’ commercial data, using algorithms to analyze user preferences to implement unreasonable differential treatment, improperly excluding or obstructing the access and trading of the products or services, (ii) supplements and improves the existing forms of unfair competition behaviors, including, for example, adding the types of identifiers that constitute commercial confusion and detailing the rules for false publicity, (iii) provides for new types of unfair competition behaviors, such as provisions on abuse of a comparative dominant position and malicious transactions, and (iv) improves the legal liability for violation of anti-unfair competition provisions, e.g., setting corresponding penalties for newly provided illegal activities such as activities harming fair trade, malicious transactions, and new-type network unfair competition.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Payment and Finance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2010, the PBOC issued the Measures for the Administration of Non-financial Institutions Engaging in Payment and Settlement Services (the “PBOC Measures”), which was amended on April 29, 2020 and became effective on the same date. The PBOC Measures requires that non-financial institutions engaging in the payment business before September 1, 2010 obtain a permit, the Payment Service Permit, from the PBOC by August 31, 2011 to continue operating their business. On December 1, 2010, the PBOC issued the Implementation Rules for the Measures for the Administration of Non-financial Institutions Engaging in Payment and Settlement Services (last amended on July 20, 2021), which further elaborates on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On December 28, 2015, the PBOC issued the Administrative Measures for Internet Payment Services of Non-bank Payment Institutions, which became effective on July 1, 2016, and requires that non-bank payment institutions implement the real-name verification system for payment accounts and take effective measures to verify the personal information of clients. The measures also require that if non-bank payment institutions engage in transferring money between payment accounts and bank accounts, all of these accounts shall be owned by the same client. On January 13, 2017, the PBOC issued the Notice of the PBOC on Matters concerning Implementing the Centralized Deposit of the Funds of Pending Payments of Clients of Payment Institutions, which requires that, from April 17, 2017, a payment institution shall deposit a certain percentage of the funds from its clients, pending payment from such clients, in a special deposit account with a designated financial institution where no interest on the percentage of funds shall accrue.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shall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20, 2021, the PBOC issued the Measures for the Administration of Reporting of Major Events by Non-bank Payment Institutions, which became effective on September 1, 2021. Under the Measures, “major events” refers to major business operation matters that shall be reported in advance in accordance with the laws and regulations and the rules of the PBOC, as well as matters that may have major impact on the business operation status of payment institutions (including branches), rights and interests of financial consumers, and financial and social stability, and shall be reported ex post. The Measures further specify the scope of major events that shall be reported in advance and the reporting procedures for major events. Pursuant to the Measures, a payment institution shall maintain communication with branches of the PBOC, and actively cooperate with the PBOC and its branches in effectively monitoring, preventing and resolving risks. A branch of the PBOC where an incorporated payment institution is located shall be the primary regulator for the reporting of major events by the payment institution.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 2022, the Standing Committee of the National People’s Congress issued the Anti-Telecom and Online Fraud Law of PRC, effective on December 1, 2022, which requires that non-bank payment institutions, together with banking financial institutions, shall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Specifically, non-bank payment institutions together with banking financial institutions shall, among others, (i) be entitled to strengthening verification or rejecting the account opening if abnormal account opening circumstances are identified; (ii) take necessary preventive measures such as verifying the transaction information, re-verifying identity, delaying payment and settlement, and restricting or suspending relevant businesses, in light of risk situation, for the abnormal accounts and suspicious transactions identified in the monitoring.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18, 2015, PBOC, MIIT, Ministry of Public Security, MOF, SAIC, Legislative Affairs Office of the State Council, CBRC, the CSRC, China Insurance Regulatory Commission and the CAC jointly issued the Guiding Opinions on Promoting the Healthy Development of Internet Finance, which was imperative in encouraging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15, 2020, PBOC issued the Implementing Measures for Protection of Financial Consumers’ Rights and Interests, which took effect on November 1, 2020. Under the implementing measures, when explaining important contents and disclosing risks to financial consumers, banks and payment institutions shall, in accordance with laws, regulations and regulatory provisions, keep the relevant materials for at least three years from the date of termination of the business relationship.</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Intellectual Property Rights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has adopted comprehensive legislation governing intellectual property rights, including patents, trademarks, copyrights and domain names.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Patent Law of the PRC (Revised in 2008) promulgated by the Standing Committee of the National People’s Congress, and its Implementation Rules (Revised in 2010) promulgated by the State Council, the National Intellectual Property Administration of China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Patent Law of the PRC was further amended by the Standing Committee of the National People’s Congress in October, 2020 and became effective on June 1, 2021, pursuant to which invention patents are valid for twenty years, while design patents are valid for fifteen years and utility model patents are valid for ten years, commencing from the date of application. Where a patent right for invention is granted after three years from the date of request for substantial examination of a patent for invention and after four years from the filing date, the patent administrative department under the State Council shall grant compensation for the duration of the patent right due to any unreasonable delay in grant of patent rights at the request of the applicant, except for any unreasonable delay caused by the applicant.  In addition, the Law of the Patent PRC (Revised in 2020) provides criterial for compensation amount for intentional patent infringement, i.e. one to five times of actual loss suffered by the rights holder due to the infringement or the gains obtained by the infringer from the infringement, and the extension of the limitation of action for patent infringement to three years. To align with the amended Patent Law, the National Intellectual Property Administration of China is in the process of revising the implementation rules of the Patent Law.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Trademark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Copyright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Standing Committee of National People’s Congress adopted the Copyright Law of the PRC in 1990 and amended it in 2001, 2010 and 2020, respectively. The latest amended Copyright Law became effective on June 1, 2021, according to which relevant provisions on copyright protection in cyberspace have been further improved, including, for example, the scope of “broadcasting right” and the scenarios in which sound recording producers can receive remunerations have been expanded, and the description of “cinematographic works or works created using methods similar to film making” are revised as “audio-visual works.” In addition, the latest amendment raises the maximum amount of statutory damages for copyright infringement while setting a minimum limit.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further implement the Copyright Law of the PRC, the Regulations of the PRC for the Implementation of Copyright Law was promulgated by the State Council on September 15, 2002 and last amended on January 30, 2013.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Copyright Law and its implementation rules, creators of protected works enjoy personal and property rights, including, among others, the right of disseminating the works through information networks. In addition, the Regulations for the Protection of Information Network Transmission Right promulgated by the State Council on May 18, 2006, and amended on January 30, 2013, specify the rules on a safe harbor for use of copyrights and copyright management technology.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further implement the Regulations for the Protection of Computer Software promulgated by the State Council on December 20, 2001 and last amended on January 30, 2013, the State Copyright Bureau issued the Registration of Computer Software Copyright Procedures on February 20, 2002, which applies to software copyright registration, license contract registration and transfer contract registration.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Domain name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Overseas Listing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6 July 2021, the General Office of the CPC Central Committee and the General Office of the State Council jointly promulgated the Opinions on Strictly Cracking Down on Illegal Securities Activities, which call for the enhanced administration and supervision of overseas-listed China-based companies, propose to revise the relevant regulation governing the overseas issuance and listing of shares by such companies and clarified the responsibilities of competent domestic industry regulators and government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In addition, subsequent securities offerings of an issuer in the same overseas market where it has previously offered and listed securities shall be filed with the CSRC within three working days after the offering is completed. Meanwhile, overseas offering and listing would be prohibited under certain circumstances, including but not limited to that (i) the offering and listing are expressly forbidden by the PRC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 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 5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order to support domestic companies’ overseas securities offering and listing pursuant to PRC laws and regulations, as a supplement to the Filing Rules, on February 24, 2023, CSRC and other three PRC regulatory authorities jointly issued the Provisions on Strengthening Confidentiality and Archives Administration of Overseas Securities Offering and Listing by Domestic Companies (the “Confidentiality and Archives Administration Provisions”), which took effect on March 31, 2023 with the Filing Rules, according to which, a domestic company that seeks overseas offering and listing, and the securities companies and securities service providers that undertake relevant businesses shall strictly abide by applicable PRC laws and regulations and perform relevant confidentiality and archives administration obligations. To be specific, a domestic company that plans to, either directly or through its overseas listed entity, publicly disclose or provide to relevant individuals or entities including securities companies, securities service providers and overseas regulators, (i) any documents and materials that contain state secrets or working secrets of government agencies, shall first obtain approval from competent authorities and file with competent secrecy administrative department; (ii) any other documents and materials that, if leaked, will be detrimental to national security or public interest, shall strictly fulfill relevant procedures stipulated by applicable national regulations. A domestic company that provides documents and materials to securities companies and securities service providers shall abide by applicable national regulations on confidentiality in handling such documents and materials, and shall provide a written statement simultaneously.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the Filing Rules and the Confidentiality and Archives Administration Provisions are relatively new, there are substantial uncertainties with respect to their interpretation and implementation.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Organizational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organizational structure is set forth above under Item 4.B. “Information on the Company—Business Overview—Our Organizational Structure.”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          Property, Plants and Equipment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principal executive offices are currently located at NetEase Building, No. 599 Wangshang Road, Binjiang District, Hangzhou, People’s Republic of China 310052. In addition, as of December 31, 2022, we have leased office, warehouse, store facilities and others with an aggregate of approximately 481,546 square meters of space at properties mainly in Shanghai, Guangzhou and Hangzhou.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own and occupy several office building and research and development centers in Hangzhou and Guangzhou, China with a total floor area of approximately 304,000 and 237,000 square meters, respectively,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95,000 square meters, where our advertising services and Youdao are located.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 the process of constructing several new office buildings, primarily located in Shanghai and Hangzhou. As of December 31, 2022, we had incurred construction in progress costs of RMB1,586.6 million (US$230.0 million) for these new office buildings, which primarily comprise costs for building construction.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2022, we owned approximately 141,000 network servers co-located mainly in the facilities of China Telecom’s affiliates, China Unicom’s affiliates and China Mobile’s affiliates for which we paid server and bandwidth service fees, and we leased dedicated lines mainly from various affiliates of China Telecom, China Unicom and China Mobile pursuant to short term contracts. Our server and bandwidth service fees were approximately RMB1,936.0 million (US$280.7 million) for the year ended December 31, 2022.</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70" w:name="_f75f0e61_887f_4734_84f3_d884a7bc2c86"/>
      <w:bookmarkEnd w:id="70"/>
      <w:r>
        <w:rPr>
          <w:rFonts w:ascii="Times New Roman;Times;serif" w:hAnsi="Times New Roman;Times;serif"/>
          <w:b/>
          <w:sz w:val="20"/>
        </w:rPr>
        <w:t>Item 4A.   Unresolved Staff Comments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71" w:name="Item5OperatingandFinancialReviewandProsp"/>
      <w:bookmarkStart w:id="72" w:name="_4de4105a_928e_4a52_b12b_dbdefa8f201e"/>
      <w:bookmarkEnd w:id="71"/>
      <w:bookmarkEnd w:id="72"/>
      <w:r>
        <w:rPr>
          <w:rFonts w:ascii="Times New Roman;Times;serif" w:hAnsi="Times New Roman;Times;serif"/>
          <w:b/>
          <w:sz w:val="20"/>
        </w:rPr>
        <w:t>Item 5.   Operating and Financial Review and Prospects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“Key Information—Risk Factors.” Actual results could differ materially from those projected in the forward-looking statements.  We caution you that our businesses and financial performance are subject to substantial risks and uncertainties.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Operating Results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successful online game business, developing and operating a rich portfolio of highly popular titles. Leveraging on our user insights and execution expertise, we have also incubated and developed in-house a pipeline of successful businesses, including our intelligent learning platform, Youdao, online music platform, NetEase Cloud Music, and other innovative businesses, ranging from e-commerce to advertising services, e-mail, payment platform and other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generated net revenues of RMB73,667.1 million, RMB87,606.0 million and RMB96,495.8 million (US$13,990.6 million) in 2020, 2021 and 2022, respectively. Our net income attributable to the Company’s shareholders was RMB12,330.2 million, RMB16,976.2 million and RMB20,337.6 million (US$2,948.7 million) in 2020, 2021 and 2022, respectively. Net income attributable to the Company’s shareholders in 2022 included net income from discontinued operations of RMB624.9 million (US$90.6 million) which was related to the prior disposal of our </w:t>
      </w:r>
      <w:r>
        <w:rPr>
          <w:rFonts w:ascii="Times New Roman;Times;serif" w:hAnsi="Times New Roman;Times;serif"/>
          <w:i/>
          <w:sz w:val="20"/>
        </w:rPr>
        <w:t>Kaola</w:t>
      </w:r>
      <w:r>
        <w:rPr>
          <w:rFonts w:ascii="Times New Roman;Times;serif" w:hAnsi="Times New Roman;Times;serif"/>
          <w:sz w:val="20"/>
        </w:rPr>
        <w:t xml:space="preserve">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CORPORATE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company was incorporated in the Cayman Islands. NetEase, Inc. conducts its business in China through its subsidiaries and the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online music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Hangzhou Yuedu and certain other affiliated companies. These affiliated companies are considered “variable interest entities” for accounting purposes and are referred to collectively in this annual report as “VIEs.” These contractual arrangements provide us with the power to direct the activities that most significantly impact the economic performance of the VIEs and provide us with economic benefits of these VIEs and as such we are the primary beneficiary and consolidate the VIEs for financial reporting.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subsidiaries provide technical consulting and related services to the VIEs.  In addition, Guangzhou NetEase has a wholly-owned subsidiary, Wangyibao (the operator of our NetEase Pay online payment platform). Please also see Item 4.B. “Information on the Company—Business Overview—Our Organizational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the total assets of all the consolidated VIEs were RMB22.2 billion (US$3.2 billion), mainly comprising cash and cash equivalents, restricted cash, accounts receivable, prepayments and other current assets, net, amounts due from group companies, short-term investments, long-term investments and other long-term assets, net. As of December 31, 2022, the total liabilities of the consolidated VIEs were RMB20.5 billion (US$3.0 billion), mainly comprising accounts payable, deferred revenue, amounts due to group companies and accrued liabilities and other payables.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 Future changes in Chinese government policies affecting the provision of information services, including the provision of online games, online education, online music, live streaming, internet access, online advertising and online payment services, may impose additional regulatory requirements on us or our service providers or otherwise harm our business. Please see Item 3.D. “Key Information—Risk Factors—Risks Related to Our Corporate Structure.”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CONSOLIDATION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include the financial statements of our subsidiaries and the VIEs for which we are the primary beneficiary with the ownership interests of minority shareholders reported as noncontrolling interests. All significant transactions and balances among our company, our subsidiaries and the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continue to deliver original and compelling content and service offerings and effectively operate our existing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game services, our ability to successfully update and expand our existing game franchises and maintain a pipeline of new games across diversified genres and geographic regions will affect our future revenue and financial results.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Our ability to grow our user base and drive user engagement and loyalty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continue to develop proprietary technologies and apply them meaningfully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manage our costs and expenses effectively across all business segments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results of operations are affected by our ability to effectively control our costs and expenses across all of our business segments. We incur revenue sharing costs, including fees shared with distribution channel providers, game developers and other third parties related to mobile games, course instructors related to Youdao’s services, music labels and other copyright and content partners related to Cloud Music’s services and others in connection with our other innovative businesses, which may increase in absolute amounts in the near term as we continue to scale up our operations across our business segments. We may also incur higher content costs in the near term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substantial R&amp;D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make successful strategic investments and acquisitions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our revenue by segment for the periods indicated.</w:t>
      </w:r>
    </w:p>
    <w:tbl>
      <w:tblPr>
        <w:tblW w:w="8899" w:type="dxa"/>
        <w:jc w:val="left"/>
        <w:tblInd w:w="0" w:type="dxa"/>
        <w:tblCellMar>
          <w:top w:w="0" w:type="dxa"/>
          <w:left w:w="0" w:type="dxa"/>
          <w:bottom w:w="0" w:type="dxa"/>
          <w:right w:w="0" w:type="dxa"/>
        </w:tblCellMar>
      </w:tblPr>
      <w:tblGrid>
        <w:gridCol w:w="3346"/>
        <w:gridCol w:w="326"/>
        <w:gridCol w:w="1036"/>
        <w:gridCol w:w="326"/>
        <w:gridCol w:w="1036"/>
        <w:gridCol w:w="326"/>
        <w:gridCol w:w="1036"/>
        <w:gridCol w:w="326"/>
        <w:gridCol w:w="1141"/>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24710" cy="175260"/>
                      <wp:effectExtent l="0" t="0" r="0" b="0"/>
                      <wp:wrapNone/>
                      <wp:docPr id="6" name="Frame5"/>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8" name="Frame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57860" cy="175260"/>
                      <wp:effectExtent l="0" t="0" r="0" b="0"/>
                      <wp:wrapNone/>
                      <wp:docPr id="10" name="Frame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2" name="Frame1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4" name="Frame1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2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22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spacing w:before="0" w:after="0"/>
              <w:ind w:left="0" w:right="0" w:hanging="0"/>
              <w:jc w:val="center"/>
              <w:rPr/>
            </w:pPr>
            <w:r>
              <w:rPr/>
              <w:t>​</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58,719,895</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10,811,122</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3,167,515</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726,843</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4,895,731</w:t>
            </w:r>
          </w:p>
        </w:tc>
        <w:tc>
          <w:tcPr>
            <w:tcW w:w="326" w:type="dxa"/>
            <w:tcBorders/>
            <w:shd w:fill="auto" w:val="clear"/>
            <w:vAlign w:val="center"/>
          </w:tcPr>
          <w:p>
            <w:pPr>
              <w:pStyle w:val="TableContents"/>
              <w:spacing w:before="0" w:after="0"/>
              <w:ind w:left="0" w:right="0" w:hanging="0"/>
              <w:jc w:val="right"/>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shd w:fill="auto" w:val="clear"/>
            <w:vAlign w:val="center"/>
          </w:tcPr>
          <w:p>
            <w:pPr>
              <w:pStyle w:val="TableContents"/>
              <w:spacing w:before="0" w:after="0"/>
              <w:ind w:left="0" w:right="0" w:hanging="0"/>
              <w:jc w:val="right"/>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1,303,749</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6,883,992</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1,148,863</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revenues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73,667,133</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13,990,577</w:t>
            </w:r>
          </w:p>
        </w:tc>
      </w:tr>
    </w:tbl>
    <w:p>
      <w:pPr>
        <w:pStyle w:val="TextBody"/>
        <w:spacing w:before="0" w:after="0"/>
        <w:ind w:left="0" w:right="0" w:firstLine="72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Effective as of the second quarter of 2022, we implemented certain changes to align segment financial reporting more closely with the manner in which our management currently receives and uses financial information to allocate resources and evaluate the performance of reporting segments. We renamed our “online game services” segment as “games and related value-added services,” and transferred certain business lines that are related or ancillary to games from “innovative businesses and others” to “games and related value-added services,” including the NetEase CC live streaming service (a platform offering various live streaming content with a primary focus on game broadcasting) and other value-added services. We retrospectively recast prior periods’ segment information to conform to current period presentation.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our revenues from the provision of games and related value-added services, Youdao, Cloud Music and other innovative businesses and others. No customer individually accounted for greater than 10% of our total revenues for the years ended December 31, 2020, 2021 and 2022.</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generate our mobile game revenues primarily from the sale of in-game virtual items, including avatars, skills, privileges or other in-game consumables, features or functionalities, within the games. We distribute our mobile games through partnerships with major Android- and iOS-based app stores as well as proprietary distribution channels, such as our mobile apps and websites. Users have a variety of payment options for in-game virtual items, including using prepaid points or by making online payments through app stores and other online payment channels. Our mobile game portfolio now consists of over 100 diverse games, and we expect to continue introducing new mobile games each year for the foreseeable future, which we believe will contribute to future growth in net revenues from this segment.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revenues from our PC games mainly through sales of prepaid points. Customers can purchase prepaid points on our NetEase online platforms through debit or credit cards or online payment platforms through which players can directly credit points to their accounts.  Customers also can purchase virtual or physical point cards through our third-party retailers.  Customers can use the points to play our PC games, either to pay for playing time or to purchase virtual items within the games, and use our other fee-based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generate revenue from services which are related or ancillary to the operation of our games such as the NetEase CC live streaming service (a platform offering various live streaming content with a primary focus on game broadcasting) and other value-added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revenue consists of three parts: learning services, smart devices and online marketing services. We currently generate the majority of the revenues of Youdao’s learning services from its tutoring services, which mainly include its existing online courses and digital content services. In order to comply with applicable PRC regulatory requirements adopted by the PRC government in the second half of 2021, Youdao disposed of its Academic AST Business, which historically contributed a significant portion of the learning services revenues. In 2020 and 2021, Youdao’s Academic AST Business contributed RMB640.7 million and RMB1,338.6 million, which accounted for approximately 20.2% and 25.0% of Youdao’s total revenues for those periods, respectively, and 0.9% and 1.5% of our total net revenues for those periods, respectively. Youdao ceased offering its Academic AST Business at the end of December 2021. We also generate revenues from sales of smart devices as well as Youdao’s online marketing services through the provision of different formats of advertisements.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Cloud 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Music’s revenue is primarily generated from (i) online music services through the sales of membership subscriptions in various content and service packages and (ii) social entertainment services and others mainly through the sale of virtual items.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our innovative businesses and others revenues primarily from e-commerce, advertising services, premium e-mail and other value-added services.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Seasonality of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usage of our online games has generally increased around the Chinese holidays, particularly the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experience strong sales of its smart devices during the period leading up to commencement of school terms in September and in connection with various e-commerce promotions in November and December.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Cost of Revenues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our cost of revenues by segment for the periods indicated:</w:t>
      </w:r>
    </w:p>
    <w:tbl>
      <w:tblPr>
        <w:tblW w:w="9214" w:type="dxa"/>
        <w:jc w:val="left"/>
        <w:tblInd w:w="0" w:type="dxa"/>
        <w:tblCellMar>
          <w:top w:w="0" w:type="dxa"/>
          <w:left w:w="0" w:type="dxa"/>
          <w:bottom w:w="0" w:type="dxa"/>
          <w:right w:w="0" w:type="dxa"/>
        </w:tblCellMar>
      </w:tblPr>
      <w:tblGrid>
        <w:gridCol w:w="3346"/>
        <w:gridCol w:w="326"/>
        <w:gridCol w:w="1156"/>
        <w:gridCol w:w="326"/>
        <w:gridCol w:w="1156"/>
        <w:gridCol w:w="326"/>
        <w:gridCol w:w="1156"/>
        <w:gridCol w:w="326"/>
        <w:gridCol w:w="109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24710" cy="175260"/>
                      <wp:effectExtent l="0" t="0" r="0" b="0"/>
                      <wp:wrapNone/>
                      <wp:docPr id="15" name="Frame14"/>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34060" cy="175260"/>
                      <wp:effectExtent l="0" t="0" r="0" b="0"/>
                      <wp:wrapNone/>
                      <wp:docPr id="17" name="Frame16"/>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34060" cy="175260"/>
                      <wp:effectExtent l="0" t="0" r="0" b="0"/>
                      <wp:wrapNone/>
                      <wp:docPr id="19" name="Frame1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34060" cy="175260"/>
                      <wp:effectExtent l="0" t="0" r="0" b="0"/>
                      <wp:wrapNone/>
                      <wp:docPr id="21" name="Frame20"/>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5960" cy="175260"/>
                      <wp:effectExtent l="0" t="0" r="0" b="0"/>
                      <wp:wrapNone/>
                      <wp:docPr id="23" name="Frame2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4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(22,730,558)</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(4,028,362)</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(1,713,229)</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(352,424)</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(5,491,066)</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(1,116,265)</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(4,748,878)</w:t>
            </w:r>
          </w:p>
        </w:tc>
        <w:tc>
          <w:tcPr>
            <w:tcW w:w="326" w:type="dxa"/>
            <w:tcBorders/>
            <w:shd w:fill="CCEEFF" w:val="cle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shd w:fill="CCEEFF" w:val="cle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(843,157)</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(34,683,731)</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(6,340,208)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games and related value-added services consists primarily of revenue sharing costs paid to distribution channel providers, game developers and broadcasters, staff-related costs, royalties and consultancy fees related to our licensed games, server and bandwidth service fees, service fees related to online payments, depreciation and amortization of servers, computers and software and other direct costs of providing these services.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of Youdao consists primarily of revenue sharing costs paid to Youdao’s course instructors, teaching assistants and course development personnel, payment channel fees, costs of course materials, costs relating to the sales of smart devices and traffic acquisition costs.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Cloud 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of Cloud Music consists primarily of content licensing fees paid to music labels, independent artists and other copy right partners, revenue sharing fees paid to live streaming performers and their agencies, advertising service-related costs, music and entertainment event related costs, depreciation of property, plant and equipment, professional fees, employee benefit expenses and payment channel fees.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Innovative Businesses and Others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related to our innovative businesses and others segment consists primarily of cost of merchandise sold in our e-commerce business and content fees and revenue sharing costs paid to third-parties.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Operating Expenses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principal components of our operating expenses for the periods indicated:</w:t>
      </w:r>
    </w:p>
    <w:tbl>
      <w:tblPr>
        <w:tblW w:w="8959" w:type="dxa"/>
        <w:jc w:val="left"/>
        <w:tblInd w:w="0" w:type="dxa"/>
        <w:tblCellMar>
          <w:top w:w="0" w:type="dxa"/>
          <w:left w:w="0" w:type="dxa"/>
          <w:bottom w:w="0" w:type="dxa"/>
          <w:right w:w="0" w:type="dxa"/>
        </w:tblCellMar>
      </w:tblPr>
      <w:tblGrid>
        <w:gridCol w:w="3091"/>
        <w:gridCol w:w="326"/>
        <w:gridCol w:w="1156"/>
        <w:gridCol w:w="326"/>
        <w:gridCol w:w="1156"/>
        <w:gridCol w:w="326"/>
        <w:gridCol w:w="1156"/>
        <w:gridCol w:w="326"/>
        <w:gridCol w:w="109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62785" cy="175260"/>
                      <wp:effectExtent l="0" t="0" r="0" b="0"/>
                      <wp:wrapNone/>
                      <wp:docPr id="24" name="Frame23"/>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34060" cy="175260"/>
                      <wp:effectExtent l="0" t="0" r="0" b="0"/>
                      <wp:wrapNone/>
                      <wp:docPr id="26" name="Frame2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34060" cy="175260"/>
                      <wp:effectExtent l="0" t="0" r="0" b="0"/>
                      <wp:wrapNone/>
                      <wp:docPr id="28" name="Frame27"/>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34060" cy="175260"/>
                      <wp:effectExtent l="0" t="0" r="0" b="0"/>
                      <wp:wrapNone/>
                      <wp:docPr id="30" name="Frame29"/>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5960" cy="175260"/>
                      <wp:effectExtent l="0" t="0" r="0" b="0"/>
                      <wp:wrapNone/>
                      <wp:docPr id="32" name="Frame31"/>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4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center"/>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(10,703,788)</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(1,943,212)</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(3,371,827)</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(680,827)</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(10,369,382)</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(2,180,452)</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(24,444,997)</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(4,804,491)</w:t>
            </w:r>
          </w:p>
        </w:tc>
      </w:tr>
    </w:tbl>
    <w:p>
      <w:pPr>
        <w:pStyle w:val="TextBody"/>
        <w:spacing w:before="0" w:after="0"/>
        <w:ind w:left="0" w:right="0" w:firstLine="72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include selling and marketing expenses, general and administrative expenses and research and development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Selling and Marketing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consist primarily of staff-related costs for our sales and marketing staff, shipping and handling costs, and marketing and advertising expenses payable to third-party vendors, internet companies and agents.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staff-related costs for our general administrative and management staff, office rental, legal, professional and consultancy fees, expected credit loss and depreciation charges.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staff-related costs for our research and development professionals and technology expenses.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 Cost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allocation of our share-based compensation costs for the periods indicated:</w:t>
      </w:r>
    </w:p>
    <w:tbl>
      <w:tblPr>
        <w:tblW w:w="8674" w:type="dxa"/>
        <w:jc w:val="left"/>
        <w:tblInd w:w="0" w:type="dxa"/>
        <w:tblCellMar>
          <w:top w:w="0" w:type="dxa"/>
          <w:left w:w="0" w:type="dxa"/>
          <w:bottom w:w="0" w:type="dxa"/>
          <w:right w:w="0" w:type="dxa"/>
        </w:tblCellMar>
      </w:tblPr>
      <w:tblGrid>
        <w:gridCol w:w="3691"/>
        <w:gridCol w:w="326"/>
        <w:gridCol w:w="931"/>
        <w:gridCol w:w="326"/>
        <w:gridCol w:w="931"/>
        <w:gridCol w:w="326"/>
        <w:gridCol w:w="931"/>
        <w:gridCol w:w="326"/>
        <w:gridCol w:w="886"/>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43785" cy="175260"/>
                      <wp:effectExtent l="0" t="0" r="0" b="0"/>
                      <wp:wrapNone/>
                      <wp:docPr id="33" name="Frame32"/>
                      <a:graphic xmlns:a="http://schemas.openxmlformats.org/drawingml/2006/main">
                        <a:graphicData uri="http://schemas.microsoft.com/office/word/2010/wordprocessingShape">
                          <wps:wsp>
                            <wps:cNvSpPr txBox="1"/>
                            <wps:spPr>
                              <a:xfrm>
                                <a:off x="0" y="0"/>
                                <a:ext cx="2343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1185" cy="175260"/>
                      <wp:effectExtent l="0" t="0" r="0" b="0"/>
                      <wp:wrapNone/>
                      <wp:docPr id="35" name="Frame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7" name="Frame3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39" name="Frame3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2610" cy="175260"/>
                      <wp:effectExtent l="0" t="0" r="0" b="0"/>
                      <wp:wrapNone/>
                      <wp:docPr id="41" name="Frame4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5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5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 cost included in:</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794,855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109,960</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17,423</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929,013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176,158</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837,321</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156,670</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2,663,489</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3,041,492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3,174,160</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460,211</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NetEase 2009 and 2019 Restricted Share Unit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2009, we adopted our 2009 Restricted Share Unit Plan, or the 2009 RSU Plan, for our employees, directors and consultants.  We reserved 323,694,050 ordinary shares for issuance under this plan.  The 2009 RSU Plan expired on November 16, 2019 in accordance with its terms.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2019, we adopted our 2019 Restricted Share Unit Plan, for our employees, directors and consultants. Such plan was amended and restated in February 2023 and renamed the Amended and Restated 2019 Share Incentive Plan, or the 2019 Share Plan. We have reserved 322,458,300 ordinary shares for issuance under this plan. The 2019 Share Plan became effective on October 15, 2019 and will expire in February 2033.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2020, 2021 and 2022, we recorded share-based compensation cost of approximately RMB2,663.5 million, RMB3,041.5 million and RMB3,174.2 million (US$460.2 million), respectively, for awards granted under the 2009 RSU Plan and 2019 Share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total unrecognized compensation cost related to unvested awards granted under the 2009 RSU Plan and 2019 Share Plan, adjusted for estimated forfeitures, was RMB3,009.0 million (US$436.3 million), which is expected to be recognized through the remaining vesting period of each grant. As of December 31, 2022, the weighted average remaining vesting period was 1.75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Other Share Incentive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Beginning in 2014, certain of our subsidiaries have adopted stock incentive plans, most of which were stock option plans to grant options exercisable for ordinary shares to certain of our employees. The options expire four to ten years from the date of grant and either vest or have a vesting commencement date upon certain conditions being met. The awards can become 100% vested on the vesting commencement date, or vest in three, four or five substantially equal annual installments with the first installment vesting on the vesting commencement date. For the years ended December 31, 2020, 2021 and 2022, we recorded share-based compensation costs of RMB117.7 million, RMB528.2 million and RMB327.9 million (US$47.5 million), respectively under these plans. But for certain share options granted with vesting conditions outside our control, no expenses will be recorded until the occurrence of the vesting conditions when we determine that it is probable that the vesting conditions will be satisfied.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there were RMB28.3 million (US$4.1 million) in unrecognized share-based compensation expenses related to such share options for which the service conditions were met and are expected to be recognized when the vesting conditions are achieved.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Cayman Islands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British Virgin Islands (“BVI”)</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the BVI are exempted from income tax on its foreign-derived income in the BVI.  There are no withholding taxes in the BVI.</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Hong Kong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Hong Kong were subject to income tax on their taxable income generated from operations in Hong Kong at a rate of 16.5%. For the years 2020, 2021 and 2022, the first HK$2 million of profits earned by one of our subsidiaries incorporated in Hong Kong is taxed at a rate of 8.25%, while the remaining profits will continue to be taxed at the 16.5% tax rate. The payments of dividends by these companies to us are not subject to any Hong Kong withholding tax.</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HNTEs, “Software Enterprises” or “Key Software Enterprises.”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Boguan, NetEase Hangzhou and certain of our other China mainland subsidiaries were qualified as HNTEs and enjoyed a preferential tax rate of 15% for 2020, 2021 and 2022. In 2019 and 2020, Boguan, NetEase Hangzhou and certain of our other China mainland subsidiaries were each also qualified as a Key Software Enterprise and enjoyed a further reduced preferential tax rate of 10% for 2018 and 2019. The related tax benefit was recorded in 2019 and 2020, respectively. In 2021 and 2022, none of our China mainland subsidiaries were qualified as Key Software Enterprises for 2020 and 2021,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preferential income tax rates, however, are subject to periodic review and renewal by PRC authorities.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Sales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Provisional Regulation of the PRC on Value Added Tax, or VAT, and its implementation rules, or Provisional VAT Regulation, our China mainland subsidiaries and the VIEs are generally subject to VAT at a rate of 6% for revenues earned from rendering services. Our sales of general goods to our customers in the PRC are also subject to VAT of 13%.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18 of Part III, “Financial Statements—Note 2(bb)—Recently adopted accounting pronouncements” and “—Note 2(cc)—Recently issued accounting pronouncements not yet adopted.”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audited consolidated statements of operations for the periods indicated both in Renminbi and as a percentage of total revenues. Unless otherwise stated, financial results discussed herein refer to our continuing operations. Net income from discontinued operations attributable to the Company’s shareholders was related to the disposal of our Kaola e-commerce business.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827"/>
        <w:gridCol w:w="326"/>
        <w:gridCol w:w="1099"/>
        <w:gridCol w:w="326"/>
        <w:gridCol w:w="571"/>
        <w:gridCol w:w="326"/>
        <w:gridCol w:w="1099"/>
        <w:gridCol w:w="326"/>
        <w:gridCol w:w="571"/>
        <w:gridCol w:w="326"/>
        <w:gridCol w:w="1099"/>
        <w:gridCol w:w="326"/>
        <w:gridCol w:w="1036"/>
        <w:gridCol w:w="326"/>
        <w:gridCol w:w="621"/>
      </w:tblGrid>
      <w:tr>
        <w:trPr/>
        <w:tc>
          <w:tcPr>
            <w:tcW w:w="1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60145" cy="175260"/>
                      <wp:effectExtent l="0" t="0" r="0" b="0"/>
                      <wp:wrapNone/>
                      <wp:docPr id="42" name="Frame41"/>
                      <a:graphic xmlns:a="http://schemas.openxmlformats.org/drawingml/2006/main">
                        <a:graphicData uri="http://schemas.microsoft.com/office/word/2010/wordprocessingShape">
                          <wps:wsp>
                            <wps:cNvSpPr txBox="1"/>
                            <wps:spPr>
                              <a:xfrm>
                                <a:off x="0" y="0"/>
                                <a:ext cx="1160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7865" cy="175260"/>
                      <wp:effectExtent l="0" t="0" r="0" b="0"/>
                      <wp:wrapNone/>
                      <wp:docPr id="44" name="Frame43"/>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62585" cy="175260"/>
                      <wp:effectExtent l="0" t="0" r="0" b="0"/>
                      <wp:wrapNone/>
                      <wp:docPr id="46" name="Frame4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7865" cy="175260"/>
                      <wp:effectExtent l="0" t="0" r="0" b="0"/>
                      <wp:wrapNone/>
                      <wp:docPr id="48" name="Frame47"/>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62585" cy="175260"/>
                      <wp:effectExtent l="0" t="0" r="0" b="0"/>
                      <wp:wrapNone/>
                      <wp:docPr id="50" name="Frame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7865" cy="175260"/>
                      <wp:effectExtent l="0" t="0" r="0" b="0"/>
                      <wp:wrapNone/>
                      <wp:docPr id="52" name="Frame51"/>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57860" cy="175260"/>
                      <wp:effectExtent l="0" t="0" r="0" b="0"/>
                      <wp:wrapNone/>
                      <wp:docPr id="54" name="Frame5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94335" cy="175260"/>
                      <wp:effectExtent l="0" t="0" r="0" b="0"/>
                      <wp:wrapNone/>
                      <wp:docPr id="56" name="Frame55"/>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052"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99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99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34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1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052"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Consolidated Statement of Operations and Comprehensive Income Data:</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73,667,133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13,990,577</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(34,683,731)</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(6,340,208)</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38,983,402</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7,650,369</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(10,703,788)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(1,943,212)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(3,371,827)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(680,827)</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(10,369,382)</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(2,180,452)</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(24,444,997)</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(4,804,491)</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profit</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14,538,405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16,417,070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19,628,593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2,845,878</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income/(expenses)</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jc w:val="right"/>
              <w:rPr/>
            </w:pPr>
            <w:r>
              <w:rPr/>
              <w:t>​</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1,610,045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2,947,721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53,976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7,826</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1,598,618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1,519,714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2,149,673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311,673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Exchange (losses) / gains, net</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(3,112,152)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(490,481)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1,571,207</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227,804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737,168</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710,435</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846,815</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122,777</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before tax</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15,372,084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21,104,459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24,250,264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3,515,958</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(3,041,849)</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(4,128,269)</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(5,031,838)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(729,548)</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from continuing operations</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12,330,235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16,976,190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19,218,426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2,786,410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from discontinued operations</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624,864</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90,597</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12,330,235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16,976,190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19,843,290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2,877,007</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Accretion and deemed dividends in connection with repurchase of redeemable noncontrolling interests</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(787,029)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(536,981)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 attributable to noncontrolling interests and redeemable noncontrolling interests</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519,548</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417,633</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497,288</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72,100</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the Company’s shareholders</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12,062,754</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spacing w:before="0" w:after="0"/>
              <w:ind w:left="0" w:right="0" w:hanging="0"/>
              <w:rPr/>
            </w:pPr>
            <w:r>
              <w:rPr/>
              <w:t> </w:t>
            </w:r>
          </w:p>
        </w:tc>
        <w:tc>
          <w:tcPr>
            <w:tcW w:w="10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20,337,600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2,948,675</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cost included in:</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794,855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109,960</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17,423</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82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929,013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176,158</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82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837,321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156,670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2022 Compared to Year Ended December 31, 2021</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have organized our operations into following segments: games and related value-added services, Youdao,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pStyle w:val="TextBody"/>
        <w:spacing w:before="0" w:after="0"/>
        <w:ind w:left="0" w:right="0" w:hanging="0"/>
        <w:rPr/>
      </w:pPr>
      <w:r>
        <w:rPr/>
        <w:t>​</w:t>
      </w:r>
    </w:p>
    <w:tbl>
      <w:tblPr>
        <w:tblW w:w="7732" w:type="dxa"/>
        <w:jc w:val="left"/>
        <w:tblInd w:w="0" w:type="dxa"/>
        <w:tblCellMar>
          <w:top w:w="0" w:type="dxa"/>
          <w:left w:w="0" w:type="dxa"/>
          <w:bottom w:w="0" w:type="dxa"/>
          <w:right w:w="0" w:type="dxa"/>
        </w:tblCellMar>
      </w:tblPr>
      <w:tblGrid>
        <w:gridCol w:w="3346"/>
        <w:gridCol w:w="326"/>
        <w:gridCol w:w="1156"/>
        <w:gridCol w:w="326"/>
        <w:gridCol w:w="1156"/>
        <w:gridCol w:w="326"/>
        <w:gridCol w:w="109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24710" cy="175260"/>
                      <wp:effectExtent l="0" t="0" r="0" b="0"/>
                      <wp:wrapNone/>
                      <wp:docPr id="57" name="Frame56"/>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34060" cy="175260"/>
                      <wp:effectExtent l="0" t="0" r="0" b="0"/>
                      <wp:wrapNone/>
                      <wp:docPr id="59" name="Frame5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34060" cy="175260"/>
                      <wp:effectExtent l="0" t="0" r="0" b="0"/>
                      <wp:wrapNone/>
                      <wp:docPr id="61" name="Frame60"/>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5960" cy="175260"/>
                      <wp:effectExtent l="0" t="0" r="0" b="0"/>
                      <wp:wrapNone/>
                      <wp:docPr id="63" name="Frame6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0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10,811,122</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726,843</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1,303,749</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1,148,863</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net revenues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13,990,577</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(4,028,362)</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(352,424)</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(1,116,265)</w:t>
            </w:r>
          </w:p>
        </w:tc>
      </w:tr>
      <w:tr>
        <w:trPr/>
        <w:tc>
          <w:tcPr>
            <w:tcW w:w="33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(843,157)</w:t>
            </w:r>
          </w:p>
        </w:tc>
      </w:tr>
      <w:tr>
        <w:trPr/>
        <w:tc>
          <w:tcPr>
            <w:tcW w:w="33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(6,340,208)</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Net revenues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Total net revenues increased by 10.1% to RMB96,495.8 million (US$13,990.6 million) in 2022 from RMB87,606.0 million in 2021. Net revenues from games and related value-added services, Youdao, Cloud Music and innovative businesses and others constituted 77.3%, 5.2%, 9.3% and 8.2%, respectively, of our total net revenues in 2022, compared with 77.4%, 6.1%, 8.0% and 8.5%, respectively, in 2021.</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games and related value-added services increased by 9.9% to RMB74,566.5 million (US$10,811.1 million) in 2022 from RMB67,819.3 million in 2021. The increase was principally attributable to the strong performance of PC games such as </w:t>
      </w:r>
      <w:r>
        <w:rPr>
          <w:rFonts w:ascii="Times New Roman;Times;serif" w:hAnsi="Times New Roman;Times;serif"/>
          <w:i/>
          <w:sz w:val="20"/>
        </w:rPr>
        <w:t>Fantasy Westward Journey Online</w:t>
      </w:r>
      <w:r>
        <w:rPr>
          <w:rFonts w:ascii="Times New Roman;Times;serif" w:hAnsi="Times New Roman;Times;serif"/>
          <w:sz w:val="20"/>
        </w:rPr>
        <w:t xml:space="preserve"> and </w:t>
      </w:r>
      <w:r>
        <w:rPr>
          <w:rFonts w:ascii="Times New Roman;Times;serif" w:hAnsi="Times New Roman;Times;serif"/>
          <w:i/>
          <w:sz w:val="20"/>
        </w:rPr>
        <w:t>Naraka: Bladepoint</w:t>
      </w:r>
      <w:r>
        <w:rPr>
          <w:rFonts w:ascii="Times New Roman;Times;serif" w:hAnsi="Times New Roman;Times;serif"/>
          <w:sz w:val="20"/>
        </w:rPr>
        <w:t xml:space="preserve">, as well as mobile games including certain newly-launched titles and existing hit titles like </w:t>
      </w:r>
      <w:r>
        <w:rPr>
          <w:rFonts w:ascii="Times New Roman;Times;serif" w:hAnsi="Times New Roman;Times;serif"/>
          <w:i/>
          <w:sz w:val="20"/>
        </w:rPr>
        <w:t>Infinite Lagrange</w:t>
      </w:r>
      <w:r>
        <w:rPr>
          <w:rFonts w:ascii="Times New Roman;Times;serif" w:hAnsi="Times New Roman;Times;serif"/>
          <w:sz w:val="20"/>
        </w:rPr>
        <w:t>. Net revenues from the operation of online games accounted for approximately 92.5% of the segment in 2022 compared to 92.6% in 2021.</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our in-house developed games (including certain games co-developed with our collaboration partners) increased by 9.9% to RMB59,838.7 million (US$8,675.8 million) in 2022 from RMB54,450.6 million in 2021 as a result of the expansion of our portfolio of both PC and mobile games and their increased popularity in 2022. Net revenues from licensed games increased by 9.8% to RMB9,171.2 million (US$1,329.7 million) in 2022 from RMB8,355.9 million in 2021, which was mainly attributable to increased popularity of certain licensed titles such as </w:t>
      </w:r>
      <w:r>
        <w:rPr>
          <w:rFonts w:ascii="Times New Roman;Times;serif" w:hAnsi="Times New Roman;Times;serif"/>
          <w:i/>
          <w:sz w:val="20"/>
        </w:rPr>
        <w:t>Sky</w:t>
      </w:r>
      <w:r>
        <w:rPr>
          <w:rFonts w:ascii="Times New Roman;Times;serif" w:hAnsi="Times New Roman;Times;serif"/>
          <w:sz w:val="20"/>
        </w:rPr>
        <w:t xml:space="preserve">. Net revenues generated from licensed games represented 9.5% each of our total net revenues in 2022 and 2021.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net revenues of this segment also resulted from an increase in revenue contribution by game related value-added services such as NetEase CC live streaming.</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Youdao segment decreased by 6.4% to RMB5,013.2 million (US$726.8 million) in 2022 from RMB5,354.4 million in 2021. The decrease was mainly due to the conclusion of its Academic AST Business, which was partially offset by increased revenue contribution from its new services and products.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sz w:val="20"/>
        </w:rPr>
      </w:pPr>
      <w:r>
        <w:rPr>
          <w:rFonts w:ascii="Times New Roman;Times;serif" w:hAnsi="Times New Roman;Times;serif"/>
          <w:i/>
          <w:sz w:val="20"/>
        </w:rPr>
        <w:t>Cloud</w:t>
      </w:r>
      <w:r>
        <w:rPr>
          <w:rFonts w:ascii="Times New Roman;Times;serif" w:hAnsi="Times New Roman;Times;serif"/>
          <w:sz w:val="20"/>
        </w:rPr>
        <w:t xml:space="preserve"> </w:t>
      </w:r>
      <w:r>
        <w:rPr>
          <w:rFonts w:ascii="Times New Roman;Times;serif" w:hAnsi="Times New Roman;Times;serif"/>
          <w:i/>
          <w:sz w:val="20"/>
        </w:rPr>
        <w:t>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Cloud Music segment increased by 28.5% to RMB8,992.2 million (US$1,303.7 million) in 2022 from RMB6,997.6 million in 2021. The increase was mainly attributable to increased revenues from its rapidly-developing social entertainment services, which benefit from a vibrant community culture that encourages content creation and diverse content offerings in a variety of social entertainment formats.  Growth in sales of membership subscriptions for its online music services also contributed to the increase in net revenues.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the innovative businesses and others segment increased by 6.6% to RMB7,923.9 million (US$1,148.9 million) in 2022 from RMB7,434.8 million in 2021. This increase mainly resulted from an increase in revenue contribution by our Yanxuan and certain other innovative businesses such as e-reading services, which was partially offset by a decrease in net revenues from our advertising business as a result of a relatively more challenging macroeconomic environment in China and the adverse impact of the COVID-19 pandemic.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increased by 7.6% to RMB43,729.7 million (US$6,340.2 million) in 2022 from RMB40,635.2 million in 2021. The year-over-year increase was mainly due to an increase in revenue sharing costs with game developers, talent agencies of live streaming performers, broadcasters and other third parties, royalty fees and staff-related costs. In 2022, costs relating to games and related value-added services, Youdao, Cloud Music and innovative businesses and others represented 63.5%, 5.6%, 17.6% and 13.3% of total cost of revenues, respectively, as compared with 64.0%, 6.0%, 16.9% and 13.1% of the total cost of revenues, respectively, in 2021.</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games and related value-added services increased by 6.8% to RMB27,784.4 million (US$4,028.4 million) in 2022 from RMB26,007.4 million in 2021. The increase in cost of revenues in 2022 was primarily due to (i) an increase in revenue sharing costs with game developers, broadcasters, content owners and other third parties, as a result of the increased revenue from our various in-house developed games and licensed games in 2022, the one-off recognition of royalty fees related to certain licensed games, as well as the increased revenue from NetEase CC live streaming, and (ii) an increase in staff-related costs.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Youdao decreased by 0.7% to RMB2,430.7 million (US$352.4 million) in 2022 from RMB2,448.1 million in 2021, which was primarily attributable to decreased staff-related costs, partially offset by the increased cost of smart devices sold.</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Cloud 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Cloud Music increased by 12.3% to RMB7,699.1 million (US$1,116.3 million) in 2022 from RMB6,854.9 million in 2021, which was primarily attributable to an increase in revenue sharing costs in line with the rapid growth of its revenue from social entertainment services.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Innovative</w:t>
      </w:r>
      <w:r>
        <w:rPr>
          <w:rFonts w:ascii="Times New Roman;Times;serif" w:hAnsi="Times New Roman;Times;serif"/>
          <w:sz w:val="20"/>
        </w:rPr>
        <w:t xml:space="preserve"> </w:t>
      </w:r>
      <w:r>
        <w:rPr>
          <w:rFonts w:ascii="Times New Roman;Times;serif" w:hAnsi="Times New Roman;Times;serif"/>
          <w:i/>
          <w:sz w:val="20"/>
        </w:rPr>
        <w:t>Businesses</w:t>
      </w:r>
      <w:r>
        <w:rPr>
          <w:rFonts w:ascii="Times New Roman;Times;serif" w:hAnsi="Times New Roman;Times;serif"/>
          <w:sz w:val="20"/>
        </w:rPr>
        <w:t xml:space="preserve"> </w:t>
      </w:r>
      <w:r>
        <w:rPr>
          <w:rFonts w:ascii="Times New Roman;Times;serif" w:hAnsi="Times New Roman;Times;serif"/>
          <w:i/>
          <w:sz w:val="20"/>
        </w:rPr>
        <w:t>and</w:t>
      </w:r>
      <w:r>
        <w:rPr>
          <w:rFonts w:ascii="Times New Roman;Times;serif" w:hAnsi="Times New Roman;Times;serif"/>
          <w:sz w:val="20"/>
        </w:rPr>
        <w:t xml:space="preserve"> </w:t>
      </w:r>
      <w:r>
        <w:rPr>
          <w:rFonts w:ascii="Times New Roman;Times;serif" w:hAnsi="Times New Roman;Times;serif"/>
          <w:i/>
          <w:sz w:val="20"/>
        </w:rPr>
        <w:t>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Cost of revenues from our innovative businesses and others increased by 9.2% to RMB5,815.4 million (US$843.2 million) in 2022 from RMB5,324.7 million in 2021. The increase in cost of revenues in 2022 was primarily due to increased cost of merchandise sold in our e-commerce business resulting from increased sales volume, content costs related to our e-reading services as well as the increased staff-related costs.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Gross Profit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increased by 12.3% to RMB52,766.1 million (US$7,650.4 million) in 2022 from RMB46,970.8 million in 2021.</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consolidated gross profits and gross profit margins of our business activities for the periods indicated as derived from our audited financial statements. The gross profit margins in 2021 and 2022 were calculated by dividing our gross profits over our net revenues for the corresponding type of services.</w:t>
      </w:r>
    </w:p>
    <w:p>
      <w:pPr>
        <w:pStyle w:val="TextBody"/>
        <w:spacing w:before="0" w:after="0"/>
        <w:ind w:left="0" w:right="0" w:hanging="0"/>
        <w:rPr/>
      </w:pPr>
      <w:r>
        <w:rPr/>
        <w:t>​</w:t>
      </w:r>
    </w:p>
    <w:tbl>
      <w:tblPr>
        <w:tblW w:w="7803" w:type="dxa"/>
        <w:jc w:val="left"/>
        <w:tblInd w:w="0" w:type="dxa"/>
        <w:tblCellMar>
          <w:top w:w="0" w:type="dxa"/>
          <w:left w:w="0" w:type="dxa"/>
          <w:bottom w:w="0" w:type="dxa"/>
          <w:right w:w="0" w:type="dxa"/>
        </w:tblCellMar>
      </w:tblPr>
      <w:tblGrid>
        <w:gridCol w:w="3346"/>
        <w:gridCol w:w="326"/>
        <w:gridCol w:w="1036"/>
        <w:gridCol w:w="361"/>
        <w:gridCol w:w="1036"/>
        <w:gridCol w:w="361"/>
        <w:gridCol w:w="931"/>
        <w:gridCol w:w="40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24710" cy="175260"/>
                      <wp:effectExtent l="0" t="0" r="0" b="0"/>
                      <wp:wrapNone/>
                      <wp:docPr id="64" name="Frame63"/>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57860" cy="175260"/>
                      <wp:effectExtent l="0" t="0" r="0" b="0"/>
                      <wp:wrapNone/>
                      <wp:docPr id="66" name="Frame6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9235" cy="175260"/>
                      <wp:effectExtent l="0" t="0" r="0" b="0"/>
                      <wp:wrapNone/>
                      <wp:docPr id="67" name="Frame6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57860" cy="175260"/>
                      <wp:effectExtent l="0" t="0" r="0" b="0"/>
                      <wp:wrapNone/>
                      <wp:docPr id="68" name="Frame6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29235" cy="175260"/>
                      <wp:effectExtent l="0" t="0" r="0" b="0"/>
                      <wp:wrapNone/>
                      <wp:docPr id="69" name="Frame6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0" name="Frame6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7810" cy="175260"/>
                      <wp:effectExtent l="0" t="0" r="0" b="0"/>
                      <wp:wrapNone/>
                      <wp:docPr id="71" name="Frame7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7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40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0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406" w:type="dxa"/>
            <w:tcBorders/>
            <w:shd w:fill="auto" w:val="clear"/>
            <w:vAlign w:val="center"/>
          </w:tcPr>
          <w:p>
            <w:pPr>
              <w:pStyle w:val="TableContents"/>
              <w:spacing w:before="0" w:after="0"/>
              <w:ind w:left="0" w:right="0" w:hanging="0"/>
              <w:jc w:val="center"/>
              <w:rPr/>
            </w:pPr>
            <w:r>
              <w:rPr/>
              <w:t> </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40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41,811,876</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46,782,052</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6,782,760</w:t>
            </w:r>
          </w:p>
        </w:tc>
        <w:tc>
          <w:tcPr>
            <w:tcW w:w="40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2,906,211</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2,582,444</w:t>
            </w:r>
          </w:p>
        </w:tc>
        <w:tc>
          <w:tcPr>
            <w:tcW w:w="36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374,419</w:t>
            </w:r>
          </w:p>
        </w:tc>
        <w:tc>
          <w:tcPr>
            <w:tcW w:w="40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142,674</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1,293,118</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187,484</w:t>
            </w:r>
          </w:p>
        </w:tc>
        <w:tc>
          <w:tcPr>
            <w:tcW w:w="40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2,110,040</w:t>
            </w:r>
          </w:p>
        </w:tc>
        <w:tc>
          <w:tcPr>
            <w:tcW w:w="361"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2,108,512</w:t>
            </w:r>
          </w:p>
        </w:tc>
        <w:tc>
          <w:tcPr>
            <w:tcW w:w="361"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305,706</w:t>
            </w:r>
          </w:p>
        </w:tc>
        <w:tc>
          <w:tcPr>
            <w:tcW w:w="40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profit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61"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61"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7,650,369</w:t>
            </w:r>
          </w:p>
        </w:tc>
        <w:tc>
          <w:tcPr>
            <w:tcW w:w="40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Gross profit margin:</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profit margin</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gross profit margin in 2022 for games and related value-added services was primarily attributable to increased contribution from our in-house developed PC games, which have a relatively higher gross profit margin, as a percentage of our operation of online games revenues, as well as changes in the revenue contribution from different distribution channels. The decrease in gross profit margin in 2022 for Youdao was mainly due to the conclusion of its Academic AST Business. The improvement in gross profit margin in 2022 for Cloud Music was mainly due to enhanced economies of scale in its business and cost controls. The gross profit margin in innovative businesses and others decreased from 2021 to 2022 mainly due to decreased gross profit from our advertising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increased by 8.5% to RMB33,137.5 million (US$4,804.5 million) in 2022 from RMB30,553.7 million in 2021 as a result of increased staff-related costs and marketing expenditures related to online games, Cloud Music and Yanxuan. The following table sets forth our operating expenses for the periods indicated as derived from our audited financial statements.</w:t>
      </w:r>
    </w:p>
    <w:p>
      <w:pPr>
        <w:pStyle w:val="TextBody"/>
        <w:spacing w:before="0" w:after="0"/>
        <w:ind w:left="0" w:right="0" w:hanging="0"/>
        <w:rPr/>
      </w:pPr>
      <w:r>
        <w:rPr/>
        <w:t>​</w:t>
      </w:r>
    </w:p>
    <w:tbl>
      <w:tblPr>
        <w:tblW w:w="7477" w:type="dxa"/>
        <w:jc w:val="left"/>
        <w:tblInd w:w="0" w:type="dxa"/>
        <w:tblCellMar>
          <w:top w:w="0" w:type="dxa"/>
          <w:left w:w="0" w:type="dxa"/>
          <w:bottom w:w="0" w:type="dxa"/>
          <w:right w:w="0" w:type="dxa"/>
        </w:tblCellMar>
      </w:tblPr>
      <w:tblGrid>
        <w:gridCol w:w="3091"/>
        <w:gridCol w:w="326"/>
        <w:gridCol w:w="1156"/>
        <w:gridCol w:w="326"/>
        <w:gridCol w:w="1156"/>
        <w:gridCol w:w="326"/>
        <w:gridCol w:w="109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62785" cy="175260"/>
                      <wp:effectExtent l="0" t="0" r="0" b="0"/>
                      <wp:wrapNone/>
                      <wp:docPr id="72" name="Frame71"/>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34060" cy="175260"/>
                      <wp:effectExtent l="0" t="0" r="0" b="0"/>
                      <wp:wrapNone/>
                      <wp:docPr id="74" name="Frame7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34060" cy="175260"/>
                      <wp:effectExtent l="0" t="0" r="0" b="0"/>
                      <wp:wrapNone/>
                      <wp:docPr id="76" name="Frame7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5960" cy="175260"/>
                      <wp:effectExtent l="0" t="0" r="0" b="0"/>
                      <wp:wrapNone/>
                      <wp:docPr id="78" name="Frame77"/>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0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06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(1,943,212)</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(680,827)</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(2,180,452)</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(4,804,491)</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increased by 9.7% to RMB13,402.7 million (US$1,943.2 million) in 2022 from RMB12,214.2 million in 2021, primarily due to increased marketing spending on online games, Cloud Music and Yanxuan.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increased by 10.1% to RMB4,695.8 million (US$680.8 million) in 2022 from RMB4,263.5 million in 2021, primarily due to an increase in staff-related costs driven by higher compensation levels and increased headcount, which was partially offset by decreased expected credit losses on our accounts receivables.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6.8% to RMB15,039.0 million (US$2,180.5 million) in 2022 from RMB14,076.0 million in 2021, primarily due to an increase in staff-related costs, which was partially offset by decreased technology expenses mainly related to game content design.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Income/(Expenses)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other income/(expenses) for the periods indicated as derived from our audited financial statements.</w:t>
      </w:r>
    </w:p>
    <w:p>
      <w:pPr>
        <w:pStyle w:val="TextBody"/>
        <w:spacing w:before="0" w:after="0"/>
        <w:ind w:left="0" w:right="0" w:hanging="0"/>
        <w:rPr/>
      </w:pPr>
      <w:r>
        <w:rPr/>
        <w:t>​</w:t>
      </w:r>
    </w:p>
    <w:tbl>
      <w:tblPr>
        <w:tblW w:w="6187" w:type="dxa"/>
        <w:jc w:val="left"/>
        <w:tblInd w:w="0" w:type="dxa"/>
        <w:tblCellMar>
          <w:top w:w="0" w:type="dxa"/>
          <w:left w:w="0" w:type="dxa"/>
          <w:bottom w:w="0" w:type="dxa"/>
          <w:right w:w="0" w:type="dxa"/>
        </w:tblCellMar>
      </w:tblPr>
      <w:tblGrid>
        <w:gridCol w:w="2461"/>
        <w:gridCol w:w="326"/>
        <w:gridCol w:w="931"/>
        <w:gridCol w:w="326"/>
        <w:gridCol w:w="931"/>
        <w:gridCol w:w="326"/>
        <w:gridCol w:w="886"/>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62735" cy="175260"/>
                      <wp:effectExtent l="0" t="0" r="0" b="0"/>
                      <wp:wrapNone/>
                      <wp:docPr id="79" name="Frame78"/>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1" name="Frame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185" cy="175260"/>
                      <wp:effectExtent l="0" t="0" r="0" b="0"/>
                      <wp:wrapNone/>
                      <wp:docPr id="83" name="Frame8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2610" cy="175260"/>
                      <wp:effectExtent l="0" t="0" r="0" b="0"/>
                      <wp:wrapNone/>
                      <wp:docPr id="85" name="Frame8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2,947,721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53,976</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7,826</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1,519,714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2,149,673</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311,673</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Exchange (losses)/ gains, net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(490,481)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1,571,207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227,804</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net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710,435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846,815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122,777</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income/(expenses) in 2022 mainly consisted of investment income related to short-term investments, interest income, government incentives, net foreign exchange gains, impairment provisions related to certain equity investments, net investment gain in equity method investees, disposal gains of equity investments and fair value change related to our equity investments with readily determinable fair value.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 income was RMB54.0 million (US$7.8 million) in 2022 compared to investment income of RMB2,947.7 million in 2021, consisting primarily of (i) a gain on disposal of certain long-term investments of RMB1,791.4 million (US$259.7 million) in 2022 compared to RMB185.6 million in 2021, (ii) a net investment gain in equity method investees of RMB1,259.9 million (US$182.7 million) in 2022 compared to RMB1,575.5 million in 2021, (iii) investment income related to short-term investments of RMB342.6 million (US$49.7 million) in 2022 compared to RMB639.8 million in 2021, and (iv) a remeasurement gain of previously held equity investee of RMB310.4 million (US$45.0 million) in 2022 upon acquisition compared to nil in 2021 and (v) dividend income from certain long-term investments of RMB41.4 million (US$6.0 million) in 2022 compared to RMB87.3 million in 2021, which was offset in part by a loss from fair value change related to the equity investments with readily determinable fair value of RMB3,414.7 million (US$495.1 million) in 2022 compared to a gain of RMB91.1 million in 2021, as well as impairment provisions related to certain investments of RMB282.8 million (US$41.0 million) compared to RMB19.2 million in 2021.</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increased to RMB2,149.7 million (US$311.7 million) in 2022 from RMB1,519.7 million in 2021, among which, we incurred interest expenses of RMB650.2 million (US$94.3 million) in 2022 related to our short-term and long-term loans.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incurred net foreign exchange gains of RMB1,571.2 million (US$227.8 million) in 2022, compared to net foreign exchange losses of RMB490.5 million in 2021, primarily due to the translation gains and losses arising from our U.S. dollar denominated bank deposits and bank loan balances as the exchange rate of the U.S. dollar against the RMB fluctuated over these periods.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net increased to RMB846.8 million (US$122.8 million) in 2022 from RMB710.4 million in 2021. We received and recognized unconditional government incentives of approximately RMB828.5 million (US$120.1 million) in 2022, compared to RMB848.3 million in 2021.</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increased to RMB5,031.8 million (US$729.5 million) in 2022 from RMB4,128.3 million in 2021. Our effective tax rate in 2022 was 20.7% compared with 19.6% in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2021 Compared to Year Ended December 31, 2020</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net revenues and cost of revenues by segment for the period presented as derived from our audited financial statements.</w:t>
      </w:r>
    </w:p>
    <w:p>
      <w:pPr>
        <w:pStyle w:val="TextBody"/>
        <w:spacing w:before="0" w:after="0"/>
        <w:ind w:left="0" w:right="0" w:hanging="0"/>
        <w:rPr/>
      </w:pPr>
      <w:r>
        <w:rPr/>
        <w:t>​</w:t>
      </w:r>
    </w:p>
    <w:tbl>
      <w:tblPr>
        <w:tblW w:w="6236" w:type="dxa"/>
        <w:jc w:val="left"/>
        <w:tblInd w:w="0" w:type="dxa"/>
        <w:tblCellMar>
          <w:top w:w="0" w:type="dxa"/>
          <w:left w:w="0" w:type="dxa"/>
          <w:bottom w:w="0" w:type="dxa"/>
          <w:right w:w="0" w:type="dxa"/>
        </w:tblCellMar>
      </w:tblPr>
      <w:tblGrid>
        <w:gridCol w:w="3346"/>
        <w:gridCol w:w="326"/>
        <w:gridCol w:w="1179"/>
        <w:gridCol w:w="156"/>
        <w:gridCol w:w="1229"/>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24710" cy="175260"/>
                      <wp:effectExtent l="0" t="0" r="0" b="0"/>
                      <wp:wrapNone/>
                      <wp:docPr id="86" name="Frame85"/>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48665" cy="175260"/>
                      <wp:effectExtent l="0" t="0" r="0" b="0"/>
                      <wp:wrapNone/>
                      <wp:docPr id="88" name="Frame87"/>
                      <a:graphic xmlns:a="http://schemas.openxmlformats.org/drawingml/2006/main">
                        <a:graphicData uri="http://schemas.microsoft.com/office/word/2010/wordprocessingShape">
                          <wps:wsp>
                            <wps:cNvSpPr txBox="1"/>
                            <wps:spPr>
                              <a:xfrm>
                                <a:off x="0" y="0"/>
                                <a:ext cx="748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9060" cy="175260"/>
                      <wp:effectExtent l="0" t="0" r="0" b="0"/>
                      <wp:wrapNone/>
                      <wp:docPr id="89" name="Frame88"/>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80415" cy="175260"/>
                      <wp:effectExtent l="0" t="0" r="0" b="0"/>
                      <wp:wrapNone/>
                      <wp:docPr id="90" name="Frame89"/>
                      <a:graphic xmlns:a="http://schemas.openxmlformats.org/drawingml/2006/main">
                        <a:graphicData uri="http://schemas.microsoft.com/office/word/2010/wordprocessingShape">
                          <wps:wsp>
                            <wps:cNvSpPr txBox="1"/>
                            <wps:spPr>
                              <a:xfrm>
                                <a:off x="0" y="0"/>
                                <a:ext cx="780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6" w:type="dxa"/>
            <w:tcBorders/>
            <w:shd w:fill="auto" w:val="clear"/>
            <w:vAlign w:val="center"/>
          </w:tcPr>
          <w:p>
            <w:pPr>
              <w:pStyle w:val="TableContents"/>
              <w:spacing w:before="0" w:after="0"/>
              <w:ind w:left="0" w:right="0" w:hanging="0"/>
              <w:rPr/>
            </w:pPr>
            <w:r>
              <w:rPr/>
              <w:t>​</w:t>
            </w:r>
          </w:p>
        </w:tc>
        <w:tc>
          <w:tcPr>
            <w:tcW w:w="122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56" w:type="dxa"/>
            <w:tcBorders/>
            <w:shd w:fill="auto" w:val="clear"/>
            <w:vAlign w:val="center"/>
          </w:tcPr>
          <w:p>
            <w:pPr>
              <w:pStyle w:val="TableContents"/>
              <w:spacing w:before="0" w:after="0"/>
              <w:ind w:left="0" w:right="0" w:hanging="0"/>
              <w:rPr/>
            </w:pPr>
            <w:r>
              <w:rPr/>
              <w:t>​</w:t>
            </w:r>
          </w:p>
        </w:tc>
        <w:tc>
          <w:tcPr>
            <w:tcW w:w="122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564"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w:t>
            </w:r>
          </w:p>
        </w:tc>
        <w:tc>
          <w:tcPr>
            <w:tcW w:w="1179" w:type="dxa"/>
            <w:tcBorders/>
            <w:shd w:fill="CCEEFF" w:val="clear"/>
            <w:vAlign w:val="center"/>
          </w:tcPr>
          <w:p>
            <w:pPr>
              <w:pStyle w:val="TableContents"/>
              <w:spacing w:before="0" w:after="0"/>
              <w:ind w:left="0" w:right="0" w:hanging="0"/>
              <w:jc w:val="center"/>
              <w:rPr/>
            </w:pPr>
            <w:r>
              <w:rPr/>
              <w:t>​</w:t>
            </w:r>
          </w:p>
        </w:tc>
        <w:tc>
          <w:tcPr>
            <w:tcW w:w="156" w:type="dxa"/>
            <w:tcBorders/>
            <w:shd w:fill="CCEEFF" w:val="clear"/>
            <w:vAlign w:val="center"/>
          </w:tcPr>
          <w:p>
            <w:pPr>
              <w:pStyle w:val="TableContents"/>
              <w:spacing w:before="0" w:after="0"/>
              <w:ind w:left="0" w:right="0" w:hanging="0"/>
              <w:rPr/>
            </w:pPr>
            <w:r>
              <w:rPr/>
              <w:t>​</w:t>
            </w:r>
          </w:p>
        </w:tc>
        <w:tc>
          <w:tcPr>
            <w:tcW w:w="1229" w:type="dxa"/>
            <w:tcBorders/>
            <w:shd w:fill="CCEEFF"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58,719,895</w:t>
            </w:r>
          </w:p>
        </w:tc>
        <w:tc>
          <w:tcPr>
            <w:tcW w:w="156" w:type="dxa"/>
            <w:tcBorders/>
            <w:shd w:fill="auto" w:val="clear"/>
            <w:vAlign w:val="center"/>
          </w:tcPr>
          <w:p>
            <w:pPr>
              <w:pStyle w:val="TableContents"/>
              <w:spacing w:before="0" w:after="0"/>
              <w:ind w:left="0" w:right="0" w:hanging="0"/>
              <w:rPr/>
            </w:pPr>
            <w:r>
              <w:rPr/>
              <w:t> </w:t>
            </w:r>
          </w:p>
        </w:tc>
        <w:tc>
          <w:tcPr>
            <w:tcW w:w="12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3,167,515</w:t>
            </w:r>
          </w:p>
        </w:tc>
        <w:tc>
          <w:tcPr>
            <w:tcW w:w="156" w:type="dxa"/>
            <w:tcBorders/>
            <w:shd w:fill="CCEEFF" w:val="clear"/>
            <w:vAlign w:val="center"/>
          </w:tcPr>
          <w:p>
            <w:pPr>
              <w:pStyle w:val="TableContents"/>
              <w:spacing w:before="0" w:after="0"/>
              <w:ind w:left="0" w:right="0" w:hanging="0"/>
              <w:rPr/>
            </w:pPr>
            <w:r>
              <w:rPr/>
              <w:t> </w:t>
            </w:r>
          </w:p>
        </w:tc>
        <w:tc>
          <w:tcPr>
            <w:tcW w:w="12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4,895,731</w:t>
            </w:r>
          </w:p>
        </w:tc>
        <w:tc>
          <w:tcPr>
            <w:tcW w:w="156" w:type="dxa"/>
            <w:tcBorders/>
            <w:shd w:fill="auto" w:val="clear"/>
            <w:vAlign w:val="center"/>
          </w:tcPr>
          <w:p>
            <w:pPr>
              <w:pStyle w:val="TableContents"/>
              <w:spacing w:before="0" w:after="0"/>
              <w:ind w:left="0" w:right="0" w:hanging="0"/>
              <w:rPr/>
            </w:pPr>
            <w:r>
              <w:rPr/>
              <w:t> </w:t>
            </w:r>
          </w:p>
        </w:tc>
        <w:tc>
          <w:tcPr>
            <w:tcW w:w="12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1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6,883,992</w:t>
            </w:r>
          </w:p>
        </w:tc>
        <w:tc>
          <w:tcPr>
            <w:tcW w:w="156" w:type="dxa"/>
            <w:tcBorders/>
            <w:shd w:fill="CCEEFF" w:val="clear"/>
            <w:vAlign w:val="center"/>
          </w:tcPr>
          <w:p>
            <w:pPr>
              <w:pStyle w:val="TableContents"/>
              <w:spacing w:before="0" w:after="0"/>
              <w:ind w:left="0" w:right="0" w:hanging="0"/>
              <w:rPr/>
            </w:pPr>
            <w:r>
              <w:rPr/>
              <w:t> </w:t>
            </w:r>
          </w:p>
        </w:tc>
        <w:tc>
          <w:tcPr>
            <w:tcW w:w="12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revenues</w:t>
            </w:r>
          </w:p>
        </w:tc>
        <w:tc>
          <w:tcPr>
            <w:tcW w:w="326" w:type="dxa"/>
            <w:tcBorders/>
            <w:shd w:fill="auto" w:val="clear"/>
            <w:vAlign w:val="center"/>
          </w:tcPr>
          <w:p>
            <w:pPr>
              <w:pStyle w:val="TableContents"/>
              <w:spacing w:before="0" w:after="0"/>
              <w:ind w:left="0" w:right="0" w:hanging="0"/>
              <w:rPr/>
            </w:pPr>
            <w:r>
              <w:rPr/>
              <w:t> </w:t>
            </w:r>
          </w:p>
        </w:tc>
        <w:tc>
          <w:tcPr>
            <w:tcW w:w="11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73,667,133</w:t>
            </w:r>
          </w:p>
        </w:tc>
        <w:tc>
          <w:tcPr>
            <w:tcW w:w="156" w:type="dxa"/>
            <w:tcBorders/>
            <w:shd w:fill="auto" w:val="clear"/>
            <w:vAlign w:val="center"/>
          </w:tcPr>
          <w:p>
            <w:pPr>
              <w:pStyle w:val="TableContents"/>
              <w:spacing w:before="0" w:after="0"/>
              <w:ind w:left="0" w:right="0" w:hanging="0"/>
              <w:rPr/>
            </w:pPr>
            <w:r>
              <w:rPr/>
              <w:t> </w:t>
            </w:r>
          </w:p>
        </w:tc>
        <w:tc>
          <w:tcPr>
            <w:tcW w:w="12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pPr>
            <w:r>
              <w:rPr/>
              <w:t>​</w:t>
            </w:r>
          </w:p>
        </w:tc>
        <w:tc>
          <w:tcPr>
            <w:tcW w:w="156" w:type="dxa"/>
            <w:tcBorders/>
            <w:shd w:fill="CCEEFF" w:val="clear"/>
            <w:vAlign w:val="center"/>
          </w:tcPr>
          <w:p>
            <w:pPr>
              <w:pStyle w:val="TableContents"/>
              <w:spacing w:before="0" w:after="0"/>
              <w:ind w:left="0" w:right="0" w:hanging="0"/>
              <w:rPr/>
            </w:pPr>
            <w:r>
              <w:rPr/>
              <w:t> </w:t>
            </w:r>
          </w:p>
        </w:tc>
        <w:tc>
          <w:tcPr>
            <w:tcW w:w="1229" w:type="dxa"/>
            <w:tcBorders/>
            <w:shd w:fill="CCEEFF" w:val="clear"/>
            <w:vAlign w:val="center"/>
          </w:tcPr>
          <w:p>
            <w:pPr>
              <w:pStyle w:val="TableContents"/>
              <w:spacing w:before="0" w:after="0"/>
              <w:ind w:left="0" w:right="0" w:hanging="0"/>
              <w:jc w:val="right"/>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(22,730,558)</w:t>
            </w:r>
          </w:p>
        </w:tc>
        <w:tc>
          <w:tcPr>
            <w:tcW w:w="156" w:type="dxa"/>
            <w:tcBorders/>
            <w:shd w:fill="auto" w:val="clear"/>
            <w:vAlign w:val="center"/>
          </w:tcPr>
          <w:p>
            <w:pPr>
              <w:pStyle w:val="TableContents"/>
              <w:spacing w:before="0" w:after="0"/>
              <w:ind w:left="0" w:right="0" w:hanging="0"/>
              <w:rPr/>
            </w:pPr>
            <w:r>
              <w:rPr/>
              <w:t> </w:t>
            </w:r>
          </w:p>
        </w:tc>
        <w:tc>
          <w:tcPr>
            <w:tcW w:w="12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(1,713,229)</w:t>
            </w:r>
          </w:p>
        </w:tc>
        <w:tc>
          <w:tcPr>
            <w:tcW w:w="156" w:type="dxa"/>
            <w:tcBorders/>
            <w:shd w:fill="CCEEFF" w:val="clear"/>
            <w:vAlign w:val="center"/>
          </w:tcPr>
          <w:p>
            <w:pPr>
              <w:pStyle w:val="TableContents"/>
              <w:spacing w:before="0" w:after="0"/>
              <w:ind w:left="0" w:right="0" w:hanging="0"/>
              <w:rPr/>
            </w:pPr>
            <w:r>
              <w:rPr/>
              <w:t> </w:t>
            </w:r>
          </w:p>
        </w:tc>
        <w:tc>
          <w:tcPr>
            <w:tcW w:w="12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(5,491,066)</w:t>
            </w:r>
          </w:p>
        </w:tc>
        <w:tc>
          <w:tcPr>
            <w:tcW w:w="156" w:type="dxa"/>
            <w:tcBorders/>
            <w:shd w:fill="auto" w:val="clear"/>
            <w:vAlign w:val="center"/>
          </w:tcPr>
          <w:p>
            <w:pPr>
              <w:pStyle w:val="TableContents"/>
              <w:spacing w:before="0" w:after="0"/>
              <w:ind w:left="0" w:right="0" w:hanging="0"/>
              <w:rPr/>
            </w:pPr>
            <w:r>
              <w:rPr/>
              <w:t> </w:t>
            </w:r>
          </w:p>
        </w:tc>
        <w:tc>
          <w:tcPr>
            <w:tcW w:w="12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1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(4,748,878)</w:t>
            </w:r>
          </w:p>
        </w:tc>
        <w:tc>
          <w:tcPr>
            <w:tcW w:w="156" w:type="dxa"/>
            <w:tcBorders/>
            <w:shd w:fill="CCEEFF" w:val="clear"/>
            <w:vAlign w:val="center"/>
          </w:tcPr>
          <w:p>
            <w:pPr>
              <w:pStyle w:val="TableContents"/>
              <w:spacing w:before="0" w:after="0"/>
              <w:ind w:left="0" w:right="0" w:hanging="0"/>
              <w:rPr/>
            </w:pPr>
            <w:r>
              <w:rPr/>
              <w:t> </w:t>
            </w:r>
          </w:p>
        </w:tc>
        <w:tc>
          <w:tcPr>
            <w:tcW w:w="12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 </w:t>
            </w:r>
          </w:p>
        </w:tc>
        <w:tc>
          <w:tcPr>
            <w:tcW w:w="11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(34,683,731)</w:t>
            </w:r>
          </w:p>
        </w:tc>
        <w:tc>
          <w:tcPr>
            <w:tcW w:w="156" w:type="dxa"/>
            <w:tcBorders/>
            <w:shd w:fill="auto" w:val="clear"/>
            <w:vAlign w:val="center"/>
          </w:tcPr>
          <w:p>
            <w:pPr>
              <w:pStyle w:val="TableContents"/>
              <w:spacing w:before="0" w:after="0"/>
              <w:ind w:left="0" w:right="0" w:hanging="0"/>
              <w:rPr/>
            </w:pPr>
            <w:r>
              <w:rPr/>
              <w:t> </w:t>
            </w:r>
          </w:p>
        </w:tc>
        <w:tc>
          <w:tcPr>
            <w:tcW w:w="12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revenues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Total net revenues increased by 18.9% to RMB87,606.0 million in 2021 from RMB73,667.1 million in 2020. Net revenues from games and related value-added services, Youdao, Cloud Music and innovative businesses and others constituted 77.4%, 6.1%, 8.0% and 8.5%, respectively, of our total net revenues in 2021, compared with 79.7%, 4.3%, 6.6% and 9.4%, respectively, in 2020.</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games and related value-added services increased by 15.5% to RMB67,819.3 million in 2021 from RMB58,719.9 million in 2020. The increase was principally attributable to the strong performance of mobile games such as </w:t>
      </w:r>
      <w:r>
        <w:rPr>
          <w:rFonts w:ascii="Times New Roman;Times;serif" w:hAnsi="Times New Roman;Times;serif"/>
          <w:i/>
          <w:sz w:val="20"/>
        </w:rPr>
        <w:t>Fantasy Westward Journey</w:t>
      </w:r>
      <w:r>
        <w:rPr>
          <w:rFonts w:ascii="Times New Roman;Times;serif" w:hAnsi="Times New Roman;Times;serif"/>
          <w:sz w:val="20"/>
        </w:rPr>
        <w:t xml:space="preserve"> mobile game and </w:t>
      </w:r>
      <w:r>
        <w:rPr>
          <w:rFonts w:ascii="Times New Roman;Times;serif" w:hAnsi="Times New Roman;Times;serif"/>
          <w:i/>
          <w:sz w:val="20"/>
        </w:rPr>
        <w:t>Revelation</w:t>
      </w:r>
      <w:r>
        <w:rPr>
          <w:rFonts w:ascii="Times New Roman;Times;serif" w:hAnsi="Times New Roman;Times;serif"/>
          <w:sz w:val="20"/>
        </w:rPr>
        <w:t xml:space="preserve"> and </w:t>
      </w:r>
      <w:r>
        <w:rPr>
          <w:rFonts w:ascii="Times New Roman;Times;serif" w:hAnsi="Times New Roman;Times;serif"/>
          <w:i/>
          <w:sz w:val="20"/>
        </w:rPr>
        <w:t>Harry Potter: Magic Awakened</w:t>
      </w:r>
      <w:r>
        <w:rPr>
          <w:rFonts w:ascii="Times New Roman;Times;serif" w:hAnsi="Times New Roman;Times;serif"/>
          <w:sz w:val="20"/>
        </w:rPr>
        <w:t xml:space="preserve"> which were released in 2021, as well as PC games such as </w:t>
      </w:r>
      <w:r>
        <w:rPr>
          <w:rFonts w:ascii="Times New Roman;Times;serif" w:hAnsi="Times New Roman;Times;serif"/>
          <w:i/>
          <w:sz w:val="20"/>
        </w:rPr>
        <w:t>Fantasy Westward Journey Online</w:t>
      </w:r>
      <w:r>
        <w:rPr>
          <w:rFonts w:ascii="Times New Roman;Times;serif" w:hAnsi="Times New Roman;Times;serif"/>
          <w:sz w:val="20"/>
        </w:rPr>
        <w:t xml:space="preserve"> and </w:t>
      </w:r>
      <w:r>
        <w:rPr>
          <w:rFonts w:ascii="Times New Roman;Times;serif" w:hAnsi="Times New Roman;Times;serif"/>
          <w:i/>
          <w:sz w:val="20"/>
        </w:rPr>
        <w:t>Naraka: Bladepoint</w:t>
      </w:r>
      <w:r>
        <w:rPr>
          <w:rFonts w:ascii="Times New Roman;Times;serif" w:hAnsi="Times New Roman;Times;serif"/>
          <w:sz w:val="20"/>
        </w:rPr>
        <w:t>. Net revenues from the operation of online games accounted for approximately 92.6% of the segment in 2021, compared with 93.0% in 2020.</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our in-house developed games (including certain games co-developed with our collaboration partners) increased by 13.7% to RMB54,450.6 million in 2021 from RMB47,885.6 million in 2020 as a result of the expansion of our portfolio of both PC and mobile games and their increased popularity in 2021. Net revenues from licensed games increased by 24.3% to RMB8,355.9 million in 2021 from RMB6,723.1 million in 2020, which was mainly attributable to increased popularity of certain licensed games such as </w:t>
      </w:r>
      <w:r>
        <w:rPr>
          <w:rFonts w:ascii="Times New Roman;Times;serif" w:hAnsi="Times New Roman;Times;serif"/>
          <w:i/>
          <w:sz w:val="20"/>
        </w:rPr>
        <w:t>Sky</w:t>
      </w:r>
      <w:r>
        <w:rPr>
          <w:rFonts w:ascii="Times New Roman;Times;serif" w:hAnsi="Times New Roman;Times;serif"/>
          <w:sz w:val="20"/>
        </w:rPr>
        <w:t xml:space="preserve"> and several newly released licensed games. Net revenues generated from licensed games represented 9.5% and 9.1% of our total net revenues in 2021 and 2020,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net revenues of this segment also resulted from an increase in revenue contribution by game related value-added services such as NetEase CC live streaming.</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Youdao segment increased by 69.0% to RMB5,354.4 million in 2021 from RMB3,167.5 million in 2020. The increase was mainly attributable to increased revenue from its learning services and smart devices.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Cloud</w:t>
      </w:r>
      <w:r>
        <w:rPr>
          <w:rFonts w:ascii="Times New Roman;Times;serif" w:hAnsi="Times New Roman;Times;serif"/>
          <w:sz w:val="20"/>
        </w:rPr>
        <w:t xml:space="preserve"> </w:t>
      </w:r>
      <w:r>
        <w:rPr>
          <w:rFonts w:ascii="Times New Roman;Times;serif" w:hAnsi="Times New Roman;Times;serif"/>
          <w:i/>
          <w:sz w:val="20"/>
        </w:rPr>
        <w:t>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Cloud Music segment increased by 42.9% to RMB6,997.6 million in 2021 from RMB4,895.7 million in 2020. The increase was mainly attributable to increased revenues from its online music services as a result of the growth in sales of membership subscriptions, as well as its increased revenues from social entertainment services, which was mainly derived from rapid growth of live streaming services.</w:t>
      </w:r>
    </w:p>
    <w:p>
      <w:pPr>
        <w:pStyle w:val="TextBody"/>
        <w:spacing w:before="0" w:after="240"/>
        <w:ind w:left="720" w:right="0" w:hanging="0"/>
        <w:rPr>
          <w:rFonts w:ascii="Times New Roman;Times;serif" w:hAnsi="Times New Roman;Times;serif"/>
          <w:sz w:val="20"/>
        </w:rPr>
      </w:pPr>
      <w:r>
        <w:rPr>
          <w:rFonts w:ascii="Times New Roman;Times;serif" w:hAnsi="Times New Roman;Times;serif"/>
          <w:i/>
          <w:sz w:val="20"/>
        </w:rPr>
        <w:t>Innovative</w:t>
      </w:r>
      <w:r>
        <w:rPr>
          <w:rFonts w:ascii="Times New Roman;Times;serif" w:hAnsi="Times New Roman;Times;serif"/>
          <w:sz w:val="20"/>
        </w:rPr>
        <w:t xml:space="preserve"> </w:t>
      </w:r>
      <w:r>
        <w:rPr>
          <w:rFonts w:ascii="Times New Roman;Times;serif" w:hAnsi="Times New Roman;Times;serif"/>
          <w:i/>
          <w:sz w:val="20"/>
        </w:rPr>
        <w:t>Businesses</w:t>
      </w:r>
      <w:r>
        <w:rPr>
          <w:rFonts w:ascii="Times New Roman;Times;serif" w:hAnsi="Times New Roman;Times;serif"/>
          <w:sz w:val="20"/>
        </w:rPr>
        <w:t xml:space="preserve"> </w:t>
      </w:r>
      <w:r>
        <w:rPr>
          <w:rFonts w:ascii="Times New Roman;Times;serif" w:hAnsi="Times New Roman;Times;serif"/>
          <w:i/>
          <w:sz w:val="20"/>
        </w:rPr>
        <w:t>and</w:t>
      </w:r>
      <w:r>
        <w:rPr>
          <w:rFonts w:ascii="Times New Roman;Times;serif" w:hAnsi="Times New Roman;Times;serif"/>
          <w:sz w:val="20"/>
        </w:rPr>
        <w:t xml:space="preserve"> </w:t>
      </w:r>
      <w:r>
        <w:rPr>
          <w:rFonts w:ascii="Times New Roman;Times;serif" w:hAnsi="Times New Roman;Times;serif"/>
          <w:i/>
          <w:sz w:val="20"/>
        </w:rPr>
        <w:t>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the innovative businesses and others segment increased by 8.0% to RMB7,434.8 million in 2021 from RMB6,884.0 million in 2020. This increase mainly resulted from an increase in revenue contribution by our Yanxuan and certain other innovative businesses, which was partially offset by a decrease in net revenue from our advertising business as a result of a relatively more challenging macroeconomic environment in China and the adverse impact of the COVID-19 pandemic.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Cost of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increased by 17.2% to RMB40,635.2 million in 2021 from RMB34,683.7 million in 2020. The year-over-year increase was mainly due to an increase in revenue sharing costs with distribution channel providers, game developers and other third parties, content costs and payroll related expenses. In 2021, costs relating to games and related value-added services, Youdao, Cloud Music and innovative businesses and others represented 64.0%, 6.0%, 16.9% and 13.1% of total cost of revenues, respectively, as compared with 65.5%, 4.9%, 15.8% and 13.8% of the total cost of revenues, respectively, in 2020.</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games and related value-added services increased by 14.4% to RMB26,007.4 million in 2021 from RMB22,730.6 million in 2020. The increase in cost of revenues in 2021 was primarily due to (i) an increase in revenue sharing costs with distribution channel providers, game developers, broadcasters, content owners and other third parties, which was primarily due to the increased revenue from our various in-house developed PC and mobile games and licensed mobile games, as well as NetEase CC live streaming in 2021, and (ii) an increase in staff-related costs mainly as a result of an increase in salaries and bonuses and an increase in the number of our employees.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Youdao increased by 42.9% to RMB2,448.1 million in 2021 from RMB1,713.2 million in 2020, which was primarily attributable to increased payroll related expenses and cost of smart devices sold.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Cloud</w:t>
      </w:r>
      <w:r>
        <w:rPr>
          <w:rFonts w:ascii="Times New Roman;Times;serif" w:hAnsi="Times New Roman;Times;serif"/>
          <w:sz w:val="20"/>
        </w:rPr>
        <w:t xml:space="preserve"> </w:t>
      </w:r>
      <w:r>
        <w:rPr>
          <w:rFonts w:ascii="Times New Roman;Times;serif" w:hAnsi="Times New Roman;Times;serif"/>
          <w:i/>
          <w:sz w:val="20"/>
        </w:rPr>
        <w:t>Music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Cloud Music increased by 24.8% to RMB6,854.9 million in 2021 from RMB5,491.1 million in 2020, which was primarily attributable to an increase in content licensing fees paid to music labels and independent artists in line with the growth of online music service revenue, as well as increase in revenue sharing costs for talent agencies of live streaming performers, which was in line with the rapid growth of its revenue from live streaming services.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Innovative</w:t>
      </w:r>
      <w:r>
        <w:rPr>
          <w:rFonts w:ascii="Times New Roman;Times;serif" w:hAnsi="Times New Roman;Times;serif"/>
          <w:sz w:val="20"/>
        </w:rPr>
        <w:t xml:space="preserve"> </w:t>
      </w:r>
      <w:r>
        <w:rPr>
          <w:rFonts w:ascii="Times New Roman;Times;serif" w:hAnsi="Times New Roman;Times;serif"/>
          <w:i/>
          <w:sz w:val="20"/>
        </w:rPr>
        <w:t>Businesses</w:t>
      </w:r>
      <w:r>
        <w:rPr>
          <w:rFonts w:ascii="Times New Roman;Times;serif" w:hAnsi="Times New Roman;Times;serif"/>
          <w:sz w:val="20"/>
        </w:rPr>
        <w:t xml:space="preserve"> </w:t>
      </w:r>
      <w:r>
        <w:rPr>
          <w:rFonts w:ascii="Times New Roman;Times;serif" w:hAnsi="Times New Roman;Times;serif"/>
          <w:i/>
          <w:sz w:val="20"/>
        </w:rPr>
        <w:t>and</w:t>
      </w:r>
      <w:r>
        <w:rPr>
          <w:rFonts w:ascii="Times New Roman;Times;serif" w:hAnsi="Times New Roman;Times;serif"/>
          <w:sz w:val="20"/>
        </w:rPr>
        <w:t xml:space="preserve"> </w:t>
      </w:r>
      <w:r>
        <w:rPr>
          <w:rFonts w:ascii="Times New Roman;Times;serif" w:hAnsi="Times New Roman;Times;serif"/>
          <w:i/>
          <w:sz w:val="20"/>
        </w:rPr>
        <w:t>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innovative businesses and others increased by 12.1% to RMB5,324.7 million in 2021 from RMB4,748.9 million in 2020. The increase in cost of revenues in 2021 was primarily due to increased content costs related to our e-reading services, the increased cost of merchandise sold in our e-commerce business resulting from increased sales volume and increased staff-related costs.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Gross Profit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gross profit increased by 20.5% to RMB46,970.8 million in 2021 from RMB38,983.4 million in 2020.</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consolidated gross profits and gross profit margins of our business activities for the periods indicated as derived from our audited financial statements. The gross profit margins in 2020 and 2021 were calculated by dividing our gross profits over our net revenues for the corresponding type of services.</w:t>
      </w:r>
    </w:p>
    <w:p>
      <w:pPr>
        <w:pStyle w:val="TextBody"/>
        <w:spacing w:before="0" w:after="0"/>
        <w:ind w:left="0" w:right="0" w:hanging="0"/>
        <w:rPr/>
      </w:pPr>
      <w:r>
        <w:rPr/>
        <w:t>​</w:t>
      </w:r>
    </w:p>
    <w:tbl>
      <w:tblPr>
        <w:tblW w:w="6508" w:type="dxa"/>
        <w:jc w:val="left"/>
        <w:tblInd w:w="0" w:type="dxa"/>
        <w:tblCellMar>
          <w:top w:w="0" w:type="dxa"/>
          <w:left w:w="0" w:type="dxa"/>
          <w:bottom w:w="0" w:type="dxa"/>
          <w:right w:w="0" w:type="dxa"/>
        </w:tblCellMar>
      </w:tblPr>
      <w:tblGrid>
        <w:gridCol w:w="3346"/>
        <w:gridCol w:w="326"/>
        <w:gridCol w:w="1073"/>
        <w:gridCol w:w="373"/>
        <w:gridCol w:w="1074"/>
        <w:gridCol w:w="31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24710" cy="175260"/>
                      <wp:effectExtent l="0" t="0" r="0" b="0"/>
                      <wp:wrapNone/>
                      <wp:docPr id="91" name="Frame90"/>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81355" cy="175260"/>
                      <wp:effectExtent l="0" t="0" r="0" b="0"/>
                      <wp:wrapNone/>
                      <wp:docPr id="93" name="Frame92"/>
                      <a:graphic xmlns:a="http://schemas.openxmlformats.org/drawingml/2006/main">
                        <a:graphicData uri="http://schemas.microsoft.com/office/word/2010/wordprocessingShape">
                          <wps:wsp>
                            <wps:cNvSpPr txBox="1"/>
                            <wps:spPr>
                              <a:xfrm>
                                <a:off x="0" y="0"/>
                                <a:ext cx="681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6855" cy="175260"/>
                      <wp:effectExtent l="0" t="0" r="0" b="0"/>
                      <wp:wrapNone/>
                      <wp:docPr id="94" name="Frame93"/>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81990" cy="175260"/>
                      <wp:effectExtent l="0" t="0" r="0" b="0"/>
                      <wp:wrapNone/>
                      <wp:docPr id="95" name="Frame94"/>
                      <a:graphic xmlns:a="http://schemas.openxmlformats.org/drawingml/2006/main">
                        <a:graphicData uri="http://schemas.microsoft.com/office/word/2010/wordprocessingShape">
                          <wps:wsp>
                            <wps:cNvSpPr txBox="1"/>
                            <wps:spPr>
                              <a:xfrm>
                                <a:off x="0" y="0"/>
                                <a:ext cx="681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0660" cy="175260"/>
                      <wp:effectExtent l="0" t="0" r="0" b="0"/>
                      <wp:wrapNone/>
                      <wp:docPr id="96" name="Frame9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2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7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3" w:type="dxa"/>
            <w:tcBorders/>
            <w:shd w:fill="auto" w:val="clear"/>
            <w:vAlign w:val="center"/>
          </w:tcPr>
          <w:p>
            <w:pPr>
              <w:pStyle w:val="TableContents"/>
              <w:spacing w:before="0" w:after="0"/>
              <w:ind w:left="0" w:right="0" w:hanging="0"/>
              <w:rPr/>
            </w:pPr>
            <w:r>
              <w:rPr/>
              <w:t>    </w:t>
            </w:r>
          </w:p>
        </w:tc>
        <w:tc>
          <w:tcPr>
            <w:tcW w:w="10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7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3" w:type="dxa"/>
            <w:tcBorders/>
            <w:shd w:fill="auto" w:val="clear"/>
            <w:vAlign w:val="center"/>
          </w:tcPr>
          <w:p>
            <w:pPr>
              <w:pStyle w:val="TableContents"/>
              <w:spacing w:before="0" w:after="0"/>
              <w:ind w:left="0" w:right="0" w:hanging="0"/>
              <w:rPr/>
            </w:pPr>
            <w:r>
              <w:rPr/>
              <w:t>​</w:t>
            </w:r>
          </w:p>
        </w:tc>
        <w:tc>
          <w:tcPr>
            <w:tcW w:w="10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2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spacing w:before="0" w:after="0"/>
              <w:ind w:left="0" w:right="0" w:hanging="0"/>
              <w:rPr/>
            </w:pPr>
            <w:r>
              <w:rPr/>
              <w:t> </w:t>
            </w:r>
          </w:p>
        </w:tc>
        <w:tc>
          <w:tcPr>
            <w:tcW w:w="1073" w:type="dxa"/>
            <w:tcBorders/>
            <w:shd w:fill="CCEEFF" w:val="clear"/>
            <w:vAlign w:val="center"/>
          </w:tcPr>
          <w:p>
            <w:pPr>
              <w:pStyle w:val="TableContents"/>
              <w:spacing w:before="0" w:after="0"/>
              <w:ind w:left="0" w:right="0" w:hanging="0"/>
              <w:rPr/>
            </w:pPr>
            <w:r>
              <w:rPr/>
              <w:t>  </w:t>
            </w:r>
          </w:p>
        </w:tc>
        <w:tc>
          <w:tcPr>
            <w:tcW w:w="373"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rPr/>
            </w:pPr>
            <w:r>
              <w:rPr/>
              <w:t> </w:t>
            </w:r>
          </w:p>
        </w:tc>
        <w:tc>
          <w:tcPr>
            <w:tcW w:w="10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35,989,337</w:t>
            </w:r>
          </w:p>
        </w:tc>
        <w:tc>
          <w:tcPr>
            <w:tcW w:w="373"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41,811,876</w:t>
            </w:r>
          </w:p>
        </w:tc>
        <w:tc>
          <w:tcPr>
            <w:tcW w:w="31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rPr/>
            </w:pPr>
            <w:r>
              <w:rPr/>
              <w:t> </w:t>
            </w:r>
          </w:p>
        </w:tc>
        <w:tc>
          <w:tcPr>
            <w:tcW w:w="10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1,454,286</w:t>
            </w:r>
          </w:p>
        </w:tc>
        <w:tc>
          <w:tcPr>
            <w:tcW w:w="373"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2,906,211</w:t>
            </w:r>
          </w:p>
        </w:tc>
        <w:tc>
          <w:tcPr>
            <w:tcW w:w="31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rPr/>
            </w:pPr>
            <w:r>
              <w:rPr/>
              <w:t> </w:t>
            </w:r>
          </w:p>
        </w:tc>
        <w:tc>
          <w:tcPr>
            <w:tcW w:w="10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(595,335)</w:t>
            </w:r>
          </w:p>
        </w:tc>
        <w:tc>
          <w:tcPr>
            <w:tcW w:w="373"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142,674</w:t>
            </w:r>
          </w:p>
        </w:tc>
        <w:tc>
          <w:tcPr>
            <w:tcW w:w="31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rPr/>
            </w:pPr>
            <w:r>
              <w:rPr/>
              <w:t> </w:t>
            </w:r>
          </w:p>
        </w:tc>
        <w:tc>
          <w:tcPr>
            <w:tcW w:w="10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2,135,114</w:t>
            </w:r>
          </w:p>
        </w:tc>
        <w:tc>
          <w:tcPr>
            <w:tcW w:w="373" w:type="dxa"/>
            <w:tcBorders/>
            <w:shd w:fill="CCEEFF" w:val="clear"/>
            <w:vAlign w:val="center"/>
          </w:tcPr>
          <w:p>
            <w:pPr>
              <w:pStyle w:val="TableContents"/>
              <w:spacing w:before="0" w:after="0"/>
              <w:ind w:left="0" w:right="0" w:hanging="0"/>
              <w:rPr/>
            </w:pPr>
            <w:r>
              <w:rPr/>
              <w:t> </w:t>
            </w:r>
          </w:p>
        </w:tc>
        <w:tc>
          <w:tcPr>
            <w:tcW w:w="10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2,110,040</w:t>
            </w:r>
          </w:p>
        </w:tc>
        <w:tc>
          <w:tcPr>
            <w:tcW w:w="31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profit</w:t>
            </w:r>
          </w:p>
        </w:tc>
        <w:tc>
          <w:tcPr>
            <w:tcW w:w="326" w:type="dxa"/>
            <w:tcBorders/>
            <w:shd w:fill="auto" w:val="clear"/>
            <w:vAlign w:val="center"/>
          </w:tcPr>
          <w:p>
            <w:pPr>
              <w:pStyle w:val="TableContents"/>
              <w:spacing w:before="0" w:after="0"/>
              <w:ind w:left="0" w:right="0" w:hanging="0"/>
              <w:rPr/>
            </w:pPr>
            <w:r>
              <w:rPr/>
              <w:t> </w:t>
            </w:r>
          </w:p>
        </w:tc>
        <w:tc>
          <w:tcPr>
            <w:tcW w:w="107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38,983,402</w:t>
            </w:r>
          </w:p>
        </w:tc>
        <w:tc>
          <w:tcPr>
            <w:tcW w:w="373" w:type="dxa"/>
            <w:tcBorders/>
            <w:shd w:fill="auto" w:val="clear"/>
            <w:vAlign w:val="center"/>
          </w:tcPr>
          <w:p>
            <w:pPr>
              <w:pStyle w:val="TableContents"/>
              <w:spacing w:before="0" w:after="0"/>
              <w:ind w:left="0" w:right="0" w:hanging="0"/>
              <w:rPr/>
            </w:pPr>
            <w:r>
              <w:rPr/>
              <w:t> </w:t>
            </w:r>
          </w:p>
        </w:tc>
        <w:tc>
          <w:tcPr>
            <w:tcW w:w="107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1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73" w:type="dxa"/>
            <w:tcBorders/>
            <w:shd w:fill="CCEEFF" w:val="clear"/>
            <w:vAlign w:val="center"/>
          </w:tcPr>
          <w:p>
            <w:pPr>
              <w:pStyle w:val="TableContents"/>
              <w:spacing w:before="0" w:after="0"/>
              <w:ind w:left="0" w:right="0" w:hanging="0"/>
              <w:jc w:val="right"/>
              <w:rPr/>
            </w:pPr>
            <w:r>
              <w:rPr/>
              <w:t>​</w:t>
            </w:r>
          </w:p>
        </w:tc>
        <w:tc>
          <w:tcPr>
            <w:tcW w:w="373" w:type="dxa"/>
            <w:tcBorders/>
            <w:shd w:fill="CCEEFF" w:val="clear"/>
            <w:vAlign w:val="center"/>
          </w:tcPr>
          <w:p>
            <w:pPr>
              <w:pStyle w:val="TableContents"/>
              <w:spacing w:before="0" w:after="0"/>
              <w:ind w:left="0" w:right="0" w:hanging="0"/>
              <w:rPr/>
            </w:pPr>
            <w:r>
              <w:rPr/>
              <w:t>​</w:t>
            </w:r>
          </w:p>
        </w:tc>
        <w:tc>
          <w:tcPr>
            <w:tcW w:w="1074"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Gross profit margin:</w:t>
            </w:r>
          </w:p>
        </w:tc>
        <w:tc>
          <w:tcPr>
            <w:tcW w:w="326" w:type="dxa"/>
            <w:tcBorders/>
            <w:shd w:fill="auto" w:val="clear"/>
            <w:vAlign w:val="center"/>
          </w:tcPr>
          <w:p>
            <w:pPr>
              <w:pStyle w:val="TableContents"/>
              <w:spacing w:before="0" w:after="0"/>
              <w:ind w:left="0" w:right="0" w:hanging="0"/>
              <w:rPr/>
            </w:pPr>
            <w:r>
              <w:rPr/>
              <w:t> </w:t>
            </w:r>
          </w:p>
        </w:tc>
        <w:tc>
          <w:tcPr>
            <w:tcW w:w="1073" w:type="dxa"/>
            <w:tcBorders/>
            <w:shd w:fill="auto" w:val="clear"/>
            <w:vAlign w:val="center"/>
          </w:tcPr>
          <w:p>
            <w:pPr>
              <w:pStyle w:val="TableContents"/>
              <w:spacing w:before="0" w:after="0"/>
              <w:ind w:left="0" w:right="0" w:hanging="0"/>
              <w:jc w:val="right"/>
              <w:rPr/>
            </w:pPr>
            <w:r>
              <w:rPr/>
              <w:t>​</w:t>
            </w:r>
          </w:p>
        </w:tc>
        <w:tc>
          <w:tcPr>
            <w:tcW w:w="373"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spacing w:before="0" w:after="0"/>
              <w:ind w:left="0" w:right="0" w:hanging="0"/>
              <w:rPr/>
            </w:pPr>
            <w:r>
              <w:rPr/>
              <w:t> </w:t>
            </w:r>
          </w:p>
        </w:tc>
        <w:tc>
          <w:tcPr>
            <w:tcW w:w="10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326" w:type="dxa"/>
            <w:tcBorders/>
            <w:shd w:fill="auto" w:val="clear"/>
            <w:vAlign w:val="center"/>
          </w:tcPr>
          <w:p>
            <w:pPr>
              <w:pStyle w:val="TableContents"/>
              <w:spacing w:before="0" w:after="0"/>
              <w:ind w:left="0" w:right="0" w:hanging="0"/>
              <w:rPr/>
            </w:pPr>
            <w:r>
              <w:rPr/>
              <w:t> </w:t>
            </w:r>
          </w:p>
        </w:tc>
        <w:tc>
          <w:tcPr>
            <w:tcW w:w="10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7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spacing w:before="0" w:after="0"/>
              <w:ind w:left="0" w:right="0" w:hanging="0"/>
              <w:rPr/>
            </w:pPr>
            <w:r>
              <w:rPr/>
              <w:t> </w:t>
            </w:r>
          </w:p>
        </w:tc>
        <w:tc>
          <w:tcPr>
            <w:tcW w:w="10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auto" w:val="clear"/>
            <w:vAlign w:val="center"/>
          </w:tcPr>
          <w:p>
            <w:pPr>
              <w:pStyle w:val="TableContents"/>
              <w:spacing w:before="0" w:after="0"/>
              <w:ind w:left="0" w:right="0" w:hanging="0"/>
              <w:rPr/>
            </w:pPr>
            <w:r>
              <w:rPr/>
              <w:t> </w:t>
            </w:r>
          </w:p>
        </w:tc>
        <w:tc>
          <w:tcPr>
            <w:tcW w:w="10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7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profit margin</w:t>
            </w:r>
          </w:p>
        </w:tc>
        <w:tc>
          <w:tcPr>
            <w:tcW w:w="326" w:type="dxa"/>
            <w:tcBorders/>
            <w:shd w:fill="CCEEFF" w:val="clear"/>
            <w:vAlign w:val="center"/>
          </w:tcPr>
          <w:p>
            <w:pPr>
              <w:pStyle w:val="TableContents"/>
              <w:spacing w:before="0" w:after="0"/>
              <w:ind w:left="0" w:right="0" w:hanging="0"/>
              <w:rPr/>
            </w:pPr>
            <w:r>
              <w:rPr/>
              <w:t> </w:t>
            </w:r>
          </w:p>
        </w:tc>
        <w:tc>
          <w:tcPr>
            <w:tcW w:w="10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margin for games and related value-added services in 2021 remained relatively stable compared to 2020. The increase in gross profit margin in 2021 for Youdao was mainly due to increased revenues and improved economies of scale related to its learning services. The improvement in gross profit margin in 2021 for Cloud Music was mainly due to enhanced economies of scale in its business and cost controls. The decrease in gross profit margin in 2021 for innovative businesses and others was mainly due to the decreased gross profit from our advertising business, which was partially offset by the improved gross profit from Yanxuan and other innovative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increased by 25.0% to RMB30,553.7 million in 2021 from RMB24,445.0 million in 2020 as a result of increased marketing expenditures related to online games, Cloud Music and Yanxuan, as well as higher staff-related costs and research and development investments. The following table sets forth our operating expenses for the periods indicated as derived from our audited financial statements.</w:t>
      </w:r>
    </w:p>
    <w:p>
      <w:pPr>
        <w:pStyle w:val="TextBody"/>
        <w:spacing w:before="0" w:after="0"/>
        <w:ind w:left="0" w:right="0" w:hanging="0"/>
        <w:rPr/>
      </w:pPr>
      <w:r>
        <w:rPr/>
        <w:t>​</w:t>
      </w:r>
    </w:p>
    <w:tbl>
      <w:tblPr>
        <w:tblW w:w="6100" w:type="dxa"/>
        <w:jc w:val="left"/>
        <w:tblInd w:w="0" w:type="dxa"/>
        <w:tblCellMar>
          <w:top w:w="0" w:type="dxa"/>
          <w:left w:w="0" w:type="dxa"/>
          <w:bottom w:w="0" w:type="dxa"/>
          <w:right w:w="0" w:type="dxa"/>
        </w:tblCellMar>
      </w:tblPr>
      <w:tblGrid>
        <w:gridCol w:w="3091"/>
        <w:gridCol w:w="326"/>
        <w:gridCol w:w="1156"/>
        <w:gridCol w:w="326"/>
        <w:gridCol w:w="1201"/>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62785" cy="175260"/>
                      <wp:effectExtent l="0" t="0" r="0" b="0"/>
                      <wp:wrapNone/>
                      <wp:docPr id="97" name="Frame96"/>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34060" cy="175260"/>
                      <wp:effectExtent l="0" t="0" r="0" b="0"/>
                      <wp:wrapNone/>
                      <wp:docPr id="99" name="Frame9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62635" cy="175260"/>
                      <wp:effectExtent l="0" t="0" r="0" b="0"/>
                      <wp:wrapNone/>
                      <wp:docPr id="101" name="Frame100"/>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6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8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(10,703,788)</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(3,371,827)</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(10,369,382)</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(24,444,997)</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increased by 14.1% to RMB12,214.2 million in 2021 from RMB10,703.8 million in 2020, primarily due to increased marketing spending on our online games, Cloud Music and Yanxuan, as well as increased staff-related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26.4% to RMB4,263.5 million in 2021 from RMB3,371.8 million in 2020, primarily due to an increase in staff-related costs driven by higher compensation levels and increased expected credit losses on our accounts receivables, in particular related to our advertising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35.7% to RMB14,076.0 million in 2021 from RMB10,369.4 million in 2020, primarily due to an increase in staff-related costs, mainly as a result of increased headcount and higher salaries, bonuses and other benefits paid to our research and development teams, as well as increased technology expenses which were mainly for game content design.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Income/(Expenses)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other income/(expenses) for the periods indicated as derived from our audited financial statements.</w:t>
      </w:r>
    </w:p>
    <w:p>
      <w:pPr>
        <w:pStyle w:val="TextBody"/>
        <w:spacing w:before="0" w:after="0"/>
        <w:ind w:left="0" w:right="0" w:hanging="0"/>
        <w:rPr/>
      </w:pPr>
      <w:r>
        <w:rPr/>
        <w:t>​</w:t>
      </w:r>
    </w:p>
    <w:tbl>
      <w:tblPr>
        <w:tblW w:w="4902" w:type="dxa"/>
        <w:jc w:val="left"/>
        <w:tblInd w:w="0" w:type="dxa"/>
        <w:tblCellMar>
          <w:top w:w="0" w:type="dxa"/>
          <w:left w:w="0" w:type="dxa"/>
          <w:bottom w:w="0" w:type="dxa"/>
          <w:right w:w="0" w:type="dxa"/>
        </w:tblCellMar>
      </w:tblPr>
      <w:tblGrid>
        <w:gridCol w:w="2011"/>
        <w:gridCol w:w="326"/>
        <w:gridCol w:w="1108"/>
        <w:gridCol w:w="364"/>
        <w:gridCol w:w="1093"/>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76985" cy="175260"/>
                      <wp:effectExtent l="0" t="0" r="0" b="0"/>
                      <wp:wrapNone/>
                      <wp:docPr id="102" name="Frame101"/>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03580" cy="175260"/>
                      <wp:effectExtent l="0" t="0" r="0" b="0"/>
                      <wp:wrapNone/>
                      <wp:docPr id="104" name="Frame103"/>
                      <a:graphic xmlns:a="http://schemas.openxmlformats.org/drawingml/2006/main">
                        <a:graphicData uri="http://schemas.microsoft.com/office/word/2010/wordprocessingShape">
                          <wps:wsp>
                            <wps:cNvSpPr txBox="1"/>
                            <wps:spPr>
                              <a:xfrm>
                                <a:off x="0" y="0"/>
                                <a:ext cx="703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1140" cy="175260"/>
                      <wp:effectExtent l="0" t="0" r="0" b="0"/>
                      <wp:wrapNone/>
                      <wp:docPr id="105" name="Frame104"/>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4055" cy="175260"/>
                      <wp:effectExtent l="0" t="0" r="0" b="0"/>
                      <wp:wrapNone/>
                      <wp:docPr id="106" name="Frame105"/>
                      <a:graphic xmlns:a="http://schemas.openxmlformats.org/drawingml/2006/main">
                        <a:graphicData uri="http://schemas.microsoft.com/office/word/2010/wordprocessingShape">
                          <wps:wsp>
                            <wps:cNvSpPr txBox="1"/>
                            <wps:spPr>
                              <a:xfrm>
                                <a:off x="0" y="0"/>
                                <a:ext cx="694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6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4" w:type="dxa"/>
            <w:tcBorders/>
            <w:shd w:fill="auto" w:val="clear"/>
            <w:vAlign w:val="center"/>
          </w:tcPr>
          <w:p>
            <w:pPr>
              <w:pStyle w:val="TableContents"/>
              <w:spacing w:before="0" w:after="0"/>
              <w:ind w:left="0" w:right="0" w:hanging="0"/>
              <w:jc w:val="center"/>
              <w:rPr/>
            </w:pPr>
            <w:r>
              <w:rPr/>
              <w:t>    </w:t>
            </w:r>
          </w:p>
        </w:tc>
        <w:tc>
          <w:tcPr>
            <w:tcW w:w="10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0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4" w:type="dxa"/>
            <w:tcBorders/>
            <w:shd w:fill="auto" w:val="clear"/>
            <w:vAlign w:val="center"/>
          </w:tcPr>
          <w:p>
            <w:pPr>
              <w:pStyle w:val="TableContents"/>
              <w:spacing w:before="0" w:after="0"/>
              <w:ind w:left="0" w:right="0" w:hanging="0"/>
              <w:jc w:val="center"/>
              <w:rPr/>
            </w:pPr>
            <w:r>
              <w:rPr/>
              <w:t>​</w:t>
            </w:r>
          </w:p>
        </w:tc>
        <w:tc>
          <w:tcPr>
            <w:tcW w:w="109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6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08" w:type="dxa"/>
            <w:tcBorders/>
            <w:shd w:fill="auto" w:val="clear"/>
            <w:vAlign w:val="center"/>
          </w:tcPr>
          <w:p>
            <w:pPr>
              <w:pStyle w:val="TableContents"/>
              <w:spacing w:before="0" w:after="0"/>
              <w:ind w:left="0" w:right="0" w:hanging="0"/>
              <w:rPr/>
            </w:pPr>
            <w:r>
              <w:rPr/>
              <w:t>​</w:t>
            </w:r>
          </w:p>
        </w:tc>
        <w:tc>
          <w:tcPr>
            <w:tcW w:w="364" w:type="dxa"/>
            <w:tcBorders/>
            <w:shd w:fill="auto" w:val="clear"/>
            <w:vAlign w:val="center"/>
          </w:tcPr>
          <w:p>
            <w:pPr>
              <w:pStyle w:val="TableContents"/>
              <w:spacing w:before="0" w:after="0"/>
              <w:ind w:left="0" w:right="0" w:hanging="0"/>
              <w:rPr/>
            </w:pPr>
            <w:r>
              <w:rPr/>
              <w:t>​</w:t>
            </w:r>
          </w:p>
        </w:tc>
        <w:tc>
          <w:tcPr>
            <w:tcW w:w="1093" w:type="dxa"/>
            <w:tcBorders/>
            <w:shd w:fill="auto" w:val="clear"/>
            <w:vAlign w:val="center"/>
          </w:tcPr>
          <w:p>
            <w:pPr>
              <w:pStyle w:val="TableContents"/>
              <w:spacing w:before="0" w:after="0"/>
              <w:ind w:left="0" w:right="0" w:hanging="0"/>
              <w:rPr/>
            </w:pPr>
            <w:r>
              <w:rPr/>
              <w:t>​</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spacing w:before="0" w:after="0"/>
              <w:ind w:left="0" w:right="0" w:hanging="0"/>
              <w:rPr/>
            </w:pPr>
            <w:r>
              <w:rPr/>
              <w:t> </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1,610,045</w:t>
            </w:r>
          </w:p>
        </w:tc>
        <w:tc>
          <w:tcPr>
            <w:tcW w:w="364" w:type="dxa"/>
            <w:tcBorders/>
            <w:shd w:fill="CCEEFF" w:val="clear"/>
            <w:vAlign w:val="center"/>
          </w:tcPr>
          <w:p>
            <w:pPr>
              <w:pStyle w:val="TableContents"/>
              <w:spacing w:before="0" w:after="0"/>
              <w:ind w:left="0" w:right="0" w:hanging="0"/>
              <w:rPr/>
            </w:pPr>
            <w:r>
              <w:rPr/>
              <w:t> </w:t>
            </w:r>
          </w:p>
        </w:tc>
        <w:tc>
          <w:tcPr>
            <w:tcW w:w="10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2,947,721</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auto" w:val="clear"/>
            <w:vAlign w:val="center"/>
          </w:tcPr>
          <w:p>
            <w:pPr>
              <w:pStyle w:val="TableContents"/>
              <w:spacing w:before="0" w:after="0"/>
              <w:ind w:left="0" w:right="0" w:hanging="0"/>
              <w:rPr/>
            </w:pPr>
            <w:r>
              <w:rPr/>
              <w:t> </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1,598,618</w:t>
            </w:r>
          </w:p>
        </w:tc>
        <w:tc>
          <w:tcPr>
            <w:tcW w:w="364" w:type="dxa"/>
            <w:tcBorders/>
            <w:shd w:fill="auto" w:val="clear"/>
            <w:vAlign w:val="center"/>
          </w:tcPr>
          <w:p>
            <w:pPr>
              <w:pStyle w:val="TableContents"/>
              <w:spacing w:before="0" w:after="0"/>
              <w:ind w:left="0" w:right="0" w:hanging="0"/>
              <w:rPr/>
            </w:pPr>
            <w:r>
              <w:rPr/>
              <w:t> </w:t>
            </w:r>
          </w:p>
        </w:tc>
        <w:tc>
          <w:tcPr>
            <w:tcW w:w="10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1,519,714</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Exchange losses, net</w:t>
            </w:r>
          </w:p>
        </w:tc>
        <w:tc>
          <w:tcPr>
            <w:tcW w:w="326" w:type="dxa"/>
            <w:tcBorders/>
            <w:shd w:fill="CCEEFF" w:val="clear"/>
            <w:vAlign w:val="center"/>
          </w:tcPr>
          <w:p>
            <w:pPr>
              <w:pStyle w:val="TableContents"/>
              <w:spacing w:before="0" w:after="0"/>
              <w:ind w:left="0" w:right="0" w:hanging="0"/>
              <w:rPr/>
            </w:pPr>
            <w:r>
              <w:rPr/>
              <w:t> </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(3,112,152)</w:t>
            </w:r>
          </w:p>
        </w:tc>
        <w:tc>
          <w:tcPr>
            <w:tcW w:w="364" w:type="dxa"/>
            <w:tcBorders/>
            <w:shd w:fill="CCEEFF" w:val="clear"/>
            <w:vAlign w:val="center"/>
          </w:tcPr>
          <w:p>
            <w:pPr>
              <w:pStyle w:val="TableContents"/>
              <w:spacing w:before="0" w:after="0"/>
              <w:ind w:left="0" w:right="0" w:hanging="0"/>
              <w:rPr/>
            </w:pPr>
            <w:r>
              <w:rPr/>
              <w:t> </w:t>
            </w:r>
          </w:p>
        </w:tc>
        <w:tc>
          <w:tcPr>
            <w:tcW w:w="10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(490,481)</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net</w:t>
            </w:r>
          </w:p>
        </w:tc>
        <w:tc>
          <w:tcPr>
            <w:tcW w:w="326" w:type="dxa"/>
            <w:tcBorders/>
            <w:shd w:fill="auto" w:val="clear"/>
            <w:vAlign w:val="center"/>
          </w:tcPr>
          <w:p>
            <w:pPr>
              <w:pStyle w:val="TableContents"/>
              <w:spacing w:before="0" w:after="0"/>
              <w:ind w:left="0" w:right="0" w:hanging="0"/>
              <w:rPr/>
            </w:pPr>
            <w:r>
              <w:rPr/>
              <w:t> </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737,168</w:t>
            </w:r>
          </w:p>
        </w:tc>
        <w:tc>
          <w:tcPr>
            <w:tcW w:w="364" w:type="dxa"/>
            <w:tcBorders/>
            <w:shd w:fill="auto" w:val="clear"/>
            <w:vAlign w:val="center"/>
          </w:tcPr>
          <w:p>
            <w:pPr>
              <w:pStyle w:val="TableContents"/>
              <w:spacing w:before="0" w:after="0"/>
              <w:ind w:left="0" w:right="0" w:hanging="0"/>
              <w:rPr/>
            </w:pPr>
            <w:r>
              <w:rPr/>
              <w:t> </w:t>
            </w:r>
          </w:p>
        </w:tc>
        <w:tc>
          <w:tcPr>
            <w:tcW w:w="1093"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710,435</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Other income/(expenses) in 2021 mainly consisted of investment income related to short-term investments, interest income, government incentives, net foreign exchange losses, impairment provisions related to certain equity investments, net investment gain in equity method investees, fair value change related to our equity investments with readily determinable fair value and upward adjustment related to our equity investments without readily determinable fair value.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Investment income was RMB2,947.7 million in 2021 compared to investment income of RMB1,610.0 million in 2020, consisting primarily of (i) investment income related to short-term investments of RMB639.8 million in 2021 compared to RMB580.7 million in 2020, (ii) a net investment gain in equity method investees of RMB1,575.5 million in 2021 compared to RMB172.5 million in 2020 and (iii) an upward adjustment to the carrying value of equity securities without readily determinable fair value of RMB380.8 million in 2021 compared to nil in 2020 and (iv) a gain from fair value change related to the equity investments with readily determinable fair value of RMB91.1 million compared to a gain from fair value change of RMB720.6 million in 2020, which was offset in part by impairment provisions related to certain investments of RMB19.2 million, compared to RMB55.6 million in 2020.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decreased slightly to RMB1,519.7 million in 2021 from RMB1,598.6 million in 2020. We incurred interest expenses of RMB191.3 million in 2021 related to our short-term and long-term loans.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incurred net foreign exchange losses of RMB490.5 million in 2021, compared to net foreign exchange loss of RMB3,112.2 million in 2020, primarily due to the translation gains and losses arising from our U.S. dollar denominated bank deposits and bank loan balances as the exchange rate of the U.S. dollar against the RMB fluctuated over these periods.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net decreased slightly to RMB710.4 million in 2021 from RMB737.2 million in 2020. We received and recognized unconditional government incentives of approximately RMB848.3 million in 2021, compared to RMB759.8 million in 2020.</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increased to RMB4,128.3 million in 2021 from RMB3,041.8 million in 2020. Our effective tax rate in 2021 was 19.6% compared with 19.8% in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Liquidity and Capital Resources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date, we have financed our operations primarily through operating cash flows and existing capital resources. As of December 31, 2022, we had RMB24,889.0 million (US$3,608.6 million) in cash and cash equivalents, RMB87,921.5 million (US$12,747.4 million) in time deposits and RMB7,622.7 million (US$1,105.2 million) in short-term investments. Net cash provided by operating activities was RMB27,709.2 million (US$4,017.5 million) in 2022. We had short-term borrowings of RMB23,875.7 million (US$3,461.7 million) as of December 31, 2022. On June 2, 2021, we entered into a five-year term loan facility and revolving loan facility agreement with aggregate commitments of US$1.0 billion at an interest rate of 85 basis points over LIBOR. The proceeds from the US$1.0 billion facilities will be used for general working capital purposes. As of December 31, 2022, we had drawn down US$500.0 million of the US$1.0 billion facilities. We also entered into several uncommitted loan credit facility agreements provided by certain financial institutions. As at December 31, 2022, US$2,084.7 million of such credit facilities had not been utilized.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summary of consolidated cash flow data for the periods indicated as derived from our audited financial statements. Unless otherwise stated, cash flows discussed herein refer to our continuing activities only.</w:t>
      </w:r>
    </w:p>
    <w:p>
      <w:pPr>
        <w:pStyle w:val="TextBody"/>
        <w:spacing w:before="0" w:after="0"/>
        <w:ind w:left="0" w:right="0" w:hanging="0"/>
        <w:rPr/>
      </w:pPr>
      <w:r>
        <w:rPr/>
        <w:t>​</w:t>
      </w:r>
    </w:p>
    <w:tbl>
      <w:tblPr>
        <w:tblW w:w="10144" w:type="dxa"/>
        <w:jc w:val="left"/>
        <w:tblInd w:w="0" w:type="dxa"/>
        <w:tblCellMar>
          <w:top w:w="0" w:type="dxa"/>
          <w:left w:w="0" w:type="dxa"/>
          <w:bottom w:w="0" w:type="dxa"/>
          <w:right w:w="0" w:type="dxa"/>
        </w:tblCellMar>
      </w:tblPr>
      <w:tblGrid>
        <w:gridCol w:w="4276"/>
        <w:gridCol w:w="326"/>
        <w:gridCol w:w="1156"/>
        <w:gridCol w:w="326"/>
        <w:gridCol w:w="1156"/>
        <w:gridCol w:w="326"/>
        <w:gridCol w:w="1156"/>
        <w:gridCol w:w="326"/>
        <w:gridCol w:w="1096"/>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715260" cy="175260"/>
                      <wp:effectExtent l="0" t="0" r="0" b="0"/>
                      <wp:wrapNone/>
                      <wp:docPr id="107" name="Frame106"/>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34060" cy="175260"/>
                      <wp:effectExtent l="0" t="0" r="0" b="0"/>
                      <wp:wrapNone/>
                      <wp:docPr id="109" name="Frame10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34060" cy="175260"/>
                      <wp:effectExtent l="0" t="0" r="0" b="0"/>
                      <wp:wrapNone/>
                      <wp:docPr id="111" name="Frame110"/>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34060" cy="175260"/>
                      <wp:effectExtent l="0" t="0" r="0" b="0"/>
                      <wp:wrapNone/>
                      <wp:docPr id="113" name="Frame112"/>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5960" cy="175260"/>
                      <wp:effectExtent l="0" t="0" r="0" b="0"/>
                      <wp:wrapNone/>
                      <wp:docPr id="115" name="Frame11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14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4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24,888,171</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24,926,727</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27,709,233</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4,017,461</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(29,192,407)</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(7,078,294)</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(7,369,727)</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(1,068,511)</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9,913,087</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(12,585,569)</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(10,237,699)</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(1,484,326)</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Operating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RMB27,709.2 million (US$4,017.5 million) for the year ended December 31, 2022. The difference between our net income of RMB19,843.3 million (US$2,877.0 million) and the net cash provided by operating activities was primarily due to (i) the deduction of net income from discontinued operations of RMB624.9 million (US$90.6 million); (ii) the adjustment of non-cash items, mainly including adding back share-based compensation cost of RMB3,174.2 million (US$460.2 million), fair value change of equity security investments of RMB3,104.3 million (US$450.1 million), depreciation and amortization charges of RMB2,858.2 million (US$414.4 million), and deferred income taxes of RMB489.7 million (US$71.0 million), partially offset by gains on disposal of long-term investments, business and subsidiaries of RMB1,791.4 million (US$259.7 million), unrealized exchange gains of RMB1,604.3 million (US$232.6 million), share of results on equity method investees and revaluation results from previously held equity interest of RMB1,259.9 million (US$182.7 million), and fair value changes of short-term investments of RMB342.6 million (US$49.7 million), and (iii) the increase in cash resulting from the changes in operating assets and liabilities, mainly including an increase in payables of RMB2,771.8 million (US$401.9 million), including content costs, bonus and professional and technical charges and an increase in contract liabilities of RMB385.4 million (US$55.9 million), as well as a decrease in accounts receivable, prepayments and other current assets of RMB1,285.4 million (US$186.4 million), partially offset by a decrease of tax payables of RMB917.6 million (US$133.0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RMB24,926.7 million for the year ended December 31, 2021. The difference between our net income of RMB16,976.2 million and the net cash provided by operating activities was primarily due to (i) the adjustment of non-cash items, mainly including adding back depreciation and amortization charges of RMB3,275.7 million, share-based compensation cost of RMB3,041.5 million, unrealized exchange loss of RMB488.6 million and deferred income taxes of RMB407.9 million, partially offset by share of results on equity method investees and revaluation results from previously held equity interest of RMB1,573.1 million, fair value changes of short-term investments of RMB639.8 million and fair value change of equity security investments of RMB471.9 million, and (ii) the increase in cash resulting from the changes in operating assets and liabilities, mainly including an increase in payables of RMB2,471.5 million, including content costs, bonus and professional and technical charges and an increase in contract liabilities of RMB1,351.3 million, partially offset by an increase in accounts receivable, prepayments and other current assets of RMB546.2 million and an increase in inventories of RMB343.6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RMB24,888.2 million for the years ended December 31, 2020. The difference between our net income operations of RMB12,330.2 million and the net cash provided by operating activities was primarily due to (i) the adjustment of non-cash items, mainly including adding back the depreciation and amortization charges of RMB3,457.8 million, unrealized exchange loss of RMB3,102.5 million and share-based compensation cost of RMB2,663.5 million, partially offset by fair value change of equity security investments of RMB720.6 million, fair value changes of short-term investments of RMB580.7 million and share of results on equity method investees and revaluation results from previously held equity interest of RMB302.6 million, and (ii) the increase in cash resulting from the changes in operating assets and liabilities, mainly including an increase in contract liabilities of RMB2,342.9 million, an increase in payables of RMB1,816.2 million, including content costs, bonus and professional and technical charges and an increase in tax payables of RMB1,126.6 million, partially offset by an increase in accounts receivable, prepayments and other current assets of RMB544.0 million.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investing activities was RMB7,369.7million (US$1,068.5 million) for the year ended December 31, 2022, which was mainly attributable to (i) placement/rollover of matured time deposits of RMB98,973.9 million (US$14,349.9 million), (ii) purchase of short-term investments of RMB5,950.0 million (US$862.7 million), (iii) investment in other equity investments and acquisition of subsidiaries of RMB4,423.8 million (US$641.4 million), (iv) purchase of property, equipment and software of RMB2,100.3 million (US$304.5 million), (v) investment in equity investees of RMB705.9 million (US$102.3 million), and (vi) purchase of intangible assets, content and licensed copyrights of RMB543.2 million (US$78.8 million), which were partially offset by (A) proceeds from maturity of time deposits of RMB92,247.0 million (US$13,374.6 million), (B) proceeds from maturity of short-term investments of RMB10,175.2 million (US$1,475.3 million), (C) proceeds from disposals of investment in equity investees, business and subsidiaries of RMB2,411.1 million (US$349.6 million), and (D) net change in short-term investments with terms of three months or less of RMB776.4 million (US$112.6 million).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RMB7,078.3 million for the year ended December 31, 2021, which was mainly attributable to (i) placement/rollover of matured time deposits of RMB81,298.1 million, (ii) purchase of short-term investments of RMB15,285.0 million, (iii) investment in other equity investments and acquisition of subsidiaries of RMB5,417.1 million, (iv) purchase of property, equipment and software of RMB1,601.8 million, (v) purchase of intangible assets, content and licensed copyrights of RMB1,508.2 million, and (vi) investment in equity investees of RMB1,124.4 million, which were partially offset by (A) proceeds from maturity of time deposits of RMB81,307.3 million, (B) proceeds from maturity of short-term investments of RMB13,235.8 million, (C) net change in short-term investments with terms of three months or less of RMB3,694.9 million, and (D) proceeds from disposals of investment in equity investees, business and subsidiaries of RMB1,115.5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RMB29,192.4 million for the year ended December 31, 2020, which was mainly attributable to (i) placement/rollover of matured time deposits of RMB91,518.8 million, (ii) purchase of short-term investments of RMB19,905.0 million, (iii) purchase of intangible assets, content and licensed copyrights of RMB2,234.9 million, (iv) investment in other equity investments and acquisition of subsidiaries of RMB2,062.0 million, (v) net change in short-term investments with terms of three months or less of RMB1,655.9 million, (vi) purchase of property, equipment and software of RMB1,055.6 million, and (vii) investment in equity investees of RMB345.7 million, which were partially offset by (A) proceeds from maturity of time deposits of RMB64,880.3 million, (B) proceeds from maturity of short-term investments of RMB24,126.2 million and (C) proceeds from disposals of investment in equity investees, business and subsidiaries of RMB722.1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RMB10,237.7 million (US$1,484.3 million) for the year ended December 31, 2022, which was mainly attributable to (i) repurchase of NetEase’s ADSs and purchase of subsidiaries’ ADSs and shares totaling of RMB8,328.1 million (US$1,207.5 million) and (ii) dividends paid to our shareholders and noncontrolling interest shareholders which totaled RMB6,723.7 million (US$974.8 million), which were partially offset by net proceeds from short-term and long-term loans of RMB4,845.0 million (US$702.5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RMB12,585.6 million for the year ended December 31, 2021, which was mainly attributable to (i) repurchase of NetEase’s ADSs and purchase of subsidiaries’ ADSs and shares totaling of RMB12,910.5 million and (ii) dividends paid to our shareholders and noncontrolling interest shareholders which totaled RMB4,239.6 million, which were partially offset by net proceeds received from capital injection from noncontrolling interest shareholders of RMB2,870.1 million and net proceeds from short-term and long-term loans of RMB1,708.2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RMB9,913.1 million for the year ended December 31, 2020, which was mainly attributable to (i) net proceeds received from issuance of shares in connection with our listing on the Hong Kong Stock Exchange and global offering in the amount of RMB21,911.8 million and (ii) net proceeds in short-term loan of RMB4,041.1 million, which were partially offset by repurchase of NetEase’s ADSs and purchase of Youdao’s ADSs totaling RMB11,491.0 million and dividends paid in the amount of RMB4,280.5 million.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 OF CAPITAL RESOURCES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the VIEs in our consolidated financial statements, we do not have direct access to the cash and cash equivalents or future earnings of our subsidiaries and the VIEs. As of December 31, 2022, these subsidiaries and VIEs had RMB112.7 billion (US$16.3 billion) in cash and cash equivalents, demand deposits and short-term and long-term time deposits. Our cash and cash equivalents, demand deposits and time deposits held outside of China are mainly denominated in U.S. dollars.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fund any cash requirements we may have, we may need to rely on dividends and other distributions on equity paid by our subsidiaries. Since substantially all of our operations are conducted through our China mainland subsidiaries and the VIEs, our subsidiaries may need to rely on dividends, loans or advances made by another China mainland subsidiary or VIE. Certain of these payments are subject to PRC taxes, including sales taxes, which effectively reduce the received amount. In addition, the PRC government could impose restrictions on such payments or change the tax rates applicable to such payments. In 2020, 2021 and 2022, we accrued RMB1,056.9 million, RMB1,124.4 million and RMB2,144.4 million (US$310.9 million) withholding tax liabilities, respectively, mainly associated with our quarterly dividends and cash expected to be distributed from our China mainland subsidiaries to companies in our corporate group outside of China for general corporate purposes. We repatriated a portion of these earnings and paid related withholding income tax in 2020, 2021 and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China mainland subsidiaries and the VIEs are restricted in their ability to transfer a portion of their net assets to us either in the form of dividends, loans or advances, which restricted portion amounted to approximately RMB13.3 billion, or 12% of our total consolidated net assets, as of December 31, 2022. In addition, if any of our China mainland subsidiaries incurs debt on its own behalf in the future, the instruments governing the debt may restrict its ability to pay dividends or make other distributions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or our subsidiaries outside of China to our China mainland subsidiaries or the VIEs. These limitations on the free flow of funds between us and our China mainland subsidiaries and the VIEs could restrict our ability to act in response to changing market conditions and reallocate funds internally in a timely manner.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additional information, see Item 3.D. “Key Information—Risk Factors—Risks Related to Our Business and Industry—Our corporate structure may restrict our ability to receive dividends from, and transfer funds to, our China mainland subsidiaries and the VIEs, which could restrict our ability to act in response to changing market conditions and reallocate funds internally in a timely manner.” and “Key Information—Risk Factors—Risks Related to Doing Business in China—Restrictions on currency exchange may limit our ability to utilize our revenues effectively.” and Item 10.D. “Additional Information—Exchange Controls.”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capital requirements relate primarily to financing: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working capital requirements, such as servers and bandwidth service fees, inventory purchase costs, content and copyrights purchase costs, staff costs, selling and marketing expenses and research and development costs;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for the construction of our new office buildings and warehouses in Guangzhou, Hangzhou, Shanghai and Jiangxi in China, acquisition of new servers in connection with the operation of our in-house developed and licensed games, investment in the expansion packages of the aforementioned games, and upgrades of our online service infrastructure.</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CASH REQUIREMENTS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2022 primarily include our operating lease commitments, server and bandwidth service fee commitments, capital commitments, royalties and expenditure for licensed content commitments and office machines and other commitments.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lease commitments are the lease commitments under the lease agreements mainly for our corporate offices, warehouses and retail stores. Our server and bandwidth service fee commitments are related to our network servers located mainly in the facilities of China Telecom’s affiliates, China Unicom’s affiliates and China Mobile’s affiliates. Our capital commitments are primarily the commitments made in connection with the construction of new office buildings in Shanghai and other cities. Our royalties and expenditures for licensed content commitments primarily relate to the costs of acquiring the rights to certain content by our online game business and online music business. Our office machines and other commitments primarily consist of the purchase of office machines and the expenditures related to marketing and administration activities.</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primarily with anticipated cash flows from operations, our existing cash balance and other financing alternatives. We will continue to make cash commitments to support the growth of our business.</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sets forth our contractual obligations by specified categories as of December 31, 2022:</w:t>
      </w:r>
    </w:p>
    <w:p>
      <w:pPr>
        <w:pStyle w:val="TextBody"/>
        <w:spacing w:before="0" w:after="0"/>
        <w:ind w:left="0" w:right="0" w:hanging="0"/>
        <w:rPr/>
      </w:pPr>
      <w:r>
        <w:rPr/>
        <w:t>​</w:t>
      </w:r>
    </w:p>
    <w:tbl>
      <w:tblPr>
        <w:tblW w:w="9598" w:type="dxa"/>
        <w:jc w:val="left"/>
        <w:tblInd w:w="0" w:type="dxa"/>
        <w:tblCellMar>
          <w:top w:w="0" w:type="dxa"/>
          <w:left w:w="0" w:type="dxa"/>
          <w:bottom w:w="0" w:type="dxa"/>
          <w:right w:w="0" w:type="dxa"/>
        </w:tblCellMar>
      </w:tblPr>
      <w:tblGrid>
        <w:gridCol w:w="1231"/>
        <w:gridCol w:w="326"/>
        <w:gridCol w:w="1111"/>
        <w:gridCol w:w="146"/>
        <w:gridCol w:w="1111"/>
        <w:gridCol w:w="326"/>
        <w:gridCol w:w="1111"/>
        <w:gridCol w:w="326"/>
        <w:gridCol w:w="1111"/>
        <w:gridCol w:w="326"/>
        <w:gridCol w:w="1111"/>
        <w:gridCol w:w="326"/>
        <w:gridCol w:w="1036"/>
      </w:tblGrid>
      <w:tr>
        <w:trPr/>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81685" cy="175260"/>
                      <wp:effectExtent l="0" t="0" r="0" b="0"/>
                      <wp:wrapNone/>
                      <wp:docPr id="116" name="Frame115"/>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05485" cy="175260"/>
                      <wp:effectExtent l="0" t="0" r="0" b="0"/>
                      <wp:wrapNone/>
                      <wp:docPr id="118" name="Frame117"/>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19" name="Frame11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05485" cy="175260"/>
                      <wp:effectExtent l="0" t="0" r="0" b="0"/>
                      <wp:wrapNone/>
                      <wp:docPr id="120" name="Frame11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05485" cy="175260"/>
                      <wp:effectExtent l="0" t="0" r="0" b="0"/>
                      <wp:wrapNone/>
                      <wp:docPr id="122" name="Frame121"/>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05485" cy="175260"/>
                      <wp:effectExtent l="0" t="0" r="0" b="0"/>
                      <wp:wrapNone/>
                      <wp:docPr id="124" name="Frame123"/>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05485" cy="175260"/>
                      <wp:effectExtent l="0" t="0" r="0" b="0"/>
                      <wp:wrapNone/>
                      <wp:docPr id="126" name="Frame125"/>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57860" cy="175260"/>
                      <wp:effectExtent l="0" t="0" r="0" b="0"/>
                      <wp:wrapNone/>
                      <wp:docPr id="128" name="Frame12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Royalties and</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Server and</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Expenditures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Bandwidth</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Licensed</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Machines</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 Fee</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Content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041"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297,607</w:t>
            </w:r>
          </w:p>
        </w:tc>
        <w:tc>
          <w:tcPr>
            <w:tcW w:w="14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553,533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1,971,894</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1,034,633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313,287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4,170,954</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232,019</w:t>
            </w:r>
          </w:p>
        </w:tc>
        <w:tc>
          <w:tcPr>
            <w:tcW w:w="14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341,458</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756,196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18,111</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1,364,882</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138,099</w:t>
            </w:r>
          </w:p>
        </w:tc>
        <w:tc>
          <w:tcPr>
            <w:tcW w:w="14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244,584</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206,918</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589,601</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102,114</w:t>
            </w:r>
          </w:p>
        </w:tc>
        <w:tc>
          <w:tcPr>
            <w:tcW w:w="14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103,392</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111,562</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317,068</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Beyond 2026</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260,354</w:t>
            </w:r>
          </w:p>
        </w:tc>
        <w:tc>
          <w:tcPr>
            <w:tcW w:w="14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31,970</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52,146</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344,470</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1,030,193</w:t>
            </w:r>
          </w:p>
        </w:tc>
        <w:tc>
          <w:tcPr>
            <w:tcW w:w="14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1,274,937</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3,098,716</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1,052,744</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330,385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6,786,975</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discussed above, we did not have any significant capital and other commitments, long-term obligations or guarantees as of December 31,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TRANSFER OF FUNDS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Transfer of Funds and Other Assets within the NetEase Group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NetEase, Inc. transfers cash to its wholly-owned overseas subsidiaries by making capital contributions or providing loans, and the overseas subsidiaries transfer cash to our subsidiaries in China by making capital contributions or providing loans to them. Although NetEase, Inc. and its subsidiaries are the primary beneficiaries of the VIEs through contractual arrangements, they are not able to make direct capital contributions to the VIEs and their subsidiaries. However, they may transfer cash to the VIEs by loans or by making payment to the VIEs for inter-group transactions.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NetEase, Inc. had made cumulative capital contributions of US$2.4 billion to our China mainland subsidiaries through intermediate holding companies, which were accounted for as Investments in subsidiaries of NetEase, Inc. These funds have been used by our China mainland subsidiaries for their operations. As of December 31, 2022, the aggregate loan balance owed by our subsidiaries under our agreements with the VIEs was US$54.4 million. In 2020, 2021 and 2022, the VIEs transferred RMB49.4 billion, RMB59.4 billion and RMB67.0 billion (US$9.7 billion), respectively, to our China mainland subsidiaries as payment or prepayment of service fees. Our China mainland subsidiaries maintain certain personnel for content production, sales and marketing, research and development and general and administrative functions to support the operations of the VIEs.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is a summary of cash transfers that have occurred between our subsidiaries and the VIEs: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737"/>
        <w:gridCol w:w="326"/>
        <w:gridCol w:w="1148"/>
        <w:gridCol w:w="326"/>
        <w:gridCol w:w="1148"/>
        <w:gridCol w:w="326"/>
        <w:gridCol w:w="1194"/>
      </w:tblGrid>
      <w:tr>
        <w:trPr/>
        <w:tc>
          <w:tcPr>
            <w:tcW w:w="5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42995" cy="175260"/>
                      <wp:effectExtent l="0" t="0" r="0" b="0"/>
                      <wp:wrapNone/>
                      <wp:docPr id="129" name="Frame128"/>
                      <a:graphic xmlns:a="http://schemas.openxmlformats.org/drawingml/2006/main">
                        <a:graphicData uri="http://schemas.microsoft.com/office/word/2010/wordprocessingShape">
                          <wps:wsp>
                            <wps:cNvSpPr txBox="1"/>
                            <wps:spPr>
                              <a:xfrm>
                                <a:off x="0" y="0"/>
                                <a:ext cx="3642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28980" cy="175260"/>
                      <wp:effectExtent l="0" t="0" r="0" b="0"/>
                      <wp:wrapNone/>
                      <wp:docPr id="131" name="Frame130"/>
                      <a:graphic xmlns:a="http://schemas.openxmlformats.org/drawingml/2006/main">
                        <a:graphicData uri="http://schemas.microsoft.com/office/word/2010/wordprocessingShape">
                          <wps:wsp>
                            <wps:cNvSpPr txBox="1"/>
                            <wps:spPr>
                              <a:xfrm>
                                <a:off x="0" y="0"/>
                                <a:ext cx="728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28980" cy="175260"/>
                      <wp:effectExtent l="0" t="0" r="0" b="0"/>
                      <wp:wrapNone/>
                      <wp:docPr id="133" name="Frame132"/>
                      <a:graphic xmlns:a="http://schemas.openxmlformats.org/drawingml/2006/main">
                        <a:graphicData uri="http://schemas.microsoft.com/office/word/2010/wordprocessingShape">
                          <wps:wsp>
                            <wps:cNvSpPr txBox="1"/>
                            <wps:spPr>
                              <a:xfrm>
                                <a:off x="0" y="0"/>
                                <a:ext cx="728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58190" cy="175260"/>
                      <wp:effectExtent l="0" t="0" r="0" b="0"/>
                      <wp:wrapNone/>
                      <wp:docPr id="135" name="Frame134"/>
                      <a:graphic xmlns:a="http://schemas.openxmlformats.org/drawingml/2006/main">
                        <a:graphicData uri="http://schemas.microsoft.com/office/word/2010/wordprocessingShape">
                          <wps:wsp>
                            <wps:cNvSpPr txBox="1"/>
                            <wps:spPr>
                              <a:xfrm>
                                <a:off x="0" y="0"/>
                                <a:ext cx="758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14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14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142"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7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94" w:type="dxa"/>
            <w:tcBorders/>
            <w:shd w:fill="auto" w:val="clear"/>
            <w:vAlign w:val="center"/>
          </w:tcPr>
          <w:p>
            <w:pPr>
              <w:pStyle w:val="TableContents"/>
              <w:spacing w:before="0" w:after="0"/>
              <w:ind w:left="0" w:right="0" w:hanging="0"/>
              <w:rPr/>
            </w:pPr>
            <w:r>
              <w:rPr/>
              <w:t>​</w:t>
            </w:r>
          </w:p>
        </w:tc>
      </w:tr>
      <w:tr>
        <w:trPr/>
        <w:tc>
          <w:tcPr>
            <w:tcW w:w="57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paid by the VIEs to our subsidiaries under service agreements</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(49,435,342)</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(59,439,552)</w:t>
            </w:r>
          </w:p>
        </w:tc>
        <w:tc>
          <w:tcPr>
            <w:tcW w:w="326" w:type="dxa"/>
            <w:tcBorders/>
            <w:shd w:fill="CCEEFF" w:val="clear"/>
            <w:vAlign w:val="center"/>
          </w:tcPr>
          <w:p>
            <w:pPr>
              <w:pStyle w:val="TableContents"/>
              <w:spacing w:before="0" w:after="0"/>
              <w:ind w:left="0" w:right="0" w:hanging="0"/>
              <w:rPr/>
            </w:pPr>
            <w:r>
              <w:rPr/>
              <w:t> </w:t>
            </w:r>
          </w:p>
        </w:tc>
        <w:tc>
          <w:tcPr>
            <w:tcW w:w="11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(66,970,818)</w:t>
            </w:r>
          </w:p>
        </w:tc>
      </w:tr>
      <w:tr>
        <w:trPr/>
        <w:tc>
          <w:tcPr>
            <w:tcW w:w="57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other transactions with intra-Group companies</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(498,938)</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(283,621)</w:t>
            </w:r>
          </w:p>
        </w:tc>
        <w:tc>
          <w:tcPr>
            <w:tcW w:w="326" w:type="dxa"/>
            <w:tcBorders/>
            <w:shd w:fill="auto" w:val="clear"/>
            <w:vAlign w:val="center"/>
          </w:tcPr>
          <w:p>
            <w:pPr>
              <w:pStyle w:val="TableContents"/>
              <w:spacing w:before="0" w:after="0"/>
              <w:ind w:left="0" w:right="0" w:hanging="0"/>
              <w:rPr/>
            </w:pPr>
            <w:r>
              <w:rPr/>
              <w:t> </w:t>
            </w:r>
          </w:p>
        </w:tc>
        <w:tc>
          <w:tcPr>
            <w:tcW w:w="11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299,452</w:t>
            </w:r>
          </w:p>
        </w:tc>
      </w:tr>
      <w:tr>
        <w:trPr/>
        <w:tc>
          <w:tcPr>
            <w:tcW w:w="57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dividend paid to intra-Group company</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(731,250)</w:t>
            </w:r>
          </w:p>
        </w:tc>
        <w:tc>
          <w:tcPr>
            <w:tcW w:w="326" w:type="dxa"/>
            <w:tcBorders/>
            <w:shd w:fill="CCEEFF" w:val="clear"/>
            <w:vAlign w:val="center"/>
          </w:tcPr>
          <w:p>
            <w:pPr>
              <w:pStyle w:val="TableContents"/>
              <w:spacing w:before="0" w:after="0"/>
              <w:ind w:left="0" w:right="0" w:hanging="0"/>
              <w:rPr/>
            </w:pPr>
            <w:r>
              <w:rPr/>
              <w:t> </w:t>
            </w:r>
          </w:p>
        </w:tc>
        <w:tc>
          <w:tcPr>
            <w:tcW w:w="1194" w:type="dxa"/>
            <w:tcBorders/>
            <w:shd w:fill="CCEEFF" w:val="clear"/>
            <w:vAlign w:val="center"/>
          </w:tcPr>
          <w:p>
            <w:pPr>
              <w:pStyle w:val="TableContents"/>
              <w:spacing w:before="0" w:after="0"/>
              <w:ind w:left="0" w:right="0" w:hanging="0"/>
              <w:jc w:val="right"/>
              <w:rPr/>
            </w:pPr>
            <w:r>
              <w:rPr/>
              <w:t>—</w:t>
            </w:r>
          </w:p>
        </w:tc>
      </w:tr>
      <w:tr>
        <w:trPr/>
        <w:tc>
          <w:tcPr>
            <w:tcW w:w="57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received from intra-Group companies</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336,333</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195,741</w:t>
            </w:r>
          </w:p>
        </w:tc>
        <w:tc>
          <w:tcPr>
            <w:tcW w:w="326" w:type="dxa"/>
            <w:tcBorders/>
            <w:shd w:fill="auto" w:val="clear"/>
            <w:vAlign w:val="center"/>
          </w:tcPr>
          <w:p>
            <w:pPr>
              <w:pStyle w:val="TableContents"/>
              <w:spacing w:before="0" w:after="0"/>
              <w:ind w:left="0" w:right="0" w:hanging="0"/>
              <w:rPr/>
            </w:pPr>
            <w:r>
              <w:rPr/>
              <w:t> </w:t>
            </w:r>
          </w:p>
        </w:tc>
        <w:tc>
          <w:tcPr>
            <w:tcW w:w="11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201,349</w:t>
            </w:r>
          </w:p>
        </w:tc>
      </w:tr>
      <w:tr>
        <w:trPr/>
        <w:tc>
          <w:tcPr>
            <w:tcW w:w="57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repaid to intra-Group companies</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(72,444)</w:t>
            </w:r>
          </w:p>
        </w:tc>
        <w:tc>
          <w:tcPr>
            <w:tcW w:w="326" w:type="dxa"/>
            <w:tcBorders/>
            <w:shd w:fill="CCEEFF" w:val="clear"/>
            <w:vAlign w:val="center"/>
          </w:tcPr>
          <w:p>
            <w:pPr>
              <w:pStyle w:val="TableContents"/>
              <w:spacing w:before="0" w:after="0"/>
              <w:ind w:left="0" w:right="0" w:hanging="0"/>
              <w:rPr/>
            </w:pPr>
            <w:r>
              <w:rPr/>
              <w:t> </w:t>
            </w:r>
          </w:p>
        </w:tc>
        <w:tc>
          <w:tcPr>
            <w:tcW w:w="11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(87,300)</w:t>
            </w:r>
          </w:p>
        </w:tc>
        <w:tc>
          <w:tcPr>
            <w:tcW w:w="326" w:type="dxa"/>
            <w:tcBorders/>
            <w:shd w:fill="CCEEFF" w:val="clear"/>
            <w:vAlign w:val="center"/>
          </w:tcPr>
          <w:p>
            <w:pPr>
              <w:pStyle w:val="TableContents"/>
              <w:spacing w:before="0" w:after="0"/>
              <w:ind w:left="0" w:right="0" w:hanging="0"/>
              <w:rPr/>
            </w:pPr>
            <w:r>
              <w:rPr/>
              <w:t> </w:t>
            </w:r>
          </w:p>
        </w:tc>
        <w:tc>
          <w:tcPr>
            <w:tcW w:w="11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(306,797)</w:t>
            </w:r>
          </w:p>
        </w:tc>
      </w:tr>
      <w:tr>
        <w:trPr/>
        <w:tc>
          <w:tcPr>
            <w:tcW w:w="57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received from the VIEs to our subsidiaries for intra-Group financing</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94"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For any amounts owed by the VIEs to our China mainland subsidiaries under the VIE agreements, unless otherwise required by the PRC tax authorities, we are able to settle such amounts without limitations under the currently effective PRC laws and regulations, provided that the VIEs have sufficient funds to do so. Our China mainland subsidiaries are permitted to pay dividends to their shareholders, and eventually to NetEase,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China mainland subsidiaries and the VIEs are required to make appropriations to certain statutory reserve funds or may make appropriations to certain discretionary funds, which are not distributable as cash dividends except in the event of a solvent liquidation of the companies. We currently do not have cash management policies in place that dictate how funds are transferred between NetEase, Inc., our subsidiaries, the VIEs and the investors. Rather, the funds can be transferred in accordance with the applicable PRC laws and regulations. For the purpose of illustration, the below table reflects the hypothetical taxes that might be required to be paid within China, assuming that: (i) we have taxable earnings, and (ii) we determine to pay a dividend in the future:</w:t>
      </w:r>
    </w:p>
    <w:p>
      <w:pPr>
        <w:pStyle w:val="TextBody"/>
        <w:spacing w:before="0" w:after="0"/>
        <w:ind w:left="0" w:right="0" w:hanging="0"/>
        <w:rPr/>
      </w:pPr>
      <w:r>
        <w:rPr/>
        <w:t>​</w:t>
      </w:r>
    </w:p>
    <w:tbl>
      <w:tblPr>
        <w:tblW w:w="8357" w:type="dxa"/>
        <w:jc w:val="left"/>
        <w:tblInd w:w="0" w:type="dxa"/>
        <w:tblCellMar>
          <w:top w:w="0" w:type="dxa"/>
          <w:left w:w="0" w:type="dxa"/>
          <w:bottom w:w="0" w:type="dxa"/>
          <w:right w:w="0" w:type="dxa"/>
        </w:tblCellMar>
      </w:tblPr>
      <w:tblGrid>
        <w:gridCol w:w="3541"/>
        <w:gridCol w:w="4816"/>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48535" cy="175260"/>
                      <wp:effectExtent l="0" t="0" r="0" b="0"/>
                      <wp:wrapNone/>
                      <wp:docPr id="136" name="Frame135"/>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058160" cy="29210"/>
                      <wp:effectExtent l="0" t="0" r="0" b="0"/>
                      <wp:wrapNone/>
                      <wp:docPr id="137" name="Frame136"/>
                      <a:graphic xmlns:a="http://schemas.openxmlformats.org/drawingml/2006/main">
                        <a:graphicData uri="http://schemas.microsoft.com/office/word/2010/wordprocessingShape">
                          <wps:wsp>
                            <wps:cNvSpPr txBox="1"/>
                            <wps:spPr>
                              <a:xfrm>
                                <a:off x="0" y="0"/>
                                <a:ext cx="30581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541" w:type="dxa"/>
            <w:tcBorders/>
            <w:shd w:fill="auto" w:val="clear"/>
            <w:vAlign w:val="center"/>
          </w:tcPr>
          <w:p>
            <w:pPr>
              <w:pStyle w:val="TableContents"/>
              <w:spacing w:before="0" w:after="0"/>
              <w:ind w:left="0" w:right="0" w:hanging="0"/>
              <w:rPr/>
            </w:pPr>
            <w:r>
              <w:rPr/>
              <w:t>​</w:t>
            </w:r>
          </w:p>
        </w:tc>
        <w:tc>
          <w:tcPr>
            <w:tcW w:w="481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Taxation Scenario</w:t>
            </w:r>
            <w:r>
              <w:rPr>
                <w:rFonts w:ascii="Times New Roman;Times;serif" w:hAnsi="Times New Roman;Times;serif"/>
                <w:b/>
                <w:sz w:val="15"/>
              </w:rPr>
              <w:t>(1)</w:t>
            </w:r>
            <w:r>
              <w:rPr>
                <w:rFonts w:ascii="Times New Roman;Times;serif" w:hAnsi="Times New Roman;Times;serif"/>
                <w:sz w:val="20"/>
              </w:rPr>
              <w:t xml:space="preserve"> </w:t>
            </w:r>
            <w:r>
              <w:rPr>
                <w:rFonts w:ascii="Times New Roman;Times;serif" w:hAnsi="Times New Roman;Times;serif"/>
                <w:b/>
                <w:sz w:val="20"/>
              </w:rPr>
              <w:t>Statutory Tax and Standard Rates</w:t>
            </w:r>
          </w:p>
        </w:tc>
      </w:tr>
      <w:tr>
        <w:trPr/>
        <w:tc>
          <w:tcPr>
            <w:tcW w:w="3541"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(2)</w:t>
            </w:r>
          </w:p>
        </w:tc>
        <w:tc>
          <w:tcPr>
            <w:tcW w:w="481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54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(3)</w:t>
            </w:r>
          </w:p>
        </w:tc>
        <w:tc>
          <w:tcPr>
            <w:tcW w:w="48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35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earnings available for distribution</w:t>
            </w:r>
          </w:p>
        </w:tc>
        <w:tc>
          <w:tcPr>
            <w:tcW w:w="481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54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(4)</w:t>
            </w:r>
          </w:p>
        </w:tc>
        <w:tc>
          <w:tcPr>
            <w:tcW w:w="48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5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distribution to Parent/Shareholders</w:t>
            </w:r>
          </w:p>
        </w:tc>
        <w:tc>
          <w:tcPr>
            <w:tcW w:w="481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67.5%</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28" w:type="dxa"/>
          <w:left w:w="28" w:type="dxa"/>
          <w:bottom w:w="28" w:type="dxa"/>
          <w:right w:w="28" w:type="dxa"/>
        </w:tblCellMar>
      </w:tblPr>
      <w:tblGrid>
        <w:gridCol w:w="124"/>
        <w:gridCol w:w="302"/>
        <w:gridCol w:w="9779"/>
      </w:tblGrid>
      <w:tr>
        <w:trPr/>
        <w:tc>
          <w:tcPr>
            <w:tcW w:w="12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7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calculation has been simplified for the purpose of this example. The hypothetical book pre-tax earnings amount, which does not consider timing differences, is assumed to equal the taxable income in the PRC.</w:t>
            </w:r>
          </w:p>
        </w:tc>
      </w:tr>
    </w:tbl>
    <w:tbl>
      <w:tblPr>
        <w:tblW w:w="10205" w:type="dxa"/>
        <w:jc w:val="left"/>
        <w:tblInd w:w="0" w:type="dxa"/>
        <w:tblCellMar>
          <w:top w:w="28" w:type="dxa"/>
          <w:left w:w="28" w:type="dxa"/>
          <w:bottom w:w="28" w:type="dxa"/>
          <w:right w:w="28" w:type="dxa"/>
        </w:tblCellMar>
      </w:tblPr>
      <w:tblGrid>
        <w:gridCol w:w="124"/>
        <w:gridCol w:w="282"/>
        <w:gridCol w:w="9799"/>
      </w:tblGrid>
      <w:tr>
        <w:trPr/>
        <w:tc>
          <w:tcPr>
            <w:tcW w:w="12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service fees are charged by our China mainland subsidiaries to the VIEs. For all the periods presented, these fees are recognized as expenses of the VIEs, with a corresponding amount as service income by our China mainland subsidiaries and eliminated in consolidation. For income tax purposes, our China mainland subsidiaries and the VIEs file income taxes on a separate company basis. The fees paid are recognized as a tax deduction by the VIEs and as income by our China mainland subsidiaries and are tax neutral.</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Upon the VIEs reaching a cumulative level of profitability, because our China mainland subsidiaries own certain trademarks and copyrights, the agreements will be updated to reflect charges for such trademarks and copyrights usage on the basis that they will qualify for tax neutral treatment.</w:t>
      </w:r>
    </w:p>
    <w:tbl>
      <w:tblPr>
        <w:tblW w:w="10205" w:type="dxa"/>
        <w:jc w:val="left"/>
        <w:tblInd w:w="0" w:type="dxa"/>
        <w:tblCellMar>
          <w:top w:w="28" w:type="dxa"/>
          <w:left w:w="28" w:type="dxa"/>
          <w:bottom w:w="28" w:type="dxa"/>
          <w:right w:w="28" w:type="dxa"/>
        </w:tblCellMar>
      </w:tblPr>
      <w:tblGrid>
        <w:gridCol w:w="124"/>
        <w:gridCol w:w="288"/>
        <w:gridCol w:w="9793"/>
      </w:tblGrid>
      <w:tr>
        <w:trPr/>
        <w:tc>
          <w:tcPr>
            <w:tcW w:w="12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79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tbl>
      <w:tblPr>
        <w:tblW w:w="10205" w:type="dxa"/>
        <w:jc w:val="left"/>
        <w:tblInd w:w="0" w:type="dxa"/>
        <w:tblCellMar>
          <w:top w:w="28" w:type="dxa"/>
          <w:left w:w="28" w:type="dxa"/>
          <w:bottom w:w="28" w:type="dxa"/>
          <w:right w:w="28" w:type="dxa"/>
        </w:tblCellMar>
      </w:tblPr>
      <w:tblGrid>
        <w:gridCol w:w="124"/>
        <w:gridCol w:w="281"/>
        <w:gridCol w:w="9800"/>
      </w:tblGrid>
      <w:tr>
        <w:trPr/>
        <w:tc>
          <w:tcPr>
            <w:tcW w:w="12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0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Enterprise Income Tax Law imposes a withholding income tax of 10% on dividends distributed by a foreign invested enterprise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above has been prepared under the assumption that all profits of the VIEs will be distributed as fees to our China mainland subsidiaries under tax neutral contractual arrangements. If in the future, the accumulated earnings of the VIEs exceed the fees paid to our China mainland subsidiaries, or if the current and contemplated fee structure between the intercompany entities is determined to be non-substantive and disallowed by Chinese tax authorities, the VIEs could make a non-deductible transfer to our China mainland subsidiaries for the amounts of the stranded cash in the VIEs. This would result in such transfer being non-deductible expenses for the VIEs but still taxable income for the China mainland subsidiaries. Such a transfer and the related tax burdens would reduce our after-tax income to approximately 50.6% of the pre-tax income. Our management believes that there is only a remote possibility that this scenario would happen.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Condensed Consolidating Schedule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the condensed consolidating schedule of financial information for NetEase, Inc., its wholly owned subsidiaries (“WFOEs”) that are the primary beneficiaries of the VIEs under U.S. GAAP (the “Primary Beneficiaries of VIEs”), our other subsidiaries that are not the Primary Beneficiaries of VIEs (the “Other Subsidiaries”), and the VIEs and their subsidiaries that we consolidate for the periods presented.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904"/>
        <w:gridCol w:w="326"/>
        <w:gridCol w:w="1006"/>
        <w:gridCol w:w="326"/>
        <w:gridCol w:w="1006"/>
        <w:gridCol w:w="326"/>
        <w:gridCol w:w="1216"/>
        <w:gridCol w:w="326"/>
        <w:gridCol w:w="931"/>
        <w:gridCol w:w="326"/>
        <w:gridCol w:w="1074"/>
        <w:gridCol w:w="326"/>
        <w:gridCol w:w="1112"/>
      </w:tblGrid>
      <w:tr>
        <w:trPr/>
        <w:tc>
          <w:tcPr>
            <w:tcW w:w="1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09040" cy="175260"/>
                      <wp:effectExtent l="0" t="0" r="0" b="0"/>
                      <wp:wrapNone/>
                      <wp:docPr id="138" name="Frame137"/>
                      <a:graphic xmlns:a="http://schemas.openxmlformats.org/drawingml/2006/main">
                        <a:graphicData uri="http://schemas.microsoft.com/office/word/2010/wordprocessingShape">
                          <wps:wsp>
                            <wps:cNvSpPr txBox="1"/>
                            <wps:spPr>
                              <a:xfrm>
                                <a:off x="0" y="0"/>
                                <a:ext cx="1209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8810" cy="175260"/>
                      <wp:effectExtent l="0" t="0" r="0" b="0"/>
                      <wp:wrapNone/>
                      <wp:docPr id="140" name="Frame139"/>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38810" cy="175260"/>
                      <wp:effectExtent l="0" t="0" r="0" b="0"/>
                      <wp:wrapNone/>
                      <wp:docPr id="142" name="Frame14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72160" cy="175260"/>
                      <wp:effectExtent l="0" t="0" r="0" b="0"/>
                      <wp:wrapNone/>
                      <wp:docPr id="144" name="Frame143"/>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6" name="Frame14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81990" cy="175260"/>
                      <wp:effectExtent l="0" t="0" r="0" b="0"/>
                      <wp:wrapNone/>
                      <wp:docPr id="148" name="Frame147"/>
                      <a:graphic xmlns:a="http://schemas.openxmlformats.org/drawingml/2006/main">
                        <a:graphicData uri="http://schemas.microsoft.com/office/word/2010/wordprocessingShape">
                          <wps:wsp>
                            <wps:cNvSpPr txBox="1"/>
                            <wps:spPr>
                              <a:xfrm>
                                <a:off x="0" y="0"/>
                                <a:ext cx="681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06120" cy="175260"/>
                      <wp:effectExtent l="0" t="0" r="0" b="0"/>
                      <wp:wrapNone/>
                      <wp:docPr id="150" name="Frame149"/>
                      <a:graphic xmlns:a="http://schemas.openxmlformats.org/drawingml/2006/main">
                        <a:graphicData uri="http://schemas.microsoft.com/office/word/2010/wordprocessingShape">
                          <wps:wsp>
                            <wps:cNvSpPr txBox="1"/>
                            <wps:spPr>
                              <a:xfrm>
                                <a:off x="0" y="0"/>
                                <a:ext cx="706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04" w:type="dxa"/>
            <w:tcBorders/>
            <w:shd w:fill="auto" w:val="clear"/>
            <w:vAlign w:val="center"/>
          </w:tcPr>
          <w:p>
            <w:pPr>
              <w:pStyle w:val="TableContents"/>
              <w:spacing w:before="0" w:after="0"/>
              <w:ind w:left="0" w:right="0" w:hanging="0"/>
              <w:rPr/>
            </w:pPr>
            <w:r>
              <w:rPr/>
              <w:t>​</w:t>
            </w:r>
          </w:p>
        </w:tc>
        <w:tc>
          <w:tcPr>
            <w:tcW w:w="8301"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19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    </w:t>
            </w:r>
          </w:p>
        </w:tc>
        <w:tc>
          <w:tcPr>
            <w:tcW w:w="10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2" w:type="dxa"/>
            <w:tcBorders/>
            <w:shd w:fill="auto" w:val="clear"/>
            <w:vAlign w:val="center"/>
          </w:tcPr>
          <w:p>
            <w:pPr>
              <w:pStyle w:val="TableContents"/>
              <w:spacing w:before="0" w:after="0"/>
              <w:ind w:left="0" w:right="0" w:hanging="0"/>
              <w:jc w:val="center"/>
              <w:rPr/>
            </w:pPr>
            <w:r>
              <w:rPr/>
              <w:t>​</w:t>
            </w:r>
          </w:p>
        </w:tc>
      </w:tr>
      <w:tr>
        <w:trPr/>
        <w:tc>
          <w:tcPr>
            <w:tcW w:w="19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w:t>
            </w:r>
          </w:p>
        </w:tc>
        <w:tc>
          <w:tcPr>
            <w:tcW w:w="10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11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0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9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75"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  </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10,904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2,662,840</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10,282,650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1,541,763</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14,498,157</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Time deposits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48,269,418</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28,238,268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71,000</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76,578,686</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10,342</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20,765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2,846,851</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2,877,958</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1,203,386</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380,156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3,924,446</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5,507,988</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687,006</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194,055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83,672</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964,733</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Prepayments and other current assets,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288,179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2,079,098</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1,346,008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2,522,572</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6,235,857</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666,176</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10,997,372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618,000</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12,281,548</w:t>
            </w:r>
          </w:p>
        </w:tc>
      </w:tr>
      <w:tr>
        <w:trPr/>
        <w:tc>
          <w:tcPr>
            <w:tcW w:w="19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46,765,057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20,438,580</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6,397,970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7,581,649</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(81,183,256)</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equipment and software, net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302,905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5,069,605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61,343</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5,433,858</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Land use right,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15,014</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4,093,076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4,108,090</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254,875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729,956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58,872</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1,044,152</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tax assets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8,870</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1,164,346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124,738</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1,297,954</w:t>
            </w:r>
          </w:p>
        </w:tc>
      </w:tr>
      <w:tr>
        <w:trPr/>
        <w:tc>
          <w:tcPr>
            <w:tcW w:w="1904"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Investments in subsidiaries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77,226,427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35,407,934</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259,557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(112,893,918)</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pPr>
            <w:r>
              <w:rPr/>
              <w:t>—</w:t>
            </w:r>
          </w:p>
        </w:tc>
      </w:tr>
      <w:tr>
        <w:trPr/>
        <w:tc>
          <w:tcPr>
            <w:tcW w:w="19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Contractual interests in the VIEs and VIEs’ subsidiaries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913,675</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(913,675)</w:t>
            </w:r>
          </w:p>
        </w:tc>
        <w:tc>
          <w:tcPr>
            <w:tcW w:w="326" w:type="dxa"/>
            <w:tcBorders/>
            <w:shd w:fill="CCEEFF" w:val="clear"/>
            <w:vAlign w:val="center"/>
          </w:tcPr>
          <w:p>
            <w:pPr>
              <w:pStyle w:val="TableContents"/>
              <w:spacing w:before="0" w:after="0"/>
              <w:ind w:left="0" w:right="0" w:hanging="0"/>
              <w:rPr/>
            </w:pPr>
            <w:r>
              <w:rPr/>
              <w:t>​</w:t>
            </w:r>
          </w:p>
        </w:tc>
        <w:tc>
          <w:tcPr>
            <w:tcW w:w="1112" w:type="dxa"/>
            <w:tcBorders/>
            <w:shd w:fill="CCEEFF" w:val="clear"/>
            <w:vAlign w:val="center"/>
          </w:tcPr>
          <w:p>
            <w:pPr>
              <w:pStyle w:val="TableContents"/>
              <w:spacing w:before="0" w:after="0"/>
              <w:ind w:left="0" w:right="0" w:hanging="0"/>
              <w:jc w:val="right"/>
              <w:rPr/>
            </w:pPr>
            <w:r>
              <w:rPr/>
              <w:t>—</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investments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393,580</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17,321,579</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226,904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862,839</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18,804,902</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long-term assets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44,217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711,074</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2,867,934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385,231</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4,008,456</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Assets held for sale</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auto" w:val="clear"/>
            <w:vAlign w:val="center"/>
          </w:tcPr>
          <w:p>
            <w:pPr>
              <w:pStyle w:val="TableContents"/>
              <w:spacing w:before="0" w:after="0"/>
              <w:ind w:left="0" w:right="0" w:hanging="0"/>
              <w:rPr/>
            </w:pPr>
            <w:r>
              <w:rPr/>
              <w:t> </w:t>
            </w:r>
          </w:p>
        </w:tc>
        <w:tc>
          <w:tcPr>
            <w:tcW w:w="107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1,585</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124,728,818</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130,039,097</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73,183,678</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20,683,180</w:t>
            </w:r>
          </w:p>
        </w:tc>
        <w:tc>
          <w:tcPr>
            <w:tcW w:w="326" w:type="dxa"/>
            <w:tcBorders/>
            <w:shd w:fill="CCEEFF" w:val="clear"/>
            <w:vAlign w:val="center"/>
          </w:tcPr>
          <w:p>
            <w:pPr>
              <w:pStyle w:val="TableContents"/>
              <w:spacing w:before="0" w:after="0"/>
              <w:ind w:left="0" w:right="0" w:hanging="0"/>
              <w:rPr/>
            </w:pPr>
            <w:r>
              <w:rPr/>
              <w:t> </w:t>
            </w:r>
          </w:p>
        </w:tc>
        <w:tc>
          <w:tcPr>
            <w:tcW w:w="10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(194,990,849)</w:t>
            </w:r>
          </w:p>
        </w:tc>
        <w:tc>
          <w:tcPr>
            <w:tcW w:w="326" w:type="dxa"/>
            <w:tcBorders/>
            <w:shd w:fill="CCEEFF" w:val="clear"/>
            <w:vAlign w:val="center"/>
          </w:tcPr>
          <w:p>
            <w:pPr>
              <w:pStyle w:val="TableContents"/>
              <w:spacing w:before="0" w:after="0"/>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153,643,924</w:t>
            </w:r>
          </w:p>
        </w:tc>
      </w:tr>
      <w:tr>
        <w:trPr/>
        <w:tc>
          <w:tcPr>
            <w:tcW w:w="19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2" w:type="dxa"/>
            <w:tcBorders/>
            <w:shd w:fill="auto" w:val="clear"/>
            <w:vAlign w:val="center"/>
          </w:tcPr>
          <w:p>
            <w:pPr>
              <w:pStyle w:val="TableContents"/>
              <w:spacing w:before="0" w:after="0"/>
              <w:ind w:left="0" w:right="0" w:hanging="0"/>
              <w:rPr/>
            </w:pPr>
            <w:r>
              <w:rPr/>
              <w:t>​</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Liabilities, redeemable noncontrolling interests and shareholders’ equity</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7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12" w:type="dxa"/>
            <w:tcBorders/>
            <w:shd w:fill="CCEEFF" w:val="clear"/>
            <w:vAlign w:val="center"/>
          </w:tcPr>
          <w:p>
            <w:pPr>
              <w:pStyle w:val="TableContents"/>
              <w:spacing w:before="0" w:after="0"/>
              <w:ind w:left="0" w:right="0" w:hanging="0"/>
              <w:rPr/>
            </w:pPr>
            <w:r>
              <w:rPr/>
              <w:t>​</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383,229</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138,217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463,601</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985,059</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Salary and welfare payables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2,617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321,170</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3,693,760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115,707</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4,133,254</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Taxes payable</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9,252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1,475,237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2,895,424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157,137</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4,537,050</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loans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11,480,065</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7,119,285</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52,963</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19,352,313</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Contract liabilities-current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1,186,773</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194,053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10,751,917</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12,132,743</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liabilities and other payables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27,137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1,853,374</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4,200,067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2,945,930</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9,026,508</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254,969</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752,040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59,068</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1,066,526</w:t>
            </w:r>
          </w:p>
        </w:tc>
      </w:tr>
      <w:tr>
        <w:trPr/>
        <w:tc>
          <w:tcPr>
            <w:tcW w:w="19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16,606,066</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36,094,019</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24,578,843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3,904,328</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(81,183,256)</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tax liabilities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1,057,487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288,387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1,345,874</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loans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1,275,140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1,275,140</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long-term payable</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32,311</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75,396</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257,874</w:t>
            </w:r>
          </w:p>
        </w:tc>
        <w:tc>
          <w:tcPr>
            <w:tcW w:w="326" w:type="dxa"/>
            <w:tcBorders/>
            <w:shd w:fill="auto" w:val="clear"/>
            <w:vAlign w:val="center"/>
          </w:tcPr>
          <w:p>
            <w:pPr>
              <w:pStyle w:val="TableContents"/>
              <w:spacing w:before="0" w:after="0"/>
              <w:ind w:left="0" w:right="0" w:hanging="0"/>
              <w:rPr/>
            </w:pPr>
            <w:r>
              <w:rPr/>
              <w:t> </w:t>
            </w:r>
          </w:p>
        </w:tc>
        <w:tc>
          <w:tcPr>
            <w:tcW w:w="107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365,581</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29,400,738</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49,777,854</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37,516,187</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18,708,525</w:t>
            </w:r>
          </w:p>
        </w:tc>
        <w:tc>
          <w:tcPr>
            <w:tcW w:w="326" w:type="dxa"/>
            <w:tcBorders/>
            <w:shd w:fill="CCEEFF" w:val="clear"/>
            <w:vAlign w:val="center"/>
          </w:tcPr>
          <w:p>
            <w:pPr>
              <w:pStyle w:val="TableContents"/>
              <w:spacing w:before="0" w:after="0"/>
              <w:ind w:left="0" w:right="0" w:hanging="0"/>
              <w:rPr/>
            </w:pPr>
            <w:r>
              <w:rPr/>
              <w:t> </w:t>
            </w:r>
          </w:p>
        </w:tc>
        <w:tc>
          <w:tcPr>
            <w:tcW w:w="10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(81,183,256)</w:t>
            </w:r>
          </w:p>
        </w:tc>
        <w:tc>
          <w:tcPr>
            <w:tcW w:w="326" w:type="dxa"/>
            <w:tcBorders/>
            <w:shd w:fill="CCEEFF" w:val="clear"/>
            <w:vAlign w:val="center"/>
          </w:tcPr>
          <w:p>
            <w:pPr>
              <w:pStyle w:val="TableContents"/>
              <w:spacing w:before="0" w:after="0"/>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54,220,048</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Redeemable noncontrolling interests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66,647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78,591</w:t>
            </w:r>
          </w:p>
        </w:tc>
        <w:tc>
          <w:tcPr>
            <w:tcW w:w="326" w:type="dxa"/>
            <w:tcBorders/>
            <w:shd w:fill="auto" w:val="clear"/>
            <w:vAlign w:val="center"/>
          </w:tcPr>
          <w:p>
            <w:pPr>
              <w:pStyle w:val="TableContents"/>
              <w:spacing w:before="0" w:after="0"/>
              <w:ind w:left="0" w:right="0" w:hanging="0"/>
              <w:rPr/>
            </w:pPr>
            <w:r>
              <w:rPr/>
              <w:t> </w:t>
            </w:r>
          </w:p>
        </w:tc>
        <w:tc>
          <w:tcPr>
            <w:tcW w:w="10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145,238</w:t>
            </w:r>
          </w:p>
        </w:tc>
      </w:tr>
      <w:tr>
        <w:trPr/>
        <w:tc>
          <w:tcPr>
            <w:tcW w:w="190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2" w:type="dxa"/>
            <w:tcBorders/>
            <w:shd w:fill="CCEEFF" w:val="clear"/>
            <w:vAlign w:val="center"/>
          </w:tcPr>
          <w:p>
            <w:pPr>
              <w:pStyle w:val="TableContents"/>
              <w:spacing w:before="0" w:after="0"/>
              <w:ind w:left="0" w:right="0" w:hanging="0"/>
              <w:jc w:val="right"/>
              <w:rPr/>
            </w:pPr>
            <w:r>
              <w:rPr/>
              <w:t>​</w:t>
            </w:r>
          </w:p>
        </w:tc>
      </w:tr>
      <w:tr>
        <w:trPr/>
        <w:tc>
          <w:tcPr>
            <w:tcW w:w="1904"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NetEase Inc.’s shareholders’ equity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95,328,080</w:t>
            </w:r>
          </w:p>
        </w:tc>
        <w:tc>
          <w:tcPr>
            <w:tcW w:w="326" w:type="dxa"/>
            <w:tcBorders/>
            <w:shd w:fill="auto" w:val="clear"/>
            <w:vAlign w:val="center"/>
          </w:tcPr>
          <w:p>
            <w:pPr>
              <w:pStyle w:val="TableContents"/>
              <w:spacing w:before="0" w:after="0"/>
              <w:ind w:left="0" w:right="0" w:hanging="0"/>
              <w:jc w:val="right"/>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80,194,596</w:t>
            </w:r>
          </w:p>
        </w:tc>
        <w:tc>
          <w:tcPr>
            <w:tcW w:w="326" w:type="dxa"/>
            <w:tcBorders/>
            <w:shd w:fill="auto" w:val="clear"/>
            <w:vAlign w:val="center"/>
          </w:tcPr>
          <w:p>
            <w:pPr>
              <w:pStyle w:val="TableContents"/>
              <w:spacing w:before="0" w:after="0"/>
              <w:ind w:left="0" w:right="0" w:hanging="0"/>
              <w:jc w:val="right"/>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35,667,491</w:t>
            </w:r>
          </w:p>
        </w:tc>
        <w:tc>
          <w:tcPr>
            <w:tcW w:w="32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1,896,064</w:t>
            </w:r>
          </w:p>
        </w:tc>
        <w:tc>
          <w:tcPr>
            <w:tcW w:w="326" w:type="dxa"/>
            <w:tcBorders/>
            <w:shd w:fill="auto" w:val="clear"/>
            <w:vAlign w:val="center"/>
          </w:tcPr>
          <w:p>
            <w:pPr>
              <w:pStyle w:val="TableContents"/>
              <w:spacing w:before="0" w:after="0"/>
              <w:ind w:left="0" w:right="0" w:hanging="0"/>
              <w:jc w:val="right"/>
              <w:rPr/>
            </w:pPr>
            <w:r>
              <w:rPr/>
              <w:t>​</w:t>
            </w:r>
          </w:p>
        </w:tc>
        <w:tc>
          <w:tcPr>
            <w:tcW w:w="10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(117,758,151)</w:t>
            </w:r>
          </w:p>
        </w:tc>
        <w:tc>
          <w:tcPr>
            <w:tcW w:w="326" w:type="dxa"/>
            <w:tcBorders/>
            <w:shd w:fill="auto" w:val="clear"/>
            <w:vAlign w:val="center"/>
          </w:tcPr>
          <w:p>
            <w:pPr>
              <w:pStyle w:val="TableContents"/>
              <w:spacing w:before="0" w:after="0"/>
              <w:ind w:left="0" w:right="0" w:hanging="0"/>
              <w:jc w:val="right"/>
              <w:rPr/>
            </w:pPr>
            <w:r>
              <w:rPr/>
              <w:t>​</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95,328,080</w:t>
            </w:r>
          </w:p>
        </w:tc>
      </w:tr>
      <w:tr>
        <w:trPr/>
        <w:tc>
          <w:tcPr>
            <w:tcW w:w="19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Noncontrolling interests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3,950,558</w:t>
            </w:r>
          </w:p>
        </w:tc>
        <w:tc>
          <w:tcPr>
            <w:tcW w:w="326" w:type="dxa"/>
            <w:tcBorders/>
            <w:shd w:fill="CCEEFF" w:val="clear"/>
            <w:vAlign w:val="center"/>
          </w:tcPr>
          <w:p>
            <w:pPr>
              <w:pStyle w:val="TableContents"/>
              <w:spacing w:before="0" w:after="0"/>
              <w:ind w:left="0" w:right="0" w:hanging="0"/>
              <w:jc w:val="right"/>
              <w:rPr/>
            </w:pPr>
            <w:r>
              <w:rPr/>
              <w:t> </w:t>
            </w:r>
          </w:p>
        </w:tc>
        <w:tc>
          <w:tcPr>
            <w:tcW w:w="11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3,950,558</w:t>
            </w:r>
          </w:p>
        </w:tc>
      </w:tr>
      <w:tr>
        <w:trPr/>
        <w:tc>
          <w:tcPr>
            <w:tcW w:w="190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equity</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95,328,080</w:t>
            </w:r>
          </w:p>
        </w:tc>
        <w:tc>
          <w:tcPr>
            <w:tcW w:w="326" w:type="dxa"/>
            <w:tcBorders/>
            <w:shd w:fill="auto" w:val="clear"/>
            <w:vAlign w:val="center"/>
          </w:tcPr>
          <w:p>
            <w:pPr>
              <w:pStyle w:val="TableContents"/>
              <w:spacing w:before="0" w:after="0"/>
              <w:ind w:left="0" w:right="0" w:hanging="0"/>
              <w:jc w:val="right"/>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80,194,596</w:t>
            </w:r>
          </w:p>
        </w:tc>
        <w:tc>
          <w:tcPr>
            <w:tcW w:w="326" w:type="dxa"/>
            <w:tcBorders/>
            <w:shd w:fill="auto" w:val="clear"/>
            <w:vAlign w:val="center"/>
          </w:tcPr>
          <w:p>
            <w:pPr>
              <w:pStyle w:val="TableContents"/>
              <w:spacing w:before="0" w:after="0"/>
              <w:ind w:left="0" w:right="0" w:hanging="0"/>
              <w:jc w:val="right"/>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35,667,491</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1,896,064</w:t>
            </w:r>
          </w:p>
        </w:tc>
        <w:tc>
          <w:tcPr>
            <w:tcW w:w="326" w:type="dxa"/>
            <w:tcBorders/>
            <w:shd w:fill="auto" w:val="clear"/>
            <w:vAlign w:val="center"/>
          </w:tcPr>
          <w:p>
            <w:pPr>
              <w:pStyle w:val="TableContents"/>
              <w:spacing w:before="0" w:after="0"/>
              <w:ind w:left="0" w:right="0" w:hanging="0"/>
              <w:jc w:val="right"/>
              <w:rPr/>
            </w:pPr>
            <w:r>
              <w:rPr/>
              <w:t> </w:t>
            </w:r>
          </w:p>
        </w:tc>
        <w:tc>
          <w:tcPr>
            <w:tcW w:w="10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(113,807,593)</w:t>
            </w:r>
          </w:p>
        </w:tc>
        <w:tc>
          <w:tcPr>
            <w:tcW w:w="326" w:type="dxa"/>
            <w:tcBorders/>
            <w:shd w:fill="auto" w:val="clear"/>
            <w:vAlign w:val="center"/>
          </w:tcPr>
          <w:p>
            <w:pPr>
              <w:pStyle w:val="TableContents"/>
              <w:spacing w:before="0" w:after="0"/>
              <w:ind w:left="0" w:right="0" w:hanging="0"/>
              <w:jc w:val="right"/>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99,278,638</w:t>
            </w:r>
          </w:p>
        </w:tc>
      </w:tr>
      <w:tr>
        <w:trPr/>
        <w:tc>
          <w:tcPr>
            <w:tcW w:w="190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liabilities, redeemable noncontrolling interests and shareholders’ equity</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124,728,818</w:t>
            </w:r>
          </w:p>
        </w:tc>
        <w:tc>
          <w:tcPr>
            <w:tcW w:w="326" w:type="dxa"/>
            <w:tcBorders/>
            <w:shd w:fill="CCEEFF" w:val="clear"/>
            <w:vAlign w:val="center"/>
          </w:tcPr>
          <w:p>
            <w:pPr>
              <w:pStyle w:val="TableContents"/>
              <w:spacing w:before="0" w:after="0"/>
              <w:ind w:left="0" w:right="0" w:hanging="0"/>
              <w:jc w:val="right"/>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130,039,097</w:t>
            </w:r>
          </w:p>
        </w:tc>
        <w:tc>
          <w:tcPr>
            <w:tcW w:w="326" w:type="dxa"/>
            <w:tcBorders/>
            <w:shd w:fill="CCEEFF" w:val="clear"/>
            <w:vAlign w:val="center"/>
          </w:tcPr>
          <w:p>
            <w:pPr>
              <w:pStyle w:val="TableContents"/>
              <w:spacing w:before="0" w:after="0"/>
              <w:ind w:left="0" w:right="0" w:hanging="0"/>
              <w:jc w:val="right"/>
              <w:rPr/>
            </w:pPr>
            <w:r>
              <w:rPr/>
              <w:t> </w:t>
            </w:r>
          </w:p>
        </w:tc>
        <w:tc>
          <w:tcPr>
            <w:tcW w:w="12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73,183,678</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20,683,180</w:t>
            </w:r>
          </w:p>
        </w:tc>
        <w:tc>
          <w:tcPr>
            <w:tcW w:w="326" w:type="dxa"/>
            <w:tcBorders/>
            <w:shd w:fill="CCEEFF" w:val="clear"/>
            <w:vAlign w:val="center"/>
          </w:tcPr>
          <w:p>
            <w:pPr>
              <w:pStyle w:val="TableContents"/>
              <w:spacing w:before="0" w:after="0"/>
              <w:ind w:left="0" w:right="0" w:hanging="0"/>
              <w:jc w:val="right"/>
              <w:rPr/>
            </w:pPr>
            <w:r>
              <w:rPr/>
              <w:t> </w:t>
            </w:r>
          </w:p>
        </w:tc>
        <w:tc>
          <w:tcPr>
            <w:tcW w:w="10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(194,990,849)</w:t>
            </w:r>
          </w:p>
        </w:tc>
        <w:tc>
          <w:tcPr>
            <w:tcW w:w="326" w:type="dxa"/>
            <w:tcBorders/>
            <w:shd w:fill="CCEEFF" w:val="clear"/>
            <w:vAlign w:val="center"/>
          </w:tcPr>
          <w:p>
            <w:pPr>
              <w:pStyle w:val="TableContents"/>
              <w:spacing w:before="0" w:after="0"/>
              <w:ind w:left="0" w:right="0" w:hanging="0"/>
              <w:jc w:val="right"/>
              <w:rPr/>
            </w:pPr>
            <w:r>
              <w:rPr/>
              <w:t> </w:t>
            </w:r>
          </w:p>
        </w:tc>
        <w:tc>
          <w:tcPr>
            <w:tcW w:w="111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153,643,924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096"/>
        <w:gridCol w:w="326"/>
        <w:gridCol w:w="1006"/>
        <w:gridCol w:w="326"/>
        <w:gridCol w:w="1006"/>
        <w:gridCol w:w="326"/>
        <w:gridCol w:w="1021"/>
        <w:gridCol w:w="326"/>
        <w:gridCol w:w="931"/>
        <w:gridCol w:w="326"/>
        <w:gridCol w:w="1077"/>
        <w:gridCol w:w="326"/>
        <w:gridCol w:w="1112"/>
      </w:tblGrid>
      <w:tr>
        <w:trPr/>
        <w:tc>
          <w:tcPr>
            <w:tcW w:w="2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0960" cy="175260"/>
                      <wp:effectExtent l="0" t="0" r="0" b="0"/>
                      <wp:wrapNone/>
                      <wp:docPr id="151" name="Frame150"/>
                      <a:graphic xmlns:a="http://schemas.openxmlformats.org/drawingml/2006/main">
                        <a:graphicData uri="http://schemas.microsoft.com/office/word/2010/wordprocessingShape">
                          <wps:wsp>
                            <wps:cNvSpPr txBox="1"/>
                            <wps:spPr>
                              <a:xfrm>
                                <a:off x="0" y="0"/>
                                <a:ext cx="1330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38810" cy="175260"/>
                      <wp:effectExtent l="0" t="0" r="0" b="0"/>
                      <wp:wrapNone/>
                      <wp:docPr id="153" name="Frame15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38810" cy="175260"/>
                      <wp:effectExtent l="0" t="0" r="0" b="0"/>
                      <wp:wrapNone/>
                      <wp:docPr id="155" name="Frame154"/>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335" cy="175260"/>
                      <wp:effectExtent l="0" t="0" r="0" b="0"/>
                      <wp:wrapNone/>
                      <wp:docPr id="157" name="Frame156"/>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1185" cy="175260"/>
                      <wp:effectExtent l="0" t="0" r="0" b="0"/>
                      <wp:wrapNone/>
                      <wp:docPr id="159" name="Frame15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83895" cy="175260"/>
                      <wp:effectExtent l="0" t="0" r="0" b="0"/>
                      <wp:wrapNone/>
                      <wp:docPr id="161" name="Frame160"/>
                      <a:graphic xmlns:a="http://schemas.openxmlformats.org/drawingml/2006/main">
                        <a:graphicData uri="http://schemas.microsoft.com/office/word/2010/wordprocessingShape">
                          <wps:wsp>
                            <wps:cNvSpPr txBox="1"/>
                            <wps:spPr>
                              <a:xfrm>
                                <a:off x="0" y="0"/>
                                <a:ext cx="683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06120" cy="175260"/>
                      <wp:effectExtent l="0" t="0" r="0" b="0"/>
                      <wp:wrapNone/>
                      <wp:docPr id="163" name="Frame162"/>
                      <a:graphic xmlns:a="http://schemas.openxmlformats.org/drawingml/2006/main">
                        <a:graphicData uri="http://schemas.microsoft.com/office/word/2010/wordprocessingShape">
                          <wps:wsp>
                            <wps:cNvSpPr txBox="1"/>
                            <wps:spPr>
                              <a:xfrm>
                                <a:off x="0" y="0"/>
                                <a:ext cx="706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783"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10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2" w:type="dxa"/>
            <w:tcBorders/>
            <w:shd w:fill="auto" w:val="clear"/>
            <w:vAlign w:val="center"/>
          </w:tcPr>
          <w:p>
            <w:pPr>
              <w:pStyle w:val="TableContents"/>
              <w:spacing w:before="0" w:after="0"/>
              <w:ind w:left="0" w:right="0" w:hanging="0"/>
              <w:jc w:val="center"/>
              <w:rPr/>
            </w:pPr>
            <w:r>
              <w:rPr/>
              <w:t>​</w:t>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107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    </w:t>
            </w:r>
          </w:p>
        </w:tc>
        <w:tc>
          <w:tcPr>
            <w:tcW w:w="111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0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783"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  </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98,865</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4,771,179</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17,715,676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2,303,280</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24,889,000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Time deposits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60,115,896</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27,405,623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87,921,519</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15,584</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28,570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2,655,171</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2,699,325</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1,165,043</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295,557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3,542,272</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5,002,872</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768,099</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157,965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67,572</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993,636</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Prepayments and other current assets,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328,766</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2,109,849</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1,142,559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1,867,110</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5,448,284</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138,218</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7,410,471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73,984</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7,622,673</w:t>
            </w:r>
          </w:p>
        </w:tc>
      </w:tr>
      <w:tr>
        <w:trPr/>
        <w:tc>
          <w:tcPr>
            <w:tcW w:w="2096"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25,813,779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6,707,302</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7,723,645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9,917,091</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equipment and software, net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578,404</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5,685,236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78,666</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6,342,330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Land use right,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54,120</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4,067,647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4,121,767</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268,483</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564,671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54,653</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887,977</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tax assets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1,324,534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155,595</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1,480,789</w:t>
            </w:r>
          </w:p>
        </w:tc>
      </w:tr>
      <w:tr>
        <w:trPr/>
        <w:tc>
          <w:tcPr>
            <w:tcW w:w="2096"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Investments in subsidiaries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88,979,671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26,887,522</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25,513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(115,892,706)</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pPr>
            <w:r>
              <w:rPr/>
              <w:t>—</w:t>
            </w:r>
          </w:p>
        </w:tc>
      </w:tr>
      <w:tr>
        <w:trPr/>
        <w:tc>
          <w:tcPr>
            <w:tcW w:w="2096"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Contractual interests in the VIEs and VIEs’ subsidiaries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762,591</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(762,591)</w:t>
            </w:r>
          </w:p>
        </w:tc>
        <w:tc>
          <w:tcPr>
            <w:tcW w:w="326" w:type="dxa"/>
            <w:tcBorders/>
            <w:shd w:fill="CCEEFF" w:val="clear"/>
            <w:vAlign w:val="center"/>
          </w:tcPr>
          <w:p>
            <w:pPr>
              <w:pStyle w:val="TableContents"/>
              <w:spacing w:before="0" w:after="0"/>
              <w:ind w:left="0" w:right="0" w:hanging="0"/>
              <w:rPr/>
            </w:pPr>
            <w:r>
              <w:rPr/>
              <w:t>​</w:t>
            </w:r>
          </w:p>
        </w:tc>
        <w:tc>
          <w:tcPr>
            <w:tcW w:w="1112" w:type="dxa"/>
            <w:tcBorders/>
            <w:shd w:fill="CCEEFF" w:val="clear"/>
            <w:vAlign w:val="center"/>
          </w:tcPr>
          <w:p>
            <w:pPr>
              <w:pStyle w:val="TableContents"/>
              <w:spacing w:before="0" w:after="0"/>
              <w:ind w:left="0" w:right="0" w:hanging="0"/>
              <w:jc w:val="right"/>
              <w:rPr/>
            </w:pPr>
            <w:r>
              <w:rPr/>
              <w:t>—</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investments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393,580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17,074,981</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190,425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885,372</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18,544,358</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long-term assets, net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64,411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4,727,973</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1,849,103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164,968</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6,806,455</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Assets held for sale</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115,679,266</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125,383,313</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76,349,786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22,165,734</w:t>
            </w:r>
          </w:p>
        </w:tc>
        <w:tc>
          <w:tcPr>
            <w:tcW w:w="326" w:type="dxa"/>
            <w:tcBorders/>
            <w:shd w:fill="CCEEFF" w:val="clear"/>
            <w:vAlign w:val="center"/>
          </w:tcPr>
          <w:p>
            <w:pPr>
              <w:pStyle w:val="TableContents"/>
              <w:spacing w:before="0" w:after="0"/>
              <w:ind w:left="0" w:right="0" w:hanging="0"/>
              <w:rPr/>
            </w:pPr>
            <w:r>
              <w:rPr/>
              <w:t> </w:t>
            </w:r>
          </w:p>
        </w:tc>
        <w:tc>
          <w:tcPr>
            <w:tcW w:w="10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(166,817,114)</w:t>
            </w:r>
          </w:p>
        </w:tc>
        <w:tc>
          <w:tcPr>
            <w:tcW w:w="326" w:type="dxa"/>
            <w:tcBorders/>
            <w:shd w:fill="CCEEFF" w:val="clear"/>
            <w:vAlign w:val="center"/>
          </w:tcPr>
          <w:p>
            <w:pPr>
              <w:pStyle w:val="TableContents"/>
              <w:spacing w:before="0" w:after="0"/>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172,760,985</w:t>
            </w:r>
          </w:p>
        </w:tc>
      </w:tr>
      <w:tr>
        <w:trPr/>
        <w:tc>
          <w:tcPr>
            <w:tcW w:w="2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7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2" w:type="dxa"/>
            <w:tcBorders/>
            <w:shd w:fill="auto" w:val="clear"/>
            <w:vAlign w:val="center"/>
          </w:tcPr>
          <w:p>
            <w:pPr>
              <w:pStyle w:val="TableContents"/>
              <w:spacing w:before="0" w:after="0"/>
              <w:ind w:left="0" w:right="0" w:hanging="0"/>
              <w:rPr/>
            </w:pPr>
            <w:r>
              <w:rPr/>
              <w:t>​</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Liabilities, redeemable noncontrolling interests and shareholders’ equity</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570,520</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133,887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802,717</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1,507,141</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Salary and welfare payables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1,303</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384,980</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4,191,180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155,478</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4,732,941</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Taxes payable</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10,107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124,198</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2,637,439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41,352</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2,813,096</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loans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4,472,768</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14,369,014</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5,033,500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23,875,704</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Contract liabilities-current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844,487</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209,302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11,465,101</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12,518,890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liabilities and other payables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25,017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1,886,377</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5,403,800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3,809,049</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11,124,243</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278,151</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595,161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54,981</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928,466</w:t>
            </w:r>
          </w:p>
        </w:tc>
      </w:tr>
      <w:tr>
        <w:trPr/>
        <w:tc>
          <w:tcPr>
            <w:tcW w:w="2096"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2,956,264</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12,595,746</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30,672,023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3,937,784</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pPr>
            <w:r>
              <w:rPr/>
              <w:t>—</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tax liabilities</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1,811,525</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314,595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2,126,120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loans</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3,482,300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172,664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3,654,964</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long-term payable</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269,367</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73,200</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263,373</w:t>
            </w:r>
          </w:p>
        </w:tc>
        <w:tc>
          <w:tcPr>
            <w:tcW w:w="326" w:type="dxa"/>
            <w:tcBorders/>
            <w:shd w:fill="auto" w:val="clear"/>
            <w:vAlign w:val="center"/>
          </w:tcPr>
          <w:p>
            <w:pPr>
              <w:pStyle w:val="TableContents"/>
              <w:spacing w:before="0" w:after="0"/>
              <w:ind w:left="0" w:right="0" w:hanging="0"/>
              <w:rPr/>
            </w:pPr>
            <w:r>
              <w:rPr/>
              <w:t> </w:t>
            </w:r>
          </w:p>
        </w:tc>
        <w:tc>
          <w:tcPr>
            <w:tcW w:w="107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605,940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0"/>
              <w:ind w:left="0" w:right="0" w:hanging="0"/>
              <w:rPr/>
            </w:pPr>
            <w:r>
              <w:rPr/>
              <w:t> </w:t>
            </w:r>
          </w:p>
        </w:tc>
        <w:tc>
          <w:tcPr>
            <w:tcW w:w="100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10,947,949</w:t>
            </w:r>
          </w:p>
        </w:tc>
        <w:tc>
          <w:tcPr>
            <w:tcW w:w="326" w:type="dxa"/>
            <w:tcBorders/>
            <w:shd w:fill="CCEEFF" w:val="clear"/>
            <w:vAlign w:val="center"/>
          </w:tcPr>
          <w:p>
            <w:pPr>
              <w:pStyle w:val="TableContents"/>
              <w:spacing w:before="0" w:after="0"/>
              <w:ind w:left="0" w:right="0" w:hanging="0"/>
              <w:rPr/>
            </w:pPr>
            <w:r>
              <w:rPr/>
              <w:t> </w:t>
            </w:r>
          </w:p>
        </w:tc>
        <w:tc>
          <w:tcPr>
            <w:tcW w:w="100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33,134,365</w:t>
            </w:r>
          </w:p>
        </w:tc>
        <w:tc>
          <w:tcPr>
            <w:tcW w:w="326" w:type="dxa"/>
            <w:tcBorders/>
            <w:shd w:fill="CCEEFF" w:val="clear"/>
            <w:vAlign w:val="center"/>
          </w:tcPr>
          <w:p>
            <w:pPr>
              <w:pStyle w:val="TableContents"/>
              <w:spacing w:before="0" w:after="0"/>
              <w:ind w:left="0" w:right="0" w:hanging="0"/>
              <w:rPr/>
            </w:pPr>
            <w:r>
              <w:rPr/>
              <w:t> </w:t>
            </w:r>
          </w:p>
        </w:tc>
        <w:tc>
          <w:tcPr>
            <w:tcW w:w="10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49,436,751</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20,530,257</w:t>
            </w:r>
          </w:p>
        </w:tc>
        <w:tc>
          <w:tcPr>
            <w:tcW w:w="326" w:type="dxa"/>
            <w:tcBorders/>
            <w:shd w:fill="CCEEFF" w:val="clear"/>
            <w:vAlign w:val="center"/>
          </w:tcPr>
          <w:p>
            <w:pPr>
              <w:pStyle w:val="TableContents"/>
              <w:spacing w:before="0" w:after="0"/>
              <w:ind w:left="0" w:right="0" w:hanging="0"/>
              <w:rPr/>
            </w:pPr>
            <w:r>
              <w:rPr/>
              <w:t> </w:t>
            </w:r>
          </w:p>
        </w:tc>
        <w:tc>
          <w:tcPr>
            <w:tcW w:w="107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shd w:fill="CCEEFF" w:val="clear"/>
            <w:vAlign w:val="center"/>
          </w:tcPr>
          <w:p>
            <w:pPr>
              <w:pStyle w:val="TableContents"/>
              <w:spacing w:before="0" w:after="0"/>
              <w:ind w:left="0" w:right="0" w:hanging="0"/>
              <w:rPr/>
            </w:pPr>
            <w:r>
              <w:rPr/>
              <w:t> </w:t>
            </w:r>
          </w:p>
        </w:tc>
        <w:tc>
          <w:tcPr>
            <w:tcW w:w="111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63,887,505</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Redeemable noncontrolling interests</w:t>
            </w:r>
          </w:p>
        </w:tc>
        <w:tc>
          <w:tcPr>
            <w:tcW w:w="326" w:type="dxa"/>
            <w:tcBorders/>
            <w:shd w:fill="auto" w:val="clear"/>
            <w:vAlign w:val="center"/>
          </w:tcPr>
          <w:p>
            <w:pPr>
              <w:pStyle w:val="TableContents"/>
              <w:spacing w:before="0" w:after="0"/>
              <w:ind w:left="0" w:right="0" w:hanging="0"/>
              <w:rPr/>
            </w:pPr>
            <w:r>
              <w:rPr/>
              <w:t> </w:t>
            </w:r>
          </w:p>
        </w:tc>
        <w:tc>
          <w:tcPr>
            <w:tcW w:w="1006"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71,869</w:t>
            </w:r>
          </w:p>
        </w:tc>
        <w:tc>
          <w:tcPr>
            <w:tcW w:w="326" w:type="dxa"/>
            <w:tcBorders/>
            <w:shd w:fill="auto" w:val="clear"/>
            <w:vAlign w:val="center"/>
          </w:tcPr>
          <w:p>
            <w:pPr>
              <w:pStyle w:val="TableContents"/>
              <w:spacing w:before="0" w:after="0"/>
              <w:ind w:left="0" w:right="0" w:hanging="0"/>
              <w:rPr/>
            </w:pPr>
            <w:r>
              <w:rPr/>
              <w:t> </w:t>
            </w:r>
          </w:p>
        </w:tc>
        <w:tc>
          <w:tcPr>
            <w:tcW w:w="102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64,571</w:t>
            </w:r>
          </w:p>
        </w:tc>
        <w:tc>
          <w:tcPr>
            <w:tcW w:w="326" w:type="dxa"/>
            <w:tcBorders/>
            <w:shd w:fill="auto" w:val="clear"/>
            <w:vAlign w:val="center"/>
          </w:tcPr>
          <w:p>
            <w:pPr>
              <w:pStyle w:val="TableContents"/>
              <w:spacing w:before="0" w:after="0"/>
              <w:ind w:left="0" w:right="0" w:hanging="0"/>
              <w:rPr/>
            </w:pPr>
            <w:r>
              <w:rPr/>
              <w:t> </w:t>
            </w:r>
          </w:p>
        </w:tc>
        <w:tc>
          <w:tcPr>
            <w:tcW w:w="1077"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136,440</w:t>
            </w:r>
          </w:p>
        </w:tc>
      </w:tr>
      <w:tr>
        <w:trPr/>
        <w:tc>
          <w:tcPr>
            <w:tcW w:w="20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7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12" w:type="dxa"/>
            <w:tcBorders/>
            <w:shd w:fill="CCEEFF" w:val="clear"/>
            <w:vAlign w:val="center"/>
          </w:tcPr>
          <w:p>
            <w:pPr>
              <w:pStyle w:val="TableContents"/>
              <w:spacing w:before="0" w:after="0"/>
              <w:ind w:left="0" w:right="0" w:hanging="0"/>
              <w:rPr/>
            </w:pPr>
            <w:r>
              <w:rPr/>
              <w:t>​</w:t>
            </w:r>
          </w:p>
        </w:tc>
      </w:tr>
      <w:tr>
        <w:trPr/>
        <w:tc>
          <w:tcPr>
            <w:tcW w:w="2096"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NetEase Inc.’s shareholders' equity </w:t>
            </w:r>
            <w:r>
              <w:rPr>
                <w:rFonts w:ascii="Times New Roman;Times;serif" w:hAnsi="Times New Roman;Times;serif"/>
                <w:sz w:val="12"/>
              </w:rPr>
              <w:t>(3)</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92,177,079</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26,913,035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1,570,906</w:t>
            </w:r>
          </w:p>
        </w:tc>
        <w:tc>
          <w:tcPr>
            <w:tcW w:w="326" w:type="dxa"/>
            <w:tcBorders/>
            <w:shd w:fill="auto" w:val="clear"/>
            <w:vAlign w:val="center"/>
          </w:tcPr>
          <w:p>
            <w:pPr>
              <w:pStyle w:val="TableContents"/>
              <w:spacing w:before="0" w:after="0"/>
              <w:ind w:left="0" w:right="0" w:hanging="0"/>
              <w:rPr/>
            </w:pPr>
            <w:r>
              <w:rPr/>
              <w:t> </w:t>
            </w:r>
          </w:p>
        </w:tc>
        <w:tc>
          <w:tcPr>
            <w:tcW w:w="10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(120,661,020)</w:t>
            </w:r>
          </w:p>
        </w:tc>
        <w:tc>
          <w:tcPr>
            <w:tcW w:w="326" w:type="dxa"/>
            <w:tcBorders/>
            <w:shd w:fill="auto" w:val="clear"/>
            <w:vAlign w:val="center"/>
          </w:tcPr>
          <w:p>
            <w:pPr>
              <w:pStyle w:val="TableContents"/>
              <w:spacing w:before="0" w:after="0"/>
              <w:ind w:left="0" w:right="0" w:hanging="0"/>
              <w:rPr/>
            </w:pPr>
            <w:r>
              <w:rPr/>
              <w:t> </w:t>
            </w:r>
          </w:p>
        </w:tc>
        <w:tc>
          <w:tcPr>
            <w:tcW w:w="111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4,005,723</w:t>
            </w:r>
          </w:p>
        </w:tc>
        <w:tc>
          <w:tcPr>
            <w:tcW w:w="326" w:type="dxa"/>
            <w:tcBorders/>
            <w:shd w:fill="CCEEFF" w:val="clear"/>
            <w:vAlign w:val="center"/>
          </w:tcPr>
          <w:p>
            <w:pPr>
              <w:pStyle w:val="TableContents"/>
              <w:spacing w:before="0" w:after="0"/>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4,005,723</w:t>
            </w:r>
          </w:p>
        </w:tc>
      </w:tr>
      <w:tr>
        <w:trPr/>
        <w:tc>
          <w:tcPr>
            <w:tcW w:w="20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equity</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92,177,079</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26,913,035</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1,570,906</w:t>
            </w:r>
          </w:p>
        </w:tc>
        <w:tc>
          <w:tcPr>
            <w:tcW w:w="326" w:type="dxa"/>
            <w:tcBorders/>
            <w:shd w:fill="auto" w:val="clear"/>
            <w:vAlign w:val="center"/>
          </w:tcPr>
          <w:p>
            <w:pPr>
              <w:pStyle w:val="TableContents"/>
              <w:spacing w:before="0" w:after="0"/>
              <w:ind w:left="0" w:right="0" w:hanging="0"/>
              <w:rPr/>
            </w:pPr>
            <w:r>
              <w:rPr/>
              <w:t> </w:t>
            </w:r>
          </w:p>
        </w:tc>
        <w:tc>
          <w:tcPr>
            <w:tcW w:w="10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(116,655,297)</w:t>
            </w:r>
          </w:p>
        </w:tc>
        <w:tc>
          <w:tcPr>
            <w:tcW w:w="326" w:type="dxa"/>
            <w:tcBorders/>
            <w:shd w:fill="auto" w:val="clear"/>
            <w:vAlign w:val="center"/>
          </w:tcPr>
          <w:p>
            <w:pPr>
              <w:pStyle w:val="TableContents"/>
              <w:spacing w:before="0" w:after="0"/>
              <w:ind w:left="0" w:right="0" w:hanging="0"/>
              <w:rPr/>
            </w:pPr>
            <w:r>
              <w:rPr/>
              <w:t> </w:t>
            </w:r>
          </w:p>
        </w:tc>
        <w:tc>
          <w:tcPr>
            <w:tcW w:w="11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108,737,040</w:t>
            </w:r>
          </w:p>
        </w:tc>
      </w:tr>
      <w:tr>
        <w:trPr/>
        <w:tc>
          <w:tcPr>
            <w:tcW w:w="20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liabilities, redeemable noncontrolling interests and shareholders’ equity</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115,679,266</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125,383,313</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76,349,786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22,165,734</w:t>
            </w:r>
          </w:p>
        </w:tc>
        <w:tc>
          <w:tcPr>
            <w:tcW w:w="326" w:type="dxa"/>
            <w:tcBorders/>
            <w:shd w:fill="CCEEFF" w:val="clear"/>
            <w:vAlign w:val="center"/>
          </w:tcPr>
          <w:p>
            <w:pPr>
              <w:pStyle w:val="TableContents"/>
              <w:spacing w:before="0" w:after="0"/>
              <w:ind w:left="0" w:right="0" w:hanging="0"/>
              <w:rPr/>
            </w:pPr>
            <w:r>
              <w:rPr/>
              <w:t> </w:t>
            </w:r>
          </w:p>
        </w:tc>
        <w:tc>
          <w:tcPr>
            <w:tcW w:w="107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(166,817,114)</w:t>
            </w:r>
          </w:p>
        </w:tc>
        <w:tc>
          <w:tcPr>
            <w:tcW w:w="326" w:type="dxa"/>
            <w:tcBorders/>
            <w:shd w:fill="CCEEFF" w:val="clear"/>
            <w:vAlign w:val="center"/>
          </w:tcPr>
          <w:p>
            <w:pPr>
              <w:pStyle w:val="TableContents"/>
              <w:spacing w:before="0" w:after="0"/>
              <w:ind w:left="0" w:right="0" w:hanging="0"/>
              <w:rPr/>
            </w:pPr>
            <w:r>
              <w:rPr/>
              <w:t> </w:t>
            </w:r>
          </w:p>
        </w:tc>
        <w:tc>
          <w:tcPr>
            <w:tcW w:w="111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172,760,985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067"/>
        <w:gridCol w:w="326"/>
        <w:gridCol w:w="916"/>
        <w:gridCol w:w="326"/>
        <w:gridCol w:w="984"/>
        <w:gridCol w:w="326"/>
        <w:gridCol w:w="1216"/>
        <w:gridCol w:w="326"/>
        <w:gridCol w:w="984"/>
        <w:gridCol w:w="326"/>
        <w:gridCol w:w="984"/>
        <w:gridCol w:w="326"/>
        <w:gridCol w:w="1098"/>
      </w:tblGrid>
      <w:tr>
        <w:trPr/>
        <w:tc>
          <w:tcPr>
            <w:tcW w:w="20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12545" cy="175260"/>
                      <wp:effectExtent l="0" t="0" r="0" b="0"/>
                      <wp:wrapNone/>
                      <wp:docPr id="164" name="Frame163"/>
                      <a:graphic xmlns:a="http://schemas.openxmlformats.org/drawingml/2006/main">
                        <a:graphicData uri="http://schemas.microsoft.com/office/word/2010/wordprocessingShape">
                          <wps:wsp>
                            <wps:cNvSpPr txBox="1"/>
                            <wps:spPr>
                              <a:xfrm>
                                <a:off x="0" y="0"/>
                                <a:ext cx="1312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81660" cy="175260"/>
                      <wp:effectExtent l="0" t="0" r="0" b="0"/>
                      <wp:wrapNone/>
                      <wp:docPr id="166" name="Frame165"/>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24840" cy="175260"/>
                      <wp:effectExtent l="0" t="0" r="0" b="0"/>
                      <wp:wrapNone/>
                      <wp:docPr id="168" name="Frame167"/>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72160" cy="175260"/>
                      <wp:effectExtent l="0" t="0" r="0" b="0"/>
                      <wp:wrapNone/>
                      <wp:docPr id="170" name="Frame169"/>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24840" cy="175260"/>
                      <wp:effectExtent l="0" t="0" r="0" b="0"/>
                      <wp:wrapNone/>
                      <wp:docPr id="172" name="Frame171"/>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24840" cy="175260"/>
                      <wp:effectExtent l="0" t="0" r="0" b="0"/>
                      <wp:wrapNone/>
                      <wp:docPr id="174" name="Frame173"/>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7230" cy="175260"/>
                      <wp:effectExtent l="0" t="0" r="0" b="0"/>
                      <wp:wrapNone/>
                      <wp:docPr id="176" name="Frame175"/>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2"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2020</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8" w:type="dxa"/>
            <w:tcBorders/>
            <w:shd w:fill="auto" w:val="clear"/>
            <w:vAlign w:val="center"/>
          </w:tcPr>
          <w:p>
            <w:pPr>
              <w:pStyle w:val="TableContents"/>
              <w:spacing w:before="0" w:after="0"/>
              <w:ind w:left="0" w:right="0" w:hanging="0"/>
              <w:jc w:val="center"/>
              <w:rPr/>
            </w:pPr>
            <w:r>
              <w:rPr/>
              <w:t>​</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    </w:t>
            </w:r>
          </w:p>
        </w:tc>
        <w:tc>
          <w:tcPr>
            <w:tcW w:w="109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2"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pPr>
            <w:r>
              <w:rPr/>
              <w:t>  </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10,862,062</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1,334,307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61,470,764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73,667,133</w:t>
            </w:r>
          </w:p>
        </w:tc>
      </w:tr>
      <w:tr>
        <w:trPr/>
        <w:tc>
          <w:tcPr>
            <w:tcW w:w="2067"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630,829</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45,204,905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(45,835,734)</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pPr>
            <w:r>
              <w:rPr/>
              <w:t>—</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627,211</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1,865,873</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720,398</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(3,213,482)</w:t>
            </w:r>
          </w:p>
        </w:tc>
        <w:tc>
          <w:tcPr>
            <w:tcW w:w="326" w:type="dxa"/>
            <w:tcBorders/>
            <w:shd w:fill="auto" w:val="clear"/>
            <w:vAlign w:val="center"/>
          </w:tcPr>
          <w:p>
            <w:pPr>
              <w:pStyle w:val="TableContents"/>
              <w:spacing w:before="0" w:after="0"/>
              <w:ind w:left="0" w:right="0" w:hanging="0"/>
              <w:rPr/>
            </w:pPr>
            <w:r>
              <w:rPr/>
              <w:t> </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12,120,102</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48,405,085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62,191,162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(49,049,216)</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73,667,133</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pPr>
            <w:r>
              <w:rPr/>
              <w:t>  </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(54,467)</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(9,544,402)</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(34,098,909)</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(15,430,950)</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(59,128,728)</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(45,835,734)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45,835,734</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(1,962,862)</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(1,033,157)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(217,463)</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3,213,482</w:t>
            </w:r>
          </w:p>
        </w:tc>
        <w:tc>
          <w:tcPr>
            <w:tcW w:w="326" w:type="dxa"/>
            <w:tcBorders/>
            <w:shd w:fill="CCEEFF" w:val="clear"/>
            <w:vAlign w:val="center"/>
          </w:tcPr>
          <w:p>
            <w:pPr>
              <w:pStyle w:val="TableContents"/>
              <w:spacing w:before="0" w:after="0"/>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(54,467)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(11,507,264)</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(35,132,066)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(61,484,147)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49,049,216</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(59,128,728)</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(54,467)</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612,838</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13,273,019</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707,015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14,538,405</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income from subsidiaries and VIEs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12,147,129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13,574,165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153,181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(25,874,475)</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(expenses)/ income, net</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(29,908)</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(1,052,946)</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1,673,907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242,626</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833,679</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Income before tax</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12,062,754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13,134,057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15,100,107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949,641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(25,874,475)</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15,372,084</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(1,199,158)</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(1,605,065)</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(237,626)</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(3,041,849)</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12,062,754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11,934,899</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13,495,042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712,015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(25,874,475)</w:t>
            </w:r>
          </w:p>
        </w:tc>
        <w:tc>
          <w:tcPr>
            <w:tcW w:w="326" w:type="dxa"/>
            <w:tcBorders/>
            <w:shd w:fill="auto" w:val="clear"/>
            <w:vAlign w:val="center"/>
          </w:tcPr>
          <w:p>
            <w:pPr>
              <w:pStyle w:val="TableContents"/>
              <w:spacing w:before="0" w:after="0"/>
              <w:ind w:left="0" w:right="0" w:hanging="0"/>
              <w:rPr/>
            </w:pPr>
            <w:r>
              <w:rPr/>
              <w:t> </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12,330,235</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Less: Accretion and deemed dividends in connection with repurchase of redeemable noncontrolling interests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(787,029)</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(787,029)</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loss attributable to noncontrolling interests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519,548</w:t>
            </w:r>
          </w:p>
        </w:tc>
        <w:tc>
          <w:tcPr>
            <w:tcW w:w="326" w:type="dxa"/>
            <w:tcBorders/>
            <w:shd w:fill="auto" w:val="clear"/>
            <w:vAlign w:val="center"/>
          </w:tcPr>
          <w:p>
            <w:pPr>
              <w:pStyle w:val="TableContents"/>
              <w:spacing w:before="0" w:after="0"/>
              <w:ind w:left="0" w:right="0" w:hanging="0"/>
              <w:rPr/>
            </w:pPr>
            <w:r>
              <w:rPr/>
              <w:t> </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519,548</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12,062,754</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11,147,870</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13,495,042</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712,015</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(25,354,927)</w:t>
            </w:r>
          </w:p>
        </w:tc>
        <w:tc>
          <w:tcPr>
            <w:tcW w:w="326" w:type="dxa"/>
            <w:tcBorders/>
            <w:shd w:fill="CCEEFF" w:val="clear"/>
            <w:vAlign w:val="center"/>
          </w:tcPr>
          <w:p>
            <w:pPr>
              <w:pStyle w:val="TableContents"/>
              <w:spacing w:before="0" w:after="0"/>
              <w:ind w:left="0" w:right="0" w:hanging="0"/>
              <w:rPr/>
            </w:pPr>
            <w:r>
              <w:rPr/>
              <w:t> </w:t>
            </w:r>
          </w:p>
        </w:tc>
        <w:tc>
          <w:tcPr>
            <w:tcW w:w="10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12,062,754</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67"/>
        <w:gridCol w:w="326"/>
        <w:gridCol w:w="916"/>
        <w:gridCol w:w="326"/>
        <w:gridCol w:w="984"/>
        <w:gridCol w:w="326"/>
        <w:gridCol w:w="1216"/>
        <w:gridCol w:w="326"/>
        <w:gridCol w:w="984"/>
        <w:gridCol w:w="326"/>
        <w:gridCol w:w="984"/>
        <w:gridCol w:w="326"/>
        <w:gridCol w:w="1098"/>
      </w:tblGrid>
      <w:tr>
        <w:trPr/>
        <w:tc>
          <w:tcPr>
            <w:tcW w:w="20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12545" cy="175260"/>
                      <wp:effectExtent l="0" t="0" r="0" b="0"/>
                      <wp:wrapNone/>
                      <wp:docPr id="177" name="Frame176"/>
                      <a:graphic xmlns:a="http://schemas.openxmlformats.org/drawingml/2006/main">
                        <a:graphicData uri="http://schemas.microsoft.com/office/word/2010/wordprocessingShape">
                          <wps:wsp>
                            <wps:cNvSpPr txBox="1"/>
                            <wps:spPr>
                              <a:xfrm>
                                <a:off x="0" y="0"/>
                                <a:ext cx="1312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81660" cy="175260"/>
                      <wp:effectExtent l="0" t="0" r="0" b="0"/>
                      <wp:wrapNone/>
                      <wp:docPr id="179" name="Frame17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24840" cy="175260"/>
                      <wp:effectExtent l="0" t="0" r="0" b="0"/>
                      <wp:wrapNone/>
                      <wp:docPr id="181" name="Frame180"/>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72160" cy="175260"/>
                      <wp:effectExtent l="0" t="0" r="0" b="0"/>
                      <wp:wrapNone/>
                      <wp:docPr id="183" name="Frame182"/>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24840" cy="175260"/>
                      <wp:effectExtent l="0" t="0" r="0" b="0"/>
                      <wp:wrapNone/>
                      <wp:docPr id="185" name="Frame184"/>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24840" cy="175260"/>
                      <wp:effectExtent l="0" t="0" r="0" b="0"/>
                      <wp:wrapNone/>
                      <wp:docPr id="187" name="Frame186"/>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7230" cy="175260"/>
                      <wp:effectExtent l="0" t="0" r="0" b="0"/>
                      <wp:wrapNone/>
                      <wp:docPr id="189" name="Frame188"/>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2"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8" w:type="dxa"/>
            <w:tcBorders/>
            <w:shd w:fill="auto" w:val="clear"/>
            <w:vAlign w:val="center"/>
          </w:tcPr>
          <w:p>
            <w:pPr>
              <w:pStyle w:val="TableContents"/>
              <w:spacing w:before="0" w:after="0"/>
              <w:ind w:left="0" w:right="0" w:hanging="0"/>
              <w:jc w:val="center"/>
              <w:rPr/>
            </w:pPr>
            <w:r>
              <w:rPr/>
              <w:t> </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    </w:t>
            </w:r>
          </w:p>
        </w:tc>
        <w:tc>
          <w:tcPr>
            <w:tcW w:w="109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2"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pPr>
            <w:r>
              <w:rPr/>
              <w:t>  </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11,231,687</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1,967,818</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74,406,521</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87,606,026</w:t>
            </w:r>
          </w:p>
        </w:tc>
      </w:tr>
      <w:tr>
        <w:trPr/>
        <w:tc>
          <w:tcPr>
            <w:tcW w:w="2067"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893,686</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55,928,796</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pPr>
            <w:r>
              <w:rPr/>
              <w:t>—</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1,481,060</w:t>
            </w:r>
          </w:p>
        </w:tc>
        <w:tc>
          <w:tcPr>
            <w:tcW w:w="326" w:type="dxa"/>
            <w:tcBorders/>
            <w:shd w:fill="auto" w:val="clear"/>
            <w:vAlign w:val="center"/>
          </w:tcPr>
          <w:p>
            <w:pPr>
              <w:pStyle w:val="TableContents"/>
              <w:spacing w:before="0" w:after="0"/>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1,898,873</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808,648</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(4,188,581)</w:t>
            </w:r>
          </w:p>
        </w:tc>
        <w:tc>
          <w:tcPr>
            <w:tcW w:w="326" w:type="dxa"/>
            <w:tcBorders/>
            <w:shd w:fill="auto" w:val="clear"/>
            <w:vAlign w:val="center"/>
          </w:tcPr>
          <w:p>
            <w:pPr>
              <w:pStyle w:val="TableContents"/>
              <w:spacing w:before="0" w:after="0"/>
              <w:ind w:left="0" w:right="0" w:hanging="0"/>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13,606,433</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59,795,487</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75,215,169</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(61,011,063)</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87,606,026</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pPr>
            <w:r>
              <w:rPr/>
              <w:t>  </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(144,741)</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(12,099,429)</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(41,293,111)</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(17,651,675)</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(71,188,956)</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(1,837,295)</w:t>
            </w:r>
          </w:p>
        </w:tc>
        <w:tc>
          <w:tcPr>
            <w:tcW w:w="326" w:type="dxa"/>
            <w:tcBorders/>
            <w:shd w:fill="CCEEFF" w:val="clear"/>
            <w:vAlign w:val="center"/>
          </w:tcPr>
          <w:p>
            <w:pPr>
              <w:pStyle w:val="TableContents"/>
              <w:spacing w:before="0" w:after="0"/>
              <w:ind w:left="0" w:right="0" w:hanging="0"/>
              <w:rPr/>
            </w:pPr>
            <w:r>
              <w:rPr/>
              <w:t>​</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(2,182,436)</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(168,850)</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4,188,581</w:t>
            </w:r>
          </w:p>
        </w:tc>
        <w:tc>
          <w:tcPr>
            <w:tcW w:w="326" w:type="dxa"/>
            <w:tcBorders/>
            <w:shd w:fill="CCEEFF" w:val="clear"/>
            <w:vAlign w:val="center"/>
          </w:tcPr>
          <w:p>
            <w:pPr>
              <w:pStyle w:val="TableContents"/>
              <w:spacing w:before="0" w:after="0"/>
              <w:ind w:left="0" w:right="0" w:hanging="0"/>
              <w:rPr/>
            </w:pPr>
            <w:r>
              <w:rPr/>
              <w:t>​</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(144,741)</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(13,936,724)</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(43,475,547)</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(74,643,007)</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61,011,063</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(71,188,956)</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(144,741)</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(330,291)</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16,319,940</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572,162</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16,417,070</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income/(losses) from subsidiaries and VIEs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16,275,271</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16,114,107</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(52,063)</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(32,337,315)</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pPr>
            <w:r>
              <w:rPr/>
              <w:t>—</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income, net</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735,648</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1,729,248</w:t>
            </w:r>
          </w:p>
        </w:tc>
        <w:tc>
          <w:tcPr>
            <w:tcW w:w="326" w:type="dxa"/>
            <w:tcBorders/>
            <w:shd w:fill="CCEEFF" w:val="clear"/>
            <w:vAlign w:val="center"/>
          </w:tcPr>
          <w:p>
            <w:pPr>
              <w:pStyle w:val="TableContents"/>
              <w:spacing w:before="0" w:after="0"/>
              <w:ind w:left="0" w:right="0" w:hanging="0"/>
              <w:rPr/>
            </w:pPr>
            <w:r>
              <w:rPr/>
              <w:t>​</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1,898,499</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323,994</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4,687,389</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Income before tax</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16,866,178</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17,513,064</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18,166,376</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896,156</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(32,337,315)</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21,104,459</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(9,336)</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(1,533,115)</w:t>
            </w:r>
          </w:p>
        </w:tc>
        <w:tc>
          <w:tcPr>
            <w:tcW w:w="326" w:type="dxa"/>
            <w:tcBorders/>
            <w:shd w:fill="CCEEFF" w:val="clear"/>
            <w:vAlign w:val="center"/>
          </w:tcPr>
          <w:p>
            <w:pPr>
              <w:pStyle w:val="TableContents"/>
              <w:spacing w:before="0" w:after="0"/>
              <w:ind w:left="0" w:right="0" w:hanging="0"/>
              <w:rPr/>
            </w:pPr>
            <w:r>
              <w:rPr/>
              <w:t>​</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(2,313,961)</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(271,857)</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(4,128,269)</w:t>
            </w:r>
          </w:p>
        </w:tc>
      </w:tr>
      <w:tr>
        <w:trPr/>
        <w:tc>
          <w:tcPr>
            <w:tcW w:w="206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15,979,949</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15,852,415</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624,299</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(32,337,315)</w:t>
            </w:r>
          </w:p>
        </w:tc>
        <w:tc>
          <w:tcPr>
            <w:tcW w:w="326"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Less: Accretion and deemed dividends in connection with repurchase of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c>
          <w:tcPr>
            <w:tcW w:w="326" w:type="dxa"/>
            <w:tcBorders/>
            <w:shd w:fill="CCEEFF" w:val="clear"/>
            <w:vAlign w:val="center"/>
          </w:tcPr>
          <w:p>
            <w:pPr>
              <w:pStyle w:val="TableContents"/>
              <w:spacing w:before="0" w:after="0"/>
              <w:ind w:left="0" w:right="0" w:hanging="0"/>
              <w:rPr/>
            </w:pPr>
            <w:r>
              <w:rPr/>
              <w:t>​</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r>
      <w:tr>
        <w:trPr/>
        <w:tc>
          <w:tcPr>
            <w:tcW w:w="2067"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loss attributable to noncontrolling interests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27,777</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389,856</w:t>
            </w:r>
          </w:p>
        </w:tc>
        <w:tc>
          <w:tcPr>
            <w:tcW w:w="326" w:type="dxa"/>
            <w:tcBorders/>
            <w:shd w:fill="auto" w:val="clear"/>
            <w:vAlign w:val="center"/>
          </w:tcPr>
          <w:p>
            <w:pPr>
              <w:pStyle w:val="TableContents"/>
              <w:spacing w:before="0" w:after="0"/>
              <w:ind w:left="0" w:right="0" w:hanging="0"/>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417,633</w:t>
            </w:r>
          </w:p>
        </w:tc>
      </w:tr>
      <w:tr>
        <w:trPr/>
        <w:tc>
          <w:tcPr>
            <w:tcW w:w="206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15,442,968</w:t>
            </w:r>
          </w:p>
        </w:tc>
        <w:tc>
          <w:tcPr>
            <w:tcW w:w="326" w:type="dxa"/>
            <w:tcBorders/>
            <w:shd w:fill="CCEEFF" w:val="clear"/>
            <w:vAlign w:val="center"/>
          </w:tcPr>
          <w:p>
            <w:pPr>
              <w:pStyle w:val="TableContents"/>
              <w:spacing w:before="0" w:after="0"/>
              <w:ind w:left="0" w:right="0" w:hanging="0"/>
              <w:rPr/>
            </w:pPr>
            <w:r>
              <w:rPr/>
              <w:t>​</w:t>
            </w:r>
          </w:p>
        </w:tc>
        <w:tc>
          <w:tcPr>
            <w:tcW w:w="12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15,852,415</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652,076</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(31,947,459)</w:t>
            </w:r>
          </w:p>
        </w:tc>
        <w:tc>
          <w:tcPr>
            <w:tcW w:w="326" w:type="dxa"/>
            <w:tcBorders/>
            <w:shd w:fill="CCEEFF" w:val="clear"/>
            <w:vAlign w:val="center"/>
          </w:tcPr>
          <w:p>
            <w:pPr>
              <w:pStyle w:val="TableContents"/>
              <w:spacing w:before="0" w:after="0"/>
              <w:ind w:left="0" w:right="0" w:hanging="0"/>
              <w:rPr/>
            </w:pPr>
            <w:r>
              <w:rPr/>
              <w:t>​</w:t>
            </w:r>
          </w:p>
        </w:tc>
        <w:tc>
          <w:tcPr>
            <w:tcW w:w="10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16,856,842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020"/>
        <w:gridCol w:w="326"/>
        <w:gridCol w:w="920"/>
        <w:gridCol w:w="326"/>
        <w:gridCol w:w="984"/>
        <w:gridCol w:w="326"/>
        <w:gridCol w:w="1261"/>
        <w:gridCol w:w="326"/>
        <w:gridCol w:w="984"/>
        <w:gridCol w:w="326"/>
        <w:gridCol w:w="984"/>
        <w:gridCol w:w="326"/>
        <w:gridCol w:w="1096"/>
      </w:tblGrid>
      <w:tr>
        <w:trPr/>
        <w:tc>
          <w:tcPr>
            <w:tcW w:w="20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82700" cy="175260"/>
                      <wp:effectExtent l="0" t="0" r="0" b="0"/>
                      <wp:wrapNone/>
                      <wp:docPr id="190" name="Frame189"/>
                      <a:graphic xmlns:a="http://schemas.openxmlformats.org/drawingml/2006/main">
                        <a:graphicData uri="http://schemas.microsoft.com/office/word/2010/wordprocessingShape">
                          <wps:wsp>
                            <wps:cNvSpPr txBox="1"/>
                            <wps:spPr>
                              <a:xfrm>
                                <a:off x="0" y="0"/>
                                <a:ext cx="1282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84200" cy="175260"/>
                      <wp:effectExtent l="0" t="0" r="0" b="0"/>
                      <wp:wrapNone/>
                      <wp:docPr id="192" name="Frame191"/>
                      <a:graphic xmlns:a="http://schemas.openxmlformats.org/drawingml/2006/main">
                        <a:graphicData uri="http://schemas.microsoft.com/office/word/2010/wordprocessingShape">
                          <wps:wsp>
                            <wps:cNvSpPr txBox="1"/>
                            <wps:spPr>
                              <a:xfrm>
                                <a:off x="0" y="0"/>
                                <a:ext cx="584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24840" cy="175260"/>
                      <wp:effectExtent l="0" t="0" r="0" b="0"/>
                      <wp:wrapNone/>
                      <wp:docPr id="194" name="Frame193"/>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00735" cy="175260"/>
                      <wp:effectExtent l="0" t="0" r="0" b="0"/>
                      <wp:wrapNone/>
                      <wp:docPr id="196" name="Frame195"/>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24840" cy="175260"/>
                      <wp:effectExtent l="0" t="0" r="0" b="0"/>
                      <wp:wrapNone/>
                      <wp:docPr id="198" name="Frame197"/>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24840" cy="175260"/>
                      <wp:effectExtent l="0" t="0" r="0" b="0"/>
                      <wp:wrapNone/>
                      <wp:docPr id="200" name="Frame199"/>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5960" cy="175260"/>
                      <wp:effectExtent l="0" t="0" r="0" b="0"/>
                      <wp:wrapNone/>
                      <wp:docPr id="202" name="Frame201"/>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20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2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pPr>
            <w:r>
              <w:rPr/>
              <w:t>​</w:t>
            </w:r>
          </w:p>
        </w:tc>
      </w:tr>
      <w:tr>
        <w:trPr/>
        <w:tc>
          <w:tcPr>
            <w:tcW w:w="20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2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59"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  </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12,788,652</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1,157,713</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82,549,444</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96,495,809</w:t>
            </w:r>
          </w:p>
        </w:tc>
      </w:tr>
      <w:tr>
        <w:trPr/>
        <w:tc>
          <w:tcPr>
            <w:tcW w:w="202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692,337</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64,085,249</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w:t>
            </w:r>
          </w:p>
        </w:tc>
      </w:tr>
      <w:tr>
        <w:trPr/>
        <w:tc>
          <w:tcPr>
            <w:tcW w:w="202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shd w:fill="auto" w:val="clear"/>
            <w:vAlign w:val="center"/>
          </w:tcPr>
          <w:p>
            <w:pPr>
              <w:pStyle w:val="TableContents"/>
              <w:spacing w:before="0" w:after="0"/>
              <w:ind w:left="0" w:right="0" w:hanging="0"/>
              <w:rPr/>
            </w:pPr>
            <w:r>
              <w:rPr/>
              <w:t>​</w:t>
            </w:r>
          </w:p>
        </w:tc>
        <w:tc>
          <w:tcPr>
            <w:tcW w:w="9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913,644</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1,876,699</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817,962</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(3,608,305)</w:t>
            </w:r>
          </w:p>
        </w:tc>
        <w:tc>
          <w:tcPr>
            <w:tcW w:w="326" w:type="dxa"/>
            <w:tcBorders/>
            <w:shd w:fill="auto" w:val="cle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14,394,633</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67,119,661</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83,367,406</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(68,385,891)</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96,495,809</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(62,115)</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(13,477,853)</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(44,968,961)</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(18,358,287)</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(76,867,216)</w:t>
            </w:r>
          </w:p>
        </w:tc>
      </w:tr>
      <w:tr>
        <w:trPr/>
        <w:tc>
          <w:tcPr>
            <w:tcW w:w="202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r>
      <w:tr>
        <w:trPr/>
        <w:tc>
          <w:tcPr>
            <w:tcW w:w="202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spacing w:before="0" w:after="0"/>
              <w:ind w:left="0" w:right="0" w:hanging="0"/>
              <w:rPr/>
            </w:pPr>
            <w:r>
              <w:rPr/>
              <w:t>​</w:t>
            </w:r>
          </w:p>
        </w:tc>
        <w:tc>
          <w:tcPr>
            <w:tcW w:w="9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(1,822,670)</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(1,667,214)</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(185,608)</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3,675,492</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(62,115)</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(15,300,523)</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(46,636,175)</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(83,321,481)</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68,453,078</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(76,867,216)</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(62,115)</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(905,890)</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20,483,486</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45,925</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67,187</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19,628,593</w:t>
            </w:r>
          </w:p>
        </w:tc>
      </w:tr>
      <w:tr>
        <w:trPr/>
        <w:tc>
          <w:tcPr>
            <w:tcW w:w="202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income/ (losses) from subsidiaries and VIEs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24,489,042</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20,442,796</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(151,361)</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(44,780,477)</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(expenses)/ income, net</w:t>
            </w:r>
          </w:p>
        </w:tc>
        <w:tc>
          <w:tcPr>
            <w:tcW w:w="326" w:type="dxa"/>
            <w:tcBorders/>
            <w:shd w:fill="CCEEFF" w:val="clear"/>
            <w:vAlign w:val="center"/>
          </w:tcPr>
          <w:p>
            <w:pPr>
              <w:pStyle w:val="TableContents"/>
              <w:spacing w:before="0" w:after="0"/>
              <w:ind w:left="0" w:right="0" w:hanging="0"/>
              <w:rPr/>
            </w:pPr>
            <w:r>
              <w:rPr/>
              <w:t>​</w:t>
            </w:r>
          </w:p>
        </w:tc>
        <w:tc>
          <w:tcPr>
            <w:tcW w:w="9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(4,156,514)</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6,458,954</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2,334,424</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(15,193)</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4,621,671</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Income before tax</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25,995,860</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22,666,549</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30,732</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(44,713,290)</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24,250,264</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spacing w:before="0" w:after="0"/>
              <w:ind w:left="0" w:right="0" w:hanging="0"/>
              <w:rPr/>
            </w:pPr>
            <w:r>
              <w:rPr/>
              <w:t>​</w:t>
            </w:r>
          </w:p>
        </w:tc>
        <w:tc>
          <w:tcPr>
            <w:tcW w:w="9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(2,437,898)</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(2,481,879)</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(112,061)</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(5,031,838)</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23,557,962</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(81,329)</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(44,713,290)</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19,218,426</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Less: Accretion and deemed dividends in connection with repurchase of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r>
      <w:tr>
        <w:trPr/>
        <w:tc>
          <w:tcPr>
            <w:tcW w:w="202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loss attributable to noncontrolling interests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14,020</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483,268</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497,288</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from continuing operations attributable to the Company’s shareholders</w:t>
            </w:r>
          </w:p>
        </w:tc>
        <w:tc>
          <w:tcPr>
            <w:tcW w:w="326"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23,554,984</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(67,309)</w:t>
            </w:r>
          </w:p>
        </w:tc>
        <w:tc>
          <w:tcPr>
            <w:tcW w:w="326" w:type="dxa"/>
            <w:tcBorders/>
            <w:shd w:fill="CCEEFF" w:val="clear"/>
            <w:vAlign w:val="center"/>
          </w:tcPr>
          <w:p>
            <w:pPr>
              <w:pStyle w:val="TableContents"/>
              <w:spacing w:before="0" w:after="0"/>
              <w:ind w:left="0" w:right="0" w:hanging="0"/>
              <w:rPr/>
            </w:pPr>
            <w:r>
              <w:rPr/>
              <w:t>​</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(44,230,022)</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19,712,736</w:t>
            </w:r>
          </w:p>
        </w:tc>
      </w:tr>
      <w:tr>
        <w:trPr/>
        <w:tc>
          <w:tcPr>
            <w:tcW w:w="20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income from discontinued operations, net of tax</w:t>
            </w:r>
          </w:p>
        </w:tc>
        <w:tc>
          <w:tcPr>
            <w:tcW w:w="326" w:type="dxa"/>
            <w:tcBorders/>
            <w:shd w:fill="auto" w:val="clear"/>
            <w:vAlign w:val="center"/>
          </w:tcPr>
          <w:p>
            <w:pPr>
              <w:pStyle w:val="TableContents"/>
              <w:spacing w:before="0" w:after="0"/>
              <w:ind w:left="0" w:right="0" w:hanging="0"/>
              <w:rPr/>
            </w:pPr>
            <w:r>
              <w:rPr/>
              <w:t>​</w:t>
            </w:r>
          </w:p>
        </w:tc>
        <w:tc>
          <w:tcPr>
            <w:tcW w:w="9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r>
      <w:tr>
        <w:trPr/>
        <w:tc>
          <w:tcPr>
            <w:tcW w:w="20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spacing w:before="0" w:after="0"/>
              <w:ind w:left="0" w:right="0" w:hanging="0"/>
              <w:rPr/>
            </w:pPr>
            <w:r>
              <w:rPr/>
              <w:t>​</w:t>
            </w:r>
          </w:p>
        </w:tc>
        <w:tc>
          <w:tcPr>
            <w:tcW w:w="9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24,179,848</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(67,309)</w:t>
            </w:r>
          </w:p>
        </w:tc>
        <w:tc>
          <w:tcPr>
            <w:tcW w:w="326" w:type="dxa"/>
            <w:tcBorders/>
            <w:shd w:fill="CCEEFF" w:val="clear"/>
            <w:vAlign w:val="center"/>
          </w:tcPr>
          <w:p>
            <w:pPr>
              <w:pStyle w:val="TableContents"/>
              <w:spacing w:before="0" w:after="0"/>
              <w:ind w:left="0" w:right="0" w:hanging="0"/>
              <w:rPr/>
            </w:pPr>
            <w:r>
              <w:rPr/>
              <w:t>​</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(44,230,022)</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20,337,600</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70000" cy="175260"/>
                      <wp:effectExtent l="0" t="0" r="0" b="0"/>
                      <wp:wrapNone/>
                      <wp:docPr id="203" name="Frame202"/>
                      <a:graphic xmlns:a="http://schemas.openxmlformats.org/drawingml/2006/main">
                        <a:graphicData uri="http://schemas.microsoft.com/office/word/2010/wordprocessingShape">
                          <wps:wsp>
                            <wps:cNvSpPr txBox="1"/>
                            <wps:spPr>
                              <a:xfrm>
                                <a:off x="0" y="0"/>
                                <a:ext cx="1270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24840" cy="175260"/>
                      <wp:effectExtent l="0" t="0" r="0" b="0"/>
                      <wp:wrapNone/>
                      <wp:docPr id="205" name="Frame204"/>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24840" cy="175260"/>
                      <wp:effectExtent l="0" t="0" r="0" b="0"/>
                      <wp:wrapNone/>
                      <wp:docPr id="207" name="Frame206"/>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8"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72160" cy="175260"/>
                      <wp:effectExtent l="0" t="0" r="0" b="0"/>
                      <wp:wrapNone/>
                      <wp:docPr id="209" name="Frame208"/>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24840" cy="175260"/>
                      <wp:effectExtent l="0" t="0" r="0" b="0"/>
                      <wp:wrapNone/>
                      <wp:docPr id="211" name="Frame210"/>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24840" cy="175260"/>
                      <wp:effectExtent l="0" t="0" r="0" b="0"/>
                      <wp:wrapNone/>
                      <wp:docPr id="213" name="Frame212"/>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6595" cy="175260"/>
                      <wp:effectExtent l="0" t="0" r="0" b="0"/>
                      <wp:wrapNone/>
                      <wp:docPr id="215" name="Frame214"/>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7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2020</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79"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(194,942)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1,635,791</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(28,158,415)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51,605,737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24,888,171</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615,848</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48,819,494</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(49,435,342)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16,740,894</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211,397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(16,952,291)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other transactions with intra-Group companies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6,262</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(491,951)</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984,627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(498,938)</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(used in)/provided by operating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(188,680)</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18,500,582</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21,857,103</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1,671,457</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(16,952,291)</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24,888,171</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140,132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(23,391,441)</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(5,677,332)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(263,766)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(29,192,407)</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(22,462,321)</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(10,430,181)</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(1,281,500)</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34,174,002</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15,063,738</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10,483,515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312,641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(25,859,894)</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(26,582)</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(1,775,904)</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(143,200)</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1,945,686</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(used in)/ provided by investing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(7,285,033)</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(25,114,011)</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(6,789,391)</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(263,766)</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10,259,794</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(29,192,407)</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8,382,233</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1,530,854</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9,913,087</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(211,397)</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(16,740,894)</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16,952,291</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8,584,139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23,471,981</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1,781,549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336,333</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(34,174,002)</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(9,648,833)</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(15,303,935)</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(834,682)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(72,444)</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25,859,894</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159,825</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1,775,861</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(1,945,686)</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7,317,539</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9,647,328</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(14,018,166)</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273,889</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6,692,497</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9,913,087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70000" cy="175260"/>
                      <wp:effectExtent l="0" t="0" r="0" b="0"/>
                      <wp:wrapNone/>
                      <wp:docPr id="216" name="Frame215"/>
                      <a:graphic xmlns:a="http://schemas.openxmlformats.org/drawingml/2006/main">
                        <a:graphicData uri="http://schemas.microsoft.com/office/word/2010/wordprocessingShape">
                          <wps:wsp>
                            <wps:cNvSpPr txBox="1"/>
                            <wps:spPr>
                              <a:xfrm>
                                <a:off x="0" y="0"/>
                                <a:ext cx="1270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24840" cy="175260"/>
                      <wp:effectExtent l="0" t="0" r="0" b="0"/>
                      <wp:wrapNone/>
                      <wp:docPr id="218" name="Frame217"/>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24840" cy="175260"/>
                      <wp:effectExtent l="0" t="0" r="0" b="0"/>
                      <wp:wrapNone/>
                      <wp:docPr id="220" name="Frame219"/>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72160" cy="175260"/>
                      <wp:effectExtent l="0" t="0" r="0" b="0"/>
                      <wp:wrapNone/>
                      <wp:docPr id="222" name="Frame221"/>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24840" cy="175260"/>
                      <wp:effectExtent l="0" t="0" r="0" b="0"/>
                      <wp:wrapNone/>
                      <wp:docPr id="224" name="Frame223"/>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24840" cy="175260"/>
                      <wp:effectExtent l="0" t="0" r="0" b="0"/>
                      <wp:wrapNone/>
                      <wp:docPr id="226" name="Frame225"/>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6595" cy="175260"/>
                      <wp:effectExtent l="0" t="0" r="0" b="0"/>
                      <wp:wrapNone/>
                      <wp:docPr id="228" name="Frame227"/>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7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79"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(117,844)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221,977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(36,449,437)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61,272,031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24,926,727</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1,070,594</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58,368,958</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(59,439,552)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731,250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6,510,526</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(7,241,776)</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 provided by other transactions with intra-Group companies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(381)</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87,037</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196,965</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(283,621)</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613,025</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7,890,134</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22,116,486</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1,548,858</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(7,241,776)</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24,926,727</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127,015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4,315,478</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(11,481,357)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(39,430)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(7,078,294)</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(5,549,688)</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(21,611,930)</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(783,842)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27,945,460</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8,730,730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6,749,175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272,944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(15,752,849)</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(1,307,026)</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(604,322)</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(4,600)</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1,915,948</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2,001,031</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(11,151,599)</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(11,996,855)</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(39,430)</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14,108,559</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(7,078,294)</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(15,854,237)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3,246,955</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(678,287)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(12,585,569)</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(6,510,526)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(731,250)</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7,241,776</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19,965,792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6,137,790</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1,646,137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195,741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(27,945,460)</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(6,749,175)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(8,916,374)</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(87,300)</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15,752,849</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1,311,504</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604,444</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(1,915,948)</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(2,637,620)</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1,779,875</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(3,559,945)</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(1,301,096)</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(6,866,783)</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(12,585,569)</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70000" cy="175260"/>
                      <wp:effectExtent l="0" t="0" r="0" b="0"/>
                      <wp:wrapNone/>
                      <wp:docPr id="229" name="Frame228"/>
                      <a:graphic xmlns:a="http://schemas.openxmlformats.org/drawingml/2006/main">
                        <a:graphicData uri="http://schemas.microsoft.com/office/word/2010/wordprocessingShape">
                          <wps:wsp>
                            <wps:cNvSpPr txBox="1"/>
                            <wps:spPr>
                              <a:xfrm>
                                <a:off x="0" y="0"/>
                                <a:ext cx="1270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24840" cy="175260"/>
                      <wp:effectExtent l="0" t="0" r="0" b="0"/>
                      <wp:wrapNone/>
                      <wp:docPr id="231" name="Frame230"/>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24840" cy="175260"/>
                      <wp:effectExtent l="0" t="0" r="0" b="0"/>
                      <wp:wrapNone/>
                      <wp:docPr id="233" name="Frame232"/>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72160" cy="175260"/>
                      <wp:effectExtent l="0" t="0" r="0" b="0"/>
                      <wp:wrapNone/>
                      <wp:docPr id="235" name="Frame234"/>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24840" cy="175260"/>
                      <wp:effectExtent l="0" t="0" r="0" b="0"/>
                      <wp:wrapNone/>
                      <wp:docPr id="237" name="Frame236"/>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24840" cy="175260"/>
                      <wp:effectExtent l="0" t="0" r="0" b="0"/>
                      <wp:wrapNone/>
                      <wp:docPr id="239" name="Frame238"/>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6595" cy="175260"/>
                      <wp:effectExtent l="0" t="0" r="0" b="0"/>
                      <wp:wrapNone/>
                      <wp:docPr id="241" name="Frame240"/>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7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shd w:fill="auto" w:val="clear"/>
            <w:vAlign w:val="center"/>
          </w:tcPr>
          <w:p>
            <w:pPr>
              <w:pStyle w:val="TableContents"/>
              <w:spacing w:before="0" w:after="0"/>
              <w:ind w:left="0" w:right="0" w:hanging="0"/>
              <w:jc w:val="center"/>
              <w:rPr/>
            </w:pPr>
            <w:r>
              <w:rPr/>
              <w:t>    </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79" w:type="dxa"/>
            <w:gridSpan w:val="11"/>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(255,519)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707,587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(40,202,699)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67,459,864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27,709,233</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820,545</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66,150,273</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(66,970,818)</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other transactions with intra-Group companies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2,893</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(3,478,205)</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3,175,860</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299,452</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(252,626)</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27,144,898</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29,123,434</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788,498</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(29,094,971)</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27,709,233</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(10,434,166)</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3,136,494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(71,832)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(7,369,727)</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(6,013,061)</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(33,737,997)</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(1,356,487)</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41,107,545</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2,501,060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8,292,517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668,856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(11,462,433)</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(1,912)</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(31,000)</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32,912</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(used in)/ provided by investing activities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(3,512,224)</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(35,881,558)</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2,417,863</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(71,832)</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29,678,024</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(7,369,727)</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(21,326,822)</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6,636,050</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4,505,614</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(52,541)</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(10,237,699)</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33,461,057</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7,168,199</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276,940</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201,349</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(41,107,545)</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(8,292,517)</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(2,862,847)</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(306,797)</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11,462,433</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000"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31,000</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1,912</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(32,912)</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00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by/(used in) financing activities</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3,841,718</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10,972,402</w:t>
            </w:r>
          </w:p>
        </w:tc>
        <w:tc>
          <w:tcPr>
            <w:tcW w:w="326" w:type="dxa"/>
            <w:tcBorders/>
            <w:shd w:fill="CCEEFF" w:val="clear"/>
            <w:vAlign w:val="center"/>
          </w:tcPr>
          <w:p>
            <w:pPr>
              <w:pStyle w:val="TableContents"/>
              <w:spacing w:before="0" w:after="0"/>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(24,310,777)</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(157,989)</w:t>
            </w:r>
          </w:p>
        </w:tc>
        <w:tc>
          <w:tcPr>
            <w:tcW w:w="326" w:type="dxa"/>
            <w:tcBorders/>
            <w:shd w:fill="CCEEFF" w:val="clear"/>
            <w:vAlign w:val="center"/>
          </w:tcPr>
          <w:p>
            <w:pPr>
              <w:pStyle w:val="TableContents"/>
              <w:spacing w:before="0" w:after="0"/>
              <w:ind w:left="0" w:right="0" w:hanging="0"/>
              <w:rPr/>
            </w:pPr>
            <w:r>
              <w:rPr/>
              <w:t> </w:t>
            </w:r>
          </w:p>
        </w:tc>
        <w:tc>
          <w:tcPr>
            <w:tcW w:w="9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(583,053)</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(10,237,699)</w:t>
            </w:r>
          </w:p>
        </w:tc>
      </w:tr>
    </w:tbl>
    <w:p>
      <w:pPr>
        <w:pStyle w:val="TextBody"/>
        <w:spacing w:before="0" w:after="120"/>
        <w:ind w:left="0" w:right="0" w:hanging="0"/>
        <w:rPr>
          <w:rFonts w:ascii="Times New Roman;Times;serif" w:hAnsi="Times New Roman;Times;serif"/>
          <w:sz w:val="16"/>
        </w:rPr>
      </w:pPr>
      <w:r>
        <w:rPr>
          <w:rFonts w:ascii="Times New Roman;Times;serif" w:hAnsi="Times New Roman;Times;serif"/>
          <w:sz w:val="16"/>
        </w:rPr>
        <w:t>Note:</w:t>
      </w:r>
    </w:p>
    <w:tbl>
      <w:tblPr>
        <w:tblW w:w="10205" w:type="dxa"/>
        <w:jc w:val="left"/>
        <w:tblInd w:w="0" w:type="dxa"/>
        <w:tblCellMar>
          <w:top w:w="28" w:type="dxa"/>
          <w:left w:w="28" w:type="dxa"/>
          <w:bottom w:w="28" w:type="dxa"/>
          <w:right w:w="28" w:type="dxa"/>
        </w:tblCellMar>
      </w:tblPr>
      <w:tblGrid>
        <w:gridCol w:w="124"/>
        <w:gridCol w:w="308"/>
        <w:gridCol w:w="9773"/>
      </w:tblGrid>
      <w:tr>
        <w:trPr/>
        <w:tc>
          <w:tcPr>
            <w:tcW w:w="12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77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intercompany balances among NetEase, Inc., other subsidiaries, primary beneficiary of VIEs, and VIEs and their subsidiaries.</w:t>
            </w:r>
          </w:p>
        </w:tc>
      </w:tr>
    </w:tbl>
    <w:tbl>
      <w:tblPr>
        <w:tblW w:w="10205" w:type="dxa"/>
        <w:jc w:val="left"/>
        <w:tblInd w:w="0" w:type="dxa"/>
        <w:tblCellMar>
          <w:top w:w="28" w:type="dxa"/>
          <w:left w:w="28" w:type="dxa"/>
          <w:bottom w:w="28" w:type="dxa"/>
          <w:right w:w="28" w:type="dxa"/>
        </w:tblCellMar>
      </w:tblPr>
      <w:tblGrid>
        <w:gridCol w:w="124"/>
        <w:gridCol w:w="311"/>
        <w:gridCol w:w="9770"/>
      </w:tblGrid>
      <w:tr>
        <w:trPr/>
        <w:tc>
          <w:tcPr>
            <w:tcW w:w="12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77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the investments among NetEase, Inc., other subsidiaries, primary beneficiary of VIEs, and VIEs and their subsidiaries.</w:t>
            </w:r>
          </w:p>
        </w:tc>
      </w:tr>
    </w:tbl>
    <w:tbl>
      <w:tblPr>
        <w:tblW w:w="9111" w:type="dxa"/>
        <w:jc w:val="left"/>
        <w:tblInd w:w="0" w:type="dxa"/>
        <w:tblCellMar>
          <w:top w:w="28" w:type="dxa"/>
          <w:left w:w="28" w:type="dxa"/>
          <w:bottom w:w="28" w:type="dxa"/>
          <w:right w:w="28" w:type="dxa"/>
        </w:tblCellMar>
      </w:tblPr>
      <w:tblGrid>
        <w:gridCol w:w="124"/>
        <w:gridCol w:w="31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(3)</w:t>
            </w:r>
          </w:p>
        </w:tc>
        <w:tc>
          <w:tcPr>
            <w:tcW w:w="8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the intercompany technical consulting and related service charges at the consolidation level.</w:t>
            </w:r>
          </w:p>
        </w:tc>
      </w:tr>
    </w:tbl>
    <w:tbl>
      <w:tblPr>
        <w:tblW w:w="6831" w:type="dxa"/>
        <w:jc w:val="left"/>
        <w:tblInd w:w="0" w:type="dxa"/>
        <w:tblCellMar>
          <w:top w:w="28" w:type="dxa"/>
          <w:left w:w="28" w:type="dxa"/>
          <w:bottom w:w="28" w:type="dxa"/>
          <w:right w:w="28" w:type="dxa"/>
        </w:tblCellMar>
      </w:tblPr>
      <w:tblGrid>
        <w:gridCol w:w="124"/>
        <w:gridCol w:w="316"/>
        <w:gridCol w:w="639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w:t>
            </w:r>
          </w:p>
        </w:tc>
        <w:tc>
          <w:tcPr>
            <w:tcW w:w="6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the other intercompany activities at the consolidation level.</w:t>
            </w:r>
          </w:p>
        </w:tc>
      </w:tr>
    </w:tbl>
    <w:tbl>
      <w:tblPr>
        <w:tblW w:w="6141" w:type="dxa"/>
        <w:jc w:val="left"/>
        <w:tblInd w:w="0" w:type="dxa"/>
        <w:tblCellMar>
          <w:top w:w="28" w:type="dxa"/>
          <w:left w:w="28" w:type="dxa"/>
          <w:bottom w:w="28" w:type="dxa"/>
          <w:right w:w="28" w:type="dxa"/>
        </w:tblCellMar>
      </w:tblPr>
      <w:tblGrid>
        <w:gridCol w:w="124"/>
        <w:gridCol w:w="316"/>
        <w:gridCol w:w="57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(5)</w:t>
            </w:r>
          </w:p>
        </w:tc>
        <w:tc>
          <w:tcPr>
            <w:tcW w:w="5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the dividends payment at the consolidation level.</w:t>
            </w:r>
          </w:p>
        </w:tc>
      </w:tr>
    </w:tbl>
    <w:tbl>
      <w:tblPr>
        <w:tblW w:w="10205" w:type="dxa"/>
        <w:jc w:val="left"/>
        <w:tblInd w:w="0" w:type="dxa"/>
        <w:tblCellMar>
          <w:top w:w="28" w:type="dxa"/>
          <w:left w:w="28" w:type="dxa"/>
          <w:bottom w:w="28" w:type="dxa"/>
          <w:right w:w="28" w:type="dxa"/>
        </w:tblCellMar>
      </w:tblPr>
      <w:tblGrid>
        <w:gridCol w:w="124"/>
        <w:gridCol w:w="303"/>
        <w:gridCol w:w="9778"/>
      </w:tblGrid>
      <w:tr>
        <w:trPr/>
        <w:tc>
          <w:tcPr>
            <w:tcW w:w="12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(6)</w:t>
            </w:r>
          </w:p>
        </w:tc>
        <w:tc>
          <w:tcPr>
            <w:tcW w:w="977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intra-Group loans related cash activities among NetEase, Inc., other subsidiaries, primary beneficiary of VIEs, and VIEs and their subsidiaries.</w:t>
            </w:r>
          </w:p>
        </w:tc>
      </w:tr>
    </w:tbl>
    <w:tbl>
      <w:tblPr>
        <w:tblW w:w="10205" w:type="dxa"/>
        <w:jc w:val="left"/>
        <w:tblInd w:w="0" w:type="dxa"/>
        <w:tblCellMar>
          <w:top w:w="28" w:type="dxa"/>
          <w:left w:w="28" w:type="dxa"/>
          <w:bottom w:w="28" w:type="dxa"/>
          <w:right w:w="28" w:type="dxa"/>
        </w:tblCellMar>
      </w:tblPr>
      <w:tblGrid>
        <w:gridCol w:w="124"/>
        <w:gridCol w:w="303"/>
        <w:gridCol w:w="9778"/>
      </w:tblGrid>
      <w:tr>
        <w:trPr/>
        <w:tc>
          <w:tcPr>
            <w:tcW w:w="12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(7)</w:t>
            </w:r>
          </w:p>
        </w:tc>
        <w:tc>
          <w:tcPr>
            <w:tcW w:w="977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represents the elimination of other investing and financing activities among NetEase, Inc., other subsidiaries, primary beneficiary of VIEs, and VIEs and their subsidiaries.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Restrictions on Foreign Exchange and the Ability to Transfer Cash between Entities, Across Borders and to U.S. Investors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NetEase, Inc.’s ability to pay dividends, if any, to its shareholders and ADS holders and to service any debt it may incur will depend upon dividends paid by our China mainland subsidiaries. See “—Management of Capital Resources” above.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certain procedural requirements are satisfied, the payment of current account items, including profit distributions and trade and service-related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China mainland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In addition, our China mainland subsidiaries are required to make appropriations to certain statutory reserve funds, which are not distributable as cash dividends except in the event of a solvent liquidation of the companies.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PRC and United States federal income tax consideration of an investment in the ADSs, see Item 10.E. “Additional Information—Taxation.”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Patents and Licenses, etc.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games and related value-added services. We will seek to continually improve and enhance our existing services to respond to rapidly evolving competitive and technological conditions. For the years 2020, 2021 and 2022, we spent RMB10,369.4 million, RMB14,076.0 million and RMB15,039.0 million (US$2,180.5 million), respectively, on research and development activities.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Trend Information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 xml:space="preserve">Critical Accounting Estimates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our consolidated financial statements requires our management to make estimates and assumptions that affect the amounts reported in the consolidated financial statements, which have been prepared in accordance with United States of America generally accepted accounting principles (“U.S. GAAP”).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detailed discussion of our significant accounting policies and related judgments, please see “Notes to the Consolidated Financial Statements—Note 2 Principal Accounting Policies.” You should read the following description of critical accounting estimates in conjunction with our consolidated financial statements and other disclosures included in this annual report.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Estimate of average playing period of paying players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mobile games and PC games. We are the principal of substantially all games we operate, including both in-house developed games and licensed games. As all these games are hosted on our servers, we have the pricing discretion, and are responsible for the sale and marketing of the games as well as any related customer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Most of our game revenues are generated from the sale of in-game virtual items and revenues of certain online games in-game virtual items are recognized ratably over the respective estimated average playing period of paying players in these games.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Estimates Required – average playing period of paying players. The average playing period of paying player is subjected to period assessment. Considering the events or circumstances may change that indicate the change of the estimate, we assessed the average playing period of paying player on a quarterly basis. We make a qualitative and quantitative assessment to determine the average playing period of paying players for each game. If a qualitative and quantitative assessment identifies the change of the average playing period of paying players based on newly available paying players information, we may prospectively apply the change of estimate.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Used. Changes in assumptions or estimates can materially affect average playing period of paying players and, therefore, can affect the test results. The following are key assumptions we use in making the average playing period of paying player for each game: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Players’ churn rates. A churn rate is calculated starting from the point-in-time when related in-game virtual items are delivered to the paying players’ accounts and track populations of paying players who made their initial purchases during the interval period (the “Cohort”). Then, we track the number of paying players from each Cohort who left subsequent to their initial purchase. We make assumptions about the future players’ churn rate to the ending point of a paying player’s lifespan beyond the date for which we observed and extrapolate the actual observed churn rate to arrive at an estimated weighted average playing period for paying players of the selected games.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Similarities between new games and existing games. We make assumption regarding similarities between new games and existing games with sufficient historical data. These assumptions include, but not limited to types of games and characteristics of targeted players.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our periodic reviews of the estimate, the assumptions are evaluated accordingly considering historical players’ churn rates, similarities between new games and existing games and management judgment. Updates to these assumptions will impact the estimate of average playing period of paying players and the revenue recognized accordingly. If the estimate of average playing period of paying players is extended, the revenue will be recognized over a longer period and vice versa. See Note 2(c)(i) of the Notes to the Consolidated Financial Statements for more information.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Impairment of long-term investments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investments in common stock or in-substance commons stocks issued by privately-held companies over which we did not have significant influence, and investments in privately-held companies’ shares that are not common stock or in-substance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issuer(referred to as Measurement Alternative).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in common stock or in-substance common stock of investees and limited-partnership investments in which we are in a position to exercise significant influence by participating in, but not controlling or jointly controlling, the financial and operating policies are accounted for using the equity method.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Nature of Estimates Required – Impairment assessment of equity method investments and long-term equity investments without readily determinable fair values.</w:t>
      </w:r>
      <w:r>
        <w:rPr>
          <w:rFonts w:ascii="Times New Roman;Times;serif" w:hAnsi="Times New Roman;Times;serif"/>
          <w:sz w:val="20"/>
        </w:rPr>
        <w:t xml:space="preserve"> We regularly evaluate the impairment of the investments in equity method investments and privately-held companies without readily determinable fair value periodically or when events or circumstances indicate that the carrying amount may not be recoverable. For equity method investments, we consider an investment impaired when events or circumstances suggest the carrying amount may not be recoverable.  For equity investments without readily determinable fair value for which we have elected to use the measurement alternative, we make a qualitative assessment of whether the investment is impaired periodically, or when events or circumstances indicate that the carrying amount may not be recoverable, applying significant judgement in considering various events and factors.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and Approach Used – Impairment assessment.</w:t>
      </w:r>
      <w:r>
        <w:rPr>
          <w:rFonts w:ascii="Times New Roman;Times;serif" w:hAnsi="Times New Roman;Times;serif"/>
          <w:sz w:val="20"/>
        </w:rPr>
        <w:t xml:space="preserve"> The approach we used to assess investment impairment are based on assumptions and management judgement in considering various factors and events. The events or circumstances and factors we consider for the impairment assessment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Many of the factors used in assessing performance and financial position of the investee are outside the control of management, and these assumptions and judgement may change in future periods.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and Approach Used – Fair value of the investees.</w:t>
      </w:r>
      <w:r>
        <w:rPr>
          <w:rFonts w:ascii="Times New Roman;Times;serif" w:hAnsi="Times New Roman;Times;serif"/>
          <w:sz w:val="20"/>
        </w:rPr>
        <w:t xml:space="preserve"> If the assessment indicates that there’s impairment indicator, we estimate the investment’s fair value in accordance with the principles of ASC 820. We measure the fair value of the investees considering the severity and duration of the impairment indicator and the existence of any positive or mitigating factors or based on income approach or market approach.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Income approach uses cash flow projections. Inherent in the investees’ development of cash flow projections are assumptions and estimates derived from a review of the investees’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approach is another method for measuring the fair value of the investment which relies on the market value (i.e., market capitalization) of companies that are engaged in the same or similar investment of investees being evaluated. In addition, to the extent available we also consider third-party valuations that were prepared for other business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used in Income Approach:</w:t>
      </w:r>
      <w:r>
        <w:rPr>
          <w:rFonts w:ascii="Times New Roman;Times;serif" w:hAnsi="Times New Roman;Times;serif"/>
          <w:sz w:val="20"/>
        </w:rPr>
        <w:t xml:space="preserve"> The following are key assumptions we use in making cash flow projections: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Business projections.</w:t>
            </w:r>
            <w:r>
              <w:rPr>
                <w:caps w:val="false"/>
                <w:smallCaps w:val="false"/>
              </w:rPr>
              <w:t xml:space="preserve"> </w:t>
            </w:r>
            <w:r>
              <w:rPr>
                <w:rFonts w:ascii="Times New Roman;Times;serif" w:hAnsi="Times New Roman;Times;serif"/>
                <w:b w:val="false"/>
                <w:i w:val="false"/>
                <w:caps w:val="false"/>
                <w:smallCaps w:val="false"/>
                <w:sz w:val="20"/>
              </w:rPr>
              <w:t>We make assumptions about the investees’ business in the marketplace. These assumptions drive our planning assumptions for each revenue streams. We also make assumptions about cost levels (e.g., capacity utilization, cost performance). These projections are derived using investees’ business plan forecasts.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Long-term growth rate.</w:t>
            </w:r>
            <w:r>
              <w:rPr>
                <w:caps w:val="false"/>
                <w:smallCaps w:val="false"/>
              </w:rPr>
              <w:t xml:space="preserve"> </w:t>
            </w:r>
            <w:r>
              <w:rPr>
                <w:rFonts w:ascii="Times New Roman;Times;serif" w:hAnsi="Times New Roman;Times;serif"/>
                <w:b w:val="false"/>
                <w:i w:val="false"/>
                <w:caps w:val="false"/>
                <w:smallCaps w:val="false"/>
                <w:sz w:val="20"/>
              </w:rPr>
              <w:t>A growth rate is used to calculate the terminal value of the business and is added to the present value of the debt-free interim cash flows. The growth rate is the expected rate at which the investees’ business unit’s earnings stream is projected to grow beyond the planning period.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Discount rate.</w:t>
            </w:r>
            <w:r>
              <w:rPr>
                <w:caps w:val="false"/>
                <w:smallCaps w:val="false"/>
              </w:rPr>
              <w:t xml:space="preserve"> </w:t>
            </w:r>
            <w:r>
              <w:rPr>
                <w:rFonts w:ascii="Times New Roman;Times;serif" w:hAnsi="Times New Roman;Times;serif"/>
                <w:b w:val="false"/>
                <w:i w:val="false"/>
                <w:caps w:val="false"/>
                <w:smallCaps w:val="false"/>
                <w:sz w:val="20"/>
              </w:rPr>
              <w:t>When measuring possible impairment, future cash flows are discounted at a rate that is consistent with a weighted-average cost of capital that we anticipate a potential market participant would use. Weighted-average cost of capital is an estimate of the overall risk-adjusted pre-tax rate of return expected by equity and debt holders of a business enterprise.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Economic projections.</w:t>
            </w:r>
            <w:r>
              <w:rPr>
                <w:caps w:val="false"/>
                <w:smallCaps w:val="false"/>
              </w:rPr>
              <w:t xml:space="preserve"> </w:t>
            </w:r>
            <w:r>
              <w:rPr>
                <w:rFonts w:ascii="Times New Roman;Times;serif" w:hAnsi="Times New Roman;Times;serif"/>
                <w:b w:val="false"/>
                <w:i w:val="false"/>
                <w:caps w:val="false"/>
                <w:smallCaps w:val="false"/>
                <w:sz w:val="20"/>
              </w:rPr>
              <w:t>Assumptions regarding general economic conditions are included in and affect our assumptions regarding industry sales and pricing estimates for the investees’ business. These macroeconomic assumptions include, but are not limited to, regulatory, economic, or technological development, inflation, interest rates, customer preference, and foreign currency exchange rates.</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 xml:space="preserve">Assumptions used in Market Approach: </w:t>
      </w:r>
      <w:r>
        <w:rPr>
          <w:rFonts w:ascii="Times New Roman;Times;serif" w:hAnsi="Times New Roman;Times;serif"/>
          <w:sz w:val="20"/>
        </w:rPr>
        <w:t>The following are key assumptions we use in market approach:</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Selection of comparable companies and multiples.</w:t>
            </w:r>
            <w:r>
              <w:rPr>
                <w:caps w:val="false"/>
                <w:smallCaps w:val="false"/>
              </w:rPr>
              <w:t xml:space="preserve"> </w:t>
            </w:r>
            <w:r>
              <w:rPr>
                <w:rFonts w:ascii="Times New Roman;Times;serif" w:hAnsi="Times New Roman;Times;serif"/>
                <w:b w:val="false"/>
                <w:i w:val="false"/>
                <w:caps w:val="false"/>
                <w:smallCaps w:val="false"/>
                <w:sz w:val="20"/>
              </w:rPr>
              <w:t xml:space="preserve">We make selection of listed comparable companies and appropriate multiples by taking into account of the main businesses, the scale and the business performance, development stage, product mix, financial position of these companies and the investees.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Timing and probabilities of different scenarios.</w:t>
            </w:r>
            <w:r>
              <w:rPr>
                <w:caps w:val="false"/>
                <w:smallCaps w:val="false"/>
              </w:rPr>
              <w:t xml:space="preserve"> </w:t>
            </w:r>
            <w:r>
              <w:rPr>
                <w:rFonts w:ascii="Times New Roman;Times;serif" w:hAnsi="Times New Roman;Times;serif"/>
                <w:b w:val="false"/>
                <w:i w:val="false"/>
                <w:caps w:val="false"/>
                <w:smallCaps w:val="false"/>
                <w:sz w:val="20"/>
              </w:rPr>
              <w:t xml:space="preserve">Timing and probabilities of different scenarios such as redemption, liquidation and IPO are based on our best estimate.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Estimated volatility rate.</w:t>
            </w:r>
            <w:r>
              <w:rPr>
                <w:caps w:val="false"/>
                <w:smallCaps w:val="false"/>
              </w:rPr>
              <w:t xml:space="preserve"> </w:t>
            </w:r>
            <w:r>
              <w:rPr>
                <w:rFonts w:ascii="Times New Roman;Times;serif" w:hAnsi="Times New Roman;Times;serif"/>
                <w:b w:val="false"/>
                <w:i w:val="false"/>
                <w:caps w:val="false"/>
                <w:smallCaps w:val="false"/>
                <w:sz w:val="20"/>
              </w:rPr>
              <w:t>Estimated volatility rate was estimated based on annualized standard deviation of the daily return embedded in historical stock prices of comparable companies with a time horizon close to the expected term.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Risk-free rate.</w:t>
            </w:r>
            <w:r>
              <w:rPr>
                <w:caps w:val="false"/>
                <w:smallCaps w:val="false"/>
              </w:rPr>
              <w:t xml:space="preserve"> </w:t>
            </w:r>
            <w:r>
              <w:rPr>
                <w:rFonts w:ascii="Times New Roman;Times;serif" w:hAnsi="Times New Roman;Times;serif"/>
                <w:b w:val="false"/>
                <w:i w:val="false"/>
                <w:caps w:val="false"/>
                <w:smallCaps w:val="false"/>
                <w:sz w:val="20"/>
              </w:rPr>
              <w:t>We determined the risk-free rate based on the interest rate of different government bonds with a time horizon close to expected term. The selections of government bonds are made mainly based on the financing currency of the investee and the country where the main operation of the investee take place.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Discount for lack of marketability (“DLOM”).</w:t>
            </w:r>
            <w:r>
              <w:rPr>
                <w:caps w:val="false"/>
                <w:smallCaps w:val="false"/>
              </w:rPr>
              <w:t xml:space="preserve"> </w:t>
            </w:r>
            <w:r>
              <w:rPr>
                <w:rFonts w:ascii="Times New Roman;Times;serif" w:hAnsi="Times New Roman;Times;serif"/>
                <w:b w:val="false"/>
                <w:i w:val="false"/>
                <w:caps w:val="false"/>
                <w:smallCaps w:val="false"/>
                <w:sz w:val="20"/>
              </w:rPr>
              <w:t>The DLOM was estimated based on the option-pricing method. Under this method, the cost of put option, which can hedge the price change before the privately held share can be sold, was considered as a basis to determine the lack of marketability discount.</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equity method investments, we recognize the impairment charge in the consolidated statements of operations and comprehensive income for a decline in value that is determined to be other than temporary. For long-term equity investments without readily determinable fair values, we record an impairment in the consolidated statements of operations and comprehensive income to the extent the carrying amount exceeds the fair value. To make judgements as to whether a decline in value of equity method investments was other than temporary, we mainly consider the length of time and the extent to which the market value has been less than cost and the financial condition and near-term prospects of the investee.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assumptions or estimates can materially affect the fair value measurement of the investment and, therefore, can affect the test results. For the year ended December 31, 2022, totally RMB300.9 million investment impairment were charged. See Note 11 of Notes to the Consolidated Financial Statements for more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3" w:name="Item6DirectorsSeniorManagementandEmploye"/>
      <w:bookmarkStart w:id="74" w:name="_9c23971f_7b08_4f49_b101_e6f8b03b4e28"/>
      <w:bookmarkEnd w:id="73"/>
      <w:bookmarkEnd w:id="74"/>
      <w:r>
        <w:rPr>
          <w:rFonts w:ascii="Times New Roman;Times;serif" w:hAnsi="Times New Roman;Times;serif"/>
          <w:b/>
          <w:sz w:val="20"/>
        </w:rPr>
        <w:t>Item 6.   Directors, Senior Management and Employees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Directors and Senior Management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names of our directors and executive officers, their ages as of March 31, 2023 and the principal positions with NetEase held by them are as follows:</w:t>
      </w:r>
    </w:p>
    <w:p>
      <w:pPr>
        <w:pStyle w:val="TextBody"/>
        <w:spacing w:before="0" w:after="0"/>
        <w:ind w:left="0" w:right="0" w:hanging="0"/>
        <w:rPr/>
      </w:pPr>
      <w:r>
        <w:rPr/>
        <w:t>​</w:t>
      </w:r>
    </w:p>
    <w:tbl>
      <w:tblPr>
        <w:tblW w:w="6295" w:type="dxa"/>
        <w:jc w:val="left"/>
        <w:tblInd w:w="0" w:type="dxa"/>
        <w:tblCellMar>
          <w:top w:w="0" w:type="dxa"/>
          <w:left w:w="0" w:type="dxa"/>
          <w:bottom w:w="0" w:type="dxa"/>
          <w:right w:w="0" w:type="dxa"/>
        </w:tblCellMar>
      </w:tblPr>
      <w:tblGrid>
        <w:gridCol w:w="2131"/>
        <w:gridCol w:w="326"/>
        <w:gridCol w:w="391"/>
        <w:gridCol w:w="326"/>
        <w:gridCol w:w="3121"/>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53185" cy="29210"/>
                      <wp:effectExtent l="0" t="0" r="0" b="0"/>
                      <wp:wrapNone/>
                      <wp:docPr id="242" name="Frame241"/>
                      <a:graphic xmlns:a="http://schemas.openxmlformats.org/drawingml/2006/main">
                        <a:graphicData uri="http://schemas.microsoft.com/office/word/2010/wordprocessingShape">
                          <wps:wsp>
                            <wps:cNvSpPr txBox="1"/>
                            <wps:spPr>
                              <a:xfrm>
                                <a:off x="0" y="0"/>
                                <a:ext cx="13531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29210"/>
                      <wp:effectExtent l="0" t="0" r="0" b="0"/>
                      <wp:wrapNone/>
                      <wp:docPr id="243" name="Frame24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48285" cy="29210"/>
                      <wp:effectExtent l="0" t="0" r="0" b="0"/>
                      <wp:wrapNone/>
                      <wp:docPr id="244" name="Frame243"/>
                      <a:graphic xmlns:a="http://schemas.openxmlformats.org/drawingml/2006/main">
                        <a:graphicData uri="http://schemas.microsoft.com/office/word/2010/wordprocessingShape">
                          <wps:wsp>
                            <wps:cNvSpPr txBox="1"/>
                            <wps:spPr>
                              <a:xfrm>
                                <a:off x="0" y="0"/>
                                <a:ext cx="2482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29210"/>
                      <wp:effectExtent l="0" t="0" r="0" b="0"/>
                      <wp:wrapNone/>
                      <wp:docPr id="245" name="Frame24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81835" cy="29210"/>
                      <wp:effectExtent l="0" t="0" r="0" b="0"/>
                      <wp:wrapNone/>
                      <wp:docPr id="246" name="Frame245"/>
                      <a:graphic xmlns:a="http://schemas.openxmlformats.org/drawingml/2006/main">
                        <a:graphicData uri="http://schemas.microsoft.com/office/word/2010/wordprocessingShape">
                          <wps:wsp>
                            <wps:cNvSpPr txBox="1"/>
                            <wps:spPr>
                              <a:xfrm>
                                <a:off x="0" y="0"/>
                                <a:ext cx="19818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1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Position</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William Lei Ding</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 and Chief Executive Officer</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Charles Zhaoxuan Yang</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21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Alice Yu-Fen Cheng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0"/>
              <w:ind w:left="0" w:right="0" w:hanging="0"/>
              <w:rPr/>
            </w:pPr>
            <w:r>
              <w:rPr/>
              <w:t>​</w:t>
            </w:r>
          </w:p>
        </w:tc>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Grace Hui Tang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326" w:type="dxa"/>
            <w:tcBorders/>
            <w:shd w:fill="auto" w:val="clear"/>
            <w:vAlign w:val="center"/>
          </w:tcPr>
          <w:p>
            <w:pPr>
              <w:pStyle w:val="TableContents"/>
              <w:spacing w:before="0" w:after="0"/>
              <w:ind w:left="0" w:right="0" w:hanging="0"/>
              <w:rPr/>
            </w:pPr>
            <w:r>
              <w:rPr/>
              <w:t>​</w:t>
            </w:r>
          </w:p>
        </w:tc>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Joseph Tze Kay Tong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spacing w:before="0" w:after="0"/>
              <w:ind w:left="0" w:right="0" w:hanging="0"/>
              <w:rPr/>
            </w:pPr>
            <w:r>
              <w:rPr/>
              <w:t>​</w:t>
            </w:r>
          </w:p>
        </w:tc>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Michael Man Kit Leung </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26" w:type="dxa"/>
            <w:tcBorders/>
            <w:shd w:fill="auto" w:val="clear"/>
            <w:vAlign w:val="center"/>
          </w:tcPr>
          <w:p>
            <w:pPr>
              <w:pStyle w:val="TableContents"/>
              <w:spacing w:before="0" w:after="0"/>
              <w:ind w:left="0" w:right="0" w:hanging="0"/>
              <w:rPr/>
            </w:pPr>
            <w:r>
              <w:rPr/>
              <w:t>​</w:t>
            </w:r>
          </w:p>
        </w:tc>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98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Alice Cheng, Joseph Tong and Grace Hui Tang are members of the audit, compensation, nominating and environmental, social and governance (ESG) committee.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Biographical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Lei Ding</w:t>
      </w:r>
      <w:r>
        <w:rPr>
          <w:rFonts w:ascii="Times New Roman;Times;serif" w:hAnsi="Times New Roman;Times;serif"/>
          <w:sz w:val="20"/>
        </w:rPr>
        <w:t xml:space="preserve">, also known as </w:t>
      </w:r>
      <w:r>
        <w:rPr>
          <w:rFonts w:ascii="Times New Roman;Times;serif" w:hAnsi="Times New Roman;Times;serif"/>
          <w:i/>
          <w:sz w:val="20"/>
        </w:rPr>
        <w:t>William Lei Ding,</w:t>
      </w:r>
      <w:r>
        <w:rPr>
          <w:rFonts w:ascii="Times New Roman;Times;serif" w:hAnsi="Times New Roman;Times;serif"/>
          <w:sz w:val="20"/>
        </w:rPr>
        <w:t xml:space="preserve"> our founder, has served as our director since July 1999 and as our chief executive officer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Charles Zhaoxuan Yang </w:t>
      </w:r>
      <w:r>
        <w:rPr>
          <w:rFonts w:ascii="Times New Roman;Times;serif" w:hAnsi="Times New Roman;Times;serif"/>
          <w:sz w:val="20"/>
        </w:rPr>
        <w:t>has served as our chief financial officer since June 2017. Prior to joining us, Mr. Yang was an executive director of the China technology, media and telecommunications, and corporate finance team at J.P. Morgan Securities (Asia Pacific) Limited and based in Hong Kong for almost a decade. Mr. Yang currently serves as an independent director on the board of So-Young International Inc. (NASDAQ: SY), and as an independent non-executive director on the board of Kanzhun Ltd. (NASDAQ: BZ; HKEX: 2076). Mr. Yang holds a master’s degree in Business Administration from the University of Hong Kong, and a bachelor’s degree from Wesleyan University with majors in Economics and Mathematics. Mr. Yang is a Certified Public Accountant licensed in the State of Michigan and Hong Kong.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Alice Yu-Fen Cheng</w:t>
      </w:r>
      <w:r>
        <w:rPr>
          <w:rFonts w:ascii="Times New Roman;Times;serif" w:hAnsi="Times New Roman;Times;serif"/>
          <w:sz w:val="20"/>
        </w:rPr>
        <w:t xml:space="preserve">, also known as </w:t>
      </w:r>
      <w:r>
        <w:rPr>
          <w:rFonts w:ascii="Times New Roman;Times;serif" w:hAnsi="Times New Roman;Times;serif"/>
          <w:i/>
          <w:sz w:val="20"/>
        </w:rPr>
        <w:t>Alice Cheng</w:t>
      </w:r>
      <w:r>
        <w:rPr>
          <w:rFonts w:ascii="Times New Roman;Times;serif" w:hAnsi="Times New Roman;Times;serif"/>
          <w:sz w:val="20"/>
        </w:rPr>
        <w:t>, has served as our director since June 2007.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Ms. Cheng is also licensed as a certified public accountant in Taiwan and the PRC.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Grace Hui Tang </w:t>
      </w:r>
      <w:r>
        <w:rPr>
          <w:rFonts w:ascii="Times New Roman;Times;serif" w:hAnsi="Times New Roman;Times;serif"/>
          <w:sz w:val="20"/>
        </w:rPr>
        <w:t>has served as our director since July 2022. Ms. Tang worked at PricewaterhouseCoopers for more than 30 years, including approximately 19 years as an audit partner in Hong Kong and Chinese mainland, until her retirement in 2020. At PricewaterhouseCoopers, Ms. Tang was responsible for the audits of numerous public and private companies in Hong Kong, Chinese mainland and other jurisdictions. Since 2009, she has also been a professor at the Guanghua School of Management of Peking University where she teaches courses on accounting and auditing for the graduate school of the accounting department and on career development. In addition, Ms. Tang serves as an independent director of Textainer Group Holdings Ltd. (NYSE: TGH), Brii Biosciences Ltd. (HKEX: 2137), Elkem ASA (OSLO: ELK) and ECARX Holdings Inc. (Nasdaq: ECX). Ms. Tang received a bachelor’s degree in accounting from the University of Utah and an MBA degree from Utah State University. Ms. Tang is a US certified public accountant and a fellow of the Hong Kong Institute of Certified Public Accountants.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Joseph Tze Kay Tong</w:t>
      </w:r>
      <w:r>
        <w:rPr>
          <w:rFonts w:ascii="Times New Roman;Times;serif" w:hAnsi="Times New Roman;Times;serif"/>
          <w:sz w:val="20"/>
        </w:rPr>
        <w:t xml:space="preserve">, also known as </w:t>
      </w:r>
      <w:r>
        <w:rPr>
          <w:rFonts w:ascii="Times New Roman;Times;serif" w:hAnsi="Times New Roman;Times;serif"/>
          <w:i/>
          <w:sz w:val="20"/>
        </w:rPr>
        <w:t>Joseph Tong</w:t>
      </w:r>
      <w:r>
        <w:rPr>
          <w:rFonts w:ascii="Times New Roman;Times;serif" w:hAnsi="Times New Roman;Times;serif"/>
          <w:sz w:val="20"/>
        </w:rPr>
        <w:t>, has served as our director since March 2003. From January 2003 to November 2021, Mr. Tong was a director of Parworld Investment Management Limited, which provides financial and investment advisory services.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Michael Man Kit Leung</w:t>
      </w:r>
      <w:r>
        <w:rPr>
          <w:rFonts w:ascii="Times New Roman;Times;serif" w:hAnsi="Times New Roman;Times;serif"/>
          <w:sz w:val="20"/>
        </w:rPr>
        <w:t xml:space="preserve">, also known as </w:t>
      </w:r>
      <w:r>
        <w:rPr>
          <w:rFonts w:ascii="Times New Roman;Times;serif" w:hAnsi="Times New Roman;Times;serif"/>
          <w:i/>
          <w:sz w:val="20"/>
        </w:rPr>
        <w:t>Michael Leung</w:t>
      </w:r>
      <w:r>
        <w:rPr>
          <w:rFonts w:ascii="Times New Roman;Times;serif" w:hAnsi="Times New Roman;Times;serif"/>
          <w:sz w:val="20"/>
        </w:rPr>
        <w:t>, has served as our director since July 2002. Mr. Leung was a responsible officer of Grand Moore Capital Limited from September 2019 to November 2021.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was previously an independent non-executive director and chairman of the audit committee of China Electronics Optics Valley Union Holding Company Limited (stock code: 0798) from March 2014 to May 2020 and China Huiyuan Juice Group Limited (stock code: 1886) from 2012 to 2019, both of which are companies listed on the Hong Kong Stock Exchange. Mr. Leung received a Bachelor’s Degree in Social Sciences from the University of Hong Kong in October 1977 with a major in Accounting, Management and Statistics.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Relationships Among Directors or Executive Officers; Right to Nominate Directors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family relationships among any of the directors or executive officers of our company. None of our directors were nominated pursuant to a contractual or other right.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Diversity</w:t>
      </w:r>
    </w:p>
    <w:tbl>
      <w:tblPr>
        <w:tblW w:w="9500" w:type="dxa"/>
        <w:jc w:val="left"/>
        <w:tblInd w:w="0" w:type="dxa"/>
        <w:tblCellMar>
          <w:top w:w="0" w:type="dxa"/>
          <w:left w:w="0" w:type="dxa"/>
          <w:bottom w:w="0" w:type="dxa"/>
          <w:right w:w="0" w:type="dxa"/>
        </w:tblCellMar>
      </w:tblPr>
      <w:tblGrid>
        <w:gridCol w:w="4906"/>
        <w:gridCol w:w="736"/>
        <w:gridCol w:w="541"/>
        <w:gridCol w:w="1111"/>
        <w:gridCol w:w="2206"/>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541"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rPr/>
            </w:pPr>
            <w:r>
              <w:rPr/>
              <w:t>​</w:t>
            </w:r>
          </w:p>
        </w:tc>
        <w:tc>
          <w:tcPr>
            <w:tcW w:w="2206" w:type="dxa"/>
            <w:tcBorders/>
            <w:shd w:fill="auto" w:val="clear"/>
            <w:vAlign w:val="center"/>
          </w:tcPr>
          <w:p>
            <w:pPr>
              <w:pStyle w:val="TableContents"/>
              <w:spacing w:before="0" w:after="0"/>
              <w:ind w:left="0" w:right="0" w:hanging="0"/>
              <w:rPr/>
            </w:pPr>
            <w:r>
              <w:rPr/>
              <w:t>​</w:t>
            </w:r>
          </w:p>
        </w:tc>
      </w:tr>
      <w:tr>
        <w:trPr/>
        <w:tc>
          <w:tcPr>
            <w:tcW w:w="950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Board Diversity Matrix (As of March 31, 2023)</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Country of Principal Executive Offices</w:t>
            </w:r>
          </w:p>
        </w:tc>
        <w:tc>
          <w:tcPr>
            <w:tcW w:w="736" w:type="dxa"/>
            <w:tcBorders>
              <w:top w:val="single" w:sz="2" w:space="0" w:color="000000"/>
              <w:left w:val="single" w:sz="2" w:space="0" w:color="000000"/>
              <w:bottom w:val="single" w:sz="2" w:space="0" w:color="000000"/>
            </w:tcBorders>
            <w:shd w:fill="auto" w:val="clear"/>
            <w:tcMar>
              <w:top w:w="28" w:type="dxa"/>
              <w:left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China</w:t>
            </w:r>
          </w:p>
        </w:tc>
        <w:tc>
          <w:tcPr>
            <w:tcW w:w="5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22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rPr/>
            </w:pPr>
            <w:r>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Private Issuer</w:t>
            </w:r>
          </w:p>
        </w:tc>
        <w:tc>
          <w:tcPr>
            <w:tcW w:w="736" w:type="dxa"/>
            <w:tcBorders>
              <w:top w:val="single" w:sz="2" w:space="0" w:color="000000"/>
              <w:left w:val="single" w:sz="2" w:space="0" w:color="000000"/>
              <w:bottom w:val="single" w:sz="2" w:space="0" w:color="000000"/>
            </w:tcBorders>
            <w:shd w:fill="auto" w:val="clear"/>
            <w:tcMar>
              <w:top w:w="28" w:type="dxa"/>
              <w:left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Yes</w:t>
            </w:r>
          </w:p>
        </w:tc>
        <w:tc>
          <w:tcPr>
            <w:tcW w:w="5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22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rPr/>
            </w:pPr>
            <w:r>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Disclosure Prohibited under Home Country Law</w:t>
            </w:r>
          </w:p>
        </w:tc>
        <w:tc>
          <w:tcPr>
            <w:tcW w:w="736" w:type="dxa"/>
            <w:tcBorders>
              <w:top w:val="single" w:sz="2" w:space="0" w:color="000000"/>
              <w:left w:val="single" w:sz="2" w:space="0" w:color="000000"/>
              <w:bottom w:val="single" w:sz="2" w:space="0" w:color="000000"/>
            </w:tcBorders>
            <w:shd w:fill="auto" w:val="clear"/>
            <w:tcMar>
              <w:top w:w="28" w:type="dxa"/>
              <w:left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w:t>
            </w:r>
          </w:p>
        </w:tc>
        <w:tc>
          <w:tcPr>
            <w:tcW w:w="5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22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rPr/>
            </w:pPr>
            <w:r>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Number of Directors</w:t>
            </w:r>
          </w:p>
        </w:tc>
        <w:tc>
          <w:tcPr>
            <w:tcW w:w="736" w:type="dxa"/>
            <w:tcBorders>
              <w:top w:val="single" w:sz="2" w:space="0" w:color="000000"/>
              <w:left w:val="single" w:sz="2" w:space="0" w:color="000000"/>
              <w:bottom w:val="single" w:sz="2" w:space="0" w:color="000000"/>
            </w:tcBorders>
            <w:shd w:fill="auto" w:val="clear"/>
            <w:tcMar>
              <w:top w:w="28" w:type="dxa"/>
              <w:left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w:t>
            </w:r>
          </w:p>
        </w:tc>
        <w:tc>
          <w:tcPr>
            <w:tcW w:w="5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22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rPr/>
            </w:pPr>
            <w:r>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r>
              <w:rPr/>
              <w:t>​</w:t>
            </w:r>
          </w:p>
        </w:tc>
        <w:tc>
          <w:tcPr>
            <w:tcW w:w="73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Female</w:t>
            </w:r>
          </w:p>
        </w:tc>
        <w:tc>
          <w:tcPr>
            <w:tcW w:w="54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Male</w:t>
            </w:r>
          </w:p>
        </w:tc>
        <w:tc>
          <w:tcPr>
            <w:tcW w:w="111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Non-Binary</w:t>
            </w:r>
          </w:p>
        </w:tc>
        <w:tc>
          <w:tcPr>
            <w:tcW w:w="22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Did Not Disclose Gender</w:t>
            </w:r>
          </w:p>
        </w:tc>
      </w:tr>
      <w:tr>
        <w:trPr/>
        <w:tc>
          <w:tcPr>
            <w:tcW w:w="950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 I: Gender Identity</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Directors</w:t>
            </w:r>
          </w:p>
        </w:tc>
        <w:tc>
          <w:tcPr>
            <w:tcW w:w="73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w:t>
            </w:r>
          </w:p>
        </w:tc>
        <w:tc>
          <w:tcPr>
            <w:tcW w:w="54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w:t>
            </w:r>
          </w:p>
        </w:tc>
        <w:tc>
          <w:tcPr>
            <w:tcW w:w="111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950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 II: Demographic Background</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45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LGBTQ+</w:t>
            </w:r>
          </w:p>
        </w:tc>
        <w:tc>
          <w:tcPr>
            <w:tcW w:w="45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 Not Disclosure Demographic Background</w:t>
            </w:r>
          </w:p>
        </w:tc>
        <w:tc>
          <w:tcPr>
            <w:tcW w:w="45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72"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Executive Officer and Director Compensation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2022, we paid our executive officers and directors aggregate cash compensation of RMB47.0 million (US$6.8 million).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we also granted restricted share unit awards under our 2019 Share Plan to our Chief Financial Officer, which will represent less than 1% of our total outstanding ordinary shares upon vesting. In addition, prior to 2022, certain of our subsidiaries, including Youdao and Cloud Music, granted certain options pursuant to their respective share incentive plans to our Chief Financial Officer which are exercisable for ordinary shares of those subsidiaries representing less than 1% of their total outstanding shares.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 Indemnification Agreements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service contracts with any of our directors which provide for benefits upon termination.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Employment Agreements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General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two share incentive plans, which we refer to collectively in this annual report as our “Share Plans.” Our board approved our 2009 Restricted Share Unit Plan, or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 Our board subsequently approved an amendment and restatement of the 2019 RSU Plan in February 2023 to enable share option awards to be granted pursuant to such plan and make certain other amendments and renamed it as the Amended and Restated 2019 Share Incentive Plan (referred to in this annual report as the 2019 Share Plan).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purpose of our Share Plans is to attract and retain the best available personnel, to provide additional incentive to employees, directors and consultants and to promote the success of our business. The Share Plans provide for the granting of incentive awards of restricted share units, which may or may not be granted with dividend equivalent rights, and the 2019 Share Plan also provides for the granting of share option awards. Participants under the Share Plans do not receive any account status reports.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 Plans are not subject to the Employee Retirement Income Security Act of 1974, as amended, and neither of the Share Plans a “qualified plan” within the meaning of Section 401(a) of the Internal Revenue Code of 1986, as amended.</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Plan Administration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has designated our compensation committee to administer the Share Plans, and it may designate one or more of our officers to exercise its authority thereunder from time to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Securities Subject to the Share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aggregate number of our ordinary shares which are issuable pursuant to all awards under the 2009 RSU Plan is 323,694,050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aggregate number of our ordinary shares which may be issued pursuant to all awards under the 2019 Share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Share Plan or any other future plan adopted by our board and, if appropriate, our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2019 Share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Eligibility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Awards can be issued to participants in the Share Plans, which include employees, directors or consultants of us, our subsidiaries, the VIEs and certain other related entities.</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Awards under the Share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Awards under the Share Plans are evidenced by an award agreement which contains, among other things, such provisions concerning the exercise price (in the case of share options), how the award may be settled upon vesting (in the case of restricted share unit awards) and forfeiture upon termination of an award grantee’s service with our company or entities within our group (by reason of death, disability, retirement or otherwise), as have been determined by our board, either acting directly or through our compensation committee or one or more of our officers.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share options which may be granted under the 2019 Share Plan, the exercise price for each award is determined in accordance with the terms of the 2019 Share Plan and stated in the award agreement. The vested portion of an option will expire if not exercised prior to the expiration date of the award as set forth in the award agreement. The 2019 Share Plan provides that the maximum exercisable term of share option awards is ten years from the date of a grant.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Conditions of Awards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Amendment; Termination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Share Plans, our board may at any time terminate, suspend, or amend the Share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Share Plan will expire in February 2033.</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Non-Transferability of Awards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Share Plans, awards may not be sold, assigned, transferred, pledged, hypothecated or otherwise disposed of, except by will or by the laws of descent and distribution and during the lifetime of the participants, to the extent and in the manner provided in the award agreement. The Share Plans permit the designation of beneficiaries by holders of awards in the event of the participant’s death. After any such transfer, the original recipient shall continue to remain subject to the withholding tax requirements described below.</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Payment of Taxes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 ordinary shares shall be delivered under the Share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Other Equity Incentive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 our subsidiary, adopted its 2015 Share Incentive Plan, or the 2015 Youdao Plan, in February 2015 (and amended it in April 2018), under which 10,222,222 ordinary shares of Youdao are reserved for issuance. As of March 31, 2023, options to purchase a total of 4,408,892 ordinary shares are outstanding under the 2015 Youdao Plan, and 2,731,072 of such options had vested and become exercisable. In April 2023, Youdao adopted a 2023 Share Incentive Plan, or the 2023 Youdao Plan (together with the 2015 Youdao Plan, the “Youdao Plans”), under which 5,668,625 shares of Youdao are reserved for issuance.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Cloud Music, our subsidiary, adopted its 2016 Share Incentive Plan, or the 2016 Cloud Music Plan, in May 2016, under which 15,000,000 ordinary shares of Cloud Music are reserved for issuance. As of March 31, 2023, options to purchase a total of 5,739,650 ordinary shares are outstanding under the 2016 Cloud Music Plan, and 4,112,650 of such options had vested and become exercisable; restricted share units representing an aggregate of 1,166,409 shares are outstanding and remain unsettled under the 2016 Cloud Music Plan, which may be satisfied by new or existing shares of Cloud Music.  In August 2022, Cloud Music adopted the 2022 Restricted Share Unit Plan, or the 2022 Cloud Music Plan (together with the 2016 Cloud Music Plan, the “Cloud Music Plans”), pursuant to which it may issue up to 10,462,280 new shares. As of March 31, 2023, no restricted share units have been granted under the 2022 Cloud Music Plan.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of our other subsidiaries have adopted their own equity incentive plans, which allow the relevant subsidiaries to grant options or other awards to certain of our employees. The awards under the Youdao Plans, the Cloud Music Plans and such other plans expire in four to ten years from the date of grant and either vest or have a vesting commencement date upon certain conditions being met. The awards can become 100% vested on the vesting commencement date, or vest in three, four or five substantially equal annual installments with the first installment vesting on the vesting commencement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           Board Practices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At each annual general meeting of our shareholders, our shareholders are asked to elect the directors nominated to serve for the ensuing year until the next annual general meeting of shareholders and until their successors are elected and duly qualified, or until such directors are otherwise vacated in accordance with the Company’s Memorandum and Articles of Association. For information regarding the period during which our officers and directors have served in their respective positions, please refer to Item 6.A. “Directors, Senior Management and Employees—Directors and Senior Management.” We have no specific policy with respect to director attendance at our annual general meetings of shareholders, and no director attended the annual general meeting of shareholders held on June 16,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non-executive directors has been determined by our board to be “independent” under applicable U.S. regulations, as that term is defined in NASDAQ Marketplace Rule 5606(a)(2) and acts as an “independent non-executive director” of the company for the purpose of the Hong Kong Listing Rules. The company has received an annual confirmation on his/her “independence” from each of the non-executive directors, addressing the factors set out in Rule 3.13 of the Hong Kong Listing Rules, and our board continues to consider all of them to be “independent.”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has four committees, the audit committee, the compensation committee, the nominating committee and the ESG committee. Alice Cheng, Joseph Tong, and Grace Hui Tang are currently the members of each of these committees. Grace Hui Tang is the chairperson of the audit committee. The board of directors has determined that Mr. Joseph Tong is an “audit committee financial expert” as defined by Item 16A. “Audit Committee Financial Expert” of Form 20-F. The board of directors has adopted a written audit committee charter pursuant to which the audit committee is responsible for overseeing our accounting and financial reporting processes, including the appointment, compensation and oversight of the work of our independent auditors, monitoring compliance with our accounting and financial policies and evaluating management’s procedures and policies relative to the adequacy of our internal accounting controls. For more information regarding the audit committee, please refer to “Audit committee experience and qualification and board oversight” under Item 4.B. “Information on the Company—Business Overview.”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has adopted a written compensation committee charter pursuant to which the compensation committee is responsible for, among other things, annually reviewing and approving our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our board of directors approved the establishment of ESG committee responsible for coordinating ESG-related issues and providing recommendations to the board.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compensation, nominating and ESG committees are composed solely of non-employee directors, as such term is defined in Rule 16b-3 under the Exchange Act and the board of directors has determined that all such members are “independent” as that term is defined in NASDAQ Marketplace Rule 5605(a)(2).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Compensation Committee Interlocks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 interlocking relationships have existed between our board of directors or compensation committee and the board of directors or compensation committee of any other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Employees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2020, 2021 and 2022, we had 28,239, 32,064 and 31,119 full-time employees, respectively. A substantial majority of our employees are based in China. We believe that we have a good working relationship with our employees, and we have not experienced any significant labor disputes.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staff as of December 31, 2022. Our R&amp;D staff consisted of 15,211 employees as of December 31, 2022.</w:t>
      </w:r>
    </w:p>
    <w:p>
      <w:pPr>
        <w:pStyle w:val="TextBody"/>
        <w:spacing w:before="0" w:after="0"/>
        <w:ind w:left="0" w:right="0" w:hanging="0"/>
        <w:rPr/>
      </w:pPr>
      <w:r>
        <w:rPr/>
        <w:t>​</w:t>
      </w:r>
    </w:p>
    <w:tbl>
      <w:tblPr>
        <w:tblW w:w="4273" w:type="dxa"/>
        <w:jc w:val="left"/>
        <w:tblInd w:w="0" w:type="dxa"/>
        <w:tblCellMar>
          <w:top w:w="0" w:type="dxa"/>
          <w:left w:w="0" w:type="dxa"/>
          <w:bottom w:w="0" w:type="dxa"/>
          <w:right w:w="0" w:type="dxa"/>
        </w:tblCellMar>
      </w:tblPr>
      <w:tblGrid>
        <w:gridCol w:w="3346"/>
        <w:gridCol w:w="146"/>
        <w:gridCol w:w="781"/>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24710" cy="175260"/>
                      <wp:effectExtent l="0" t="0" r="0" b="0"/>
                      <wp:wrapNone/>
                      <wp:docPr id="247" name="Frame246"/>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2710" cy="175260"/>
                      <wp:effectExtent l="0" t="0" r="0" b="0"/>
                      <wp:wrapNone/>
                      <wp:docPr id="248" name="Frame24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Games and related value-added services</w:t>
            </w:r>
          </w:p>
        </w:tc>
        <w:tc>
          <w:tcPr>
            <w:tcW w:w="14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17,699</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Youdao</w:t>
            </w:r>
          </w:p>
        </w:tc>
        <w:tc>
          <w:tcPr>
            <w:tcW w:w="14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5,068</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Music</w:t>
            </w:r>
          </w:p>
        </w:tc>
        <w:tc>
          <w:tcPr>
            <w:tcW w:w="14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Innovative businesses and others</w:t>
            </w:r>
          </w:p>
        </w:tc>
        <w:tc>
          <w:tcPr>
            <w:tcW w:w="14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6,812</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31,119</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employees of our company, subsidiaries and the VIEs are employed under employment contracts which specify, among other things, the employee’s responsibilities, remuneration and grounds for termination of employment. Each employee signs a confidentiality agreement in respect of our intellectual property rights.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           Share Ownership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in this section sets forth certain information known to us with respect to the beneficial ownership as of March 31, 2023 (unless otherwise indicated) by:</w:t>
      </w:r>
    </w:p>
    <w:tbl>
      <w:tblPr>
        <w:tblW w:w="6576" w:type="dxa"/>
        <w:jc w:val="left"/>
        <w:tblInd w:w="0" w:type="dxa"/>
        <w:tblCellMar>
          <w:top w:w="28" w:type="dxa"/>
          <w:left w:w="28" w:type="dxa"/>
          <w:bottom w:w="28" w:type="dxa"/>
          <w:right w:w="28" w:type="dxa"/>
        </w:tblCellMar>
      </w:tblPr>
      <w:tblGrid>
        <w:gridCol w:w="124"/>
        <w:gridCol w:w="256"/>
        <w:gridCol w:w="6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persons who are beneficial owners of 5% or more of our ordinary shares,</w:t>
            </w:r>
          </w:p>
        </w:tc>
      </w:tr>
    </w:tbl>
    <w:tbl>
      <w:tblPr>
        <w:tblW w:w="2226" w:type="dxa"/>
        <w:jc w:val="left"/>
        <w:tblInd w:w="0" w:type="dxa"/>
        <w:tblCellMar>
          <w:top w:w="28" w:type="dxa"/>
          <w:left w:w="28" w:type="dxa"/>
          <w:bottom w:w="28" w:type="dxa"/>
          <w:right w:w="28" w:type="dxa"/>
        </w:tblCellMar>
      </w:tblPr>
      <w:tblGrid>
        <w:gridCol w:w="124"/>
        <w:gridCol w:w="256"/>
        <w:gridCol w:w="1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Chief Financial Officer, and</w:t>
            </w:r>
          </w:p>
        </w:tc>
      </w:tr>
    </w:tbl>
    <w:tbl>
      <w:tblPr>
        <w:tblW w:w="4851" w:type="dxa"/>
        <w:jc w:val="left"/>
        <w:tblInd w:w="0" w:type="dxa"/>
        <w:tblCellMar>
          <w:top w:w="28" w:type="dxa"/>
          <w:left w:w="28" w:type="dxa"/>
          <w:bottom w:w="28" w:type="dxa"/>
          <w:right w:w="28" w:type="dxa"/>
        </w:tblCellMar>
      </w:tblPr>
      <w:tblGrid>
        <w:gridCol w:w="124"/>
        <w:gridCol w:w="256"/>
        <w:gridCol w:w="4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and executive officers as a group.</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2023, 3,224,760,316 of our ordinary shares were outstanding (excluding approximately 105 million ordinary shares issued and held by The Bank of New York Mellon, the depositary of our ADS program, which are reserved for future delivery upon exercise or vesting of share awards granted under our Share Incentive Plans, and our treasury ADSs we own).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030"/>
        <w:gridCol w:w="326"/>
        <w:gridCol w:w="1291"/>
        <w:gridCol w:w="326"/>
        <w:gridCol w:w="916"/>
        <w:gridCol w:w="316"/>
      </w:tblGrid>
      <w:tr>
        <w:trPr/>
        <w:tc>
          <w:tcPr>
            <w:tcW w:w="7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464050" cy="175260"/>
                      <wp:effectExtent l="0" t="0" r="0" b="0"/>
                      <wp:wrapNone/>
                      <wp:docPr id="250" name="Frame249"/>
                      <a:graphic xmlns:a="http://schemas.openxmlformats.org/drawingml/2006/main">
                        <a:graphicData uri="http://schemas.microsoft.com/office/word/2010/wordprocessingShape">
                          <wps:wsp>
                            <wps:cNvSpPr txBox="1"/>
                            <wps:spPr>
                              <a:xfrm>
                                <a:off x="0" y="0"/>
                                <a:ext cx="446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819785" cy="175260"/>
                      <wp:effectExtent l="0" t="0" r="0" b="0"/>
                      <wp:wrapNone/>
                      <wp:docPr id="252" name="Frame251"/>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81660" cy="175260"/>
                      <wp:effectExtent l="0" t="0" r="0" b="0"/>
                      <wp:wrapNone/>
                      <wp:docPr id="254" name="Frame253"/>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5" name="Frame25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16" w:type="dxa"/>
            <w:tcBorders/>
            <w:shd w:fill="auto" w:val="clear"/>
            <w:vAlign w:val="center"/>
          </w:tcPr>
          <w:p>
            <w:pPr>
              <w:pStyle w:val="TableContents"/>
              <w:spacing w:before="0" w:after="0"/>
              <w:ind w:left="0" w:right="0" w:hanging="0"/>
              <w:rPr/>
            </w:pPr>
            <w:r>
              <w:rPr/>
              <w:t> </w:t>
            </w:r>
          </w:p>
        </w:tc>
      </w:tr>
      <w:tr>
        <w:trPr/>
        <w:tc>
          <w:tcPr>
            <w:tcW w:w="7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16" w:type="dxa"/>
            <w:tcBorders/>
            <w:shd w:fill="auto" w:val="clear"/>
            <w:vAlign w:val="center"/>
          </w:tcPr>
          <w:p>
            <w:pPr>
              <w:pStyle w:val="TableContents"/>
              <w:spacing w:before="0" w:after="0"/>
              <w:ind w:left="0" w:right="0" w:hanging="0"/>
              <w:rPr/>
            </w:pPr>
            <w:r>
              <w:rPr/>
              <w:t> </w:t>
            </w:r>
          </w:p>
        </w:tc>
      </w:tr>
      <w:tr>
        <w:trPr/>
        <w:tc>
          <w:tcPr>
            <w:tcW w:w="7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shd w:fill="auto" w:val="clear"/>
            <w:vAlign w:val="center"/>
          </w:tcPr>
          <w:p>
            <w:pPr>
              <w:pStyle w:val="TableContents"/>
              <w:spacing w:before="0" w:after="0"/>
              <w:ind w:left="0" w:right="0" w:hanging="0"/>
              <w:rPr/>
            </w:pPr>
            <w:r>
              <w:rPr/>
              <w:t> </w:t>
            </w:r>
          </w:p>
        </w:tc>
      </w:tr>
      <w:tr>
        <w:trPr/>
        <w:tc>
          <w:tcPr>
            <w:tcW w:w="703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5% Shareholder</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7030"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Shining Globe International Limited/William Lei Ding</w:t>
            </w:r>
            <w:r>
              <w:rPr>
                <w:rFonts w:ascii="Times New Roman;Times;serif" w:hAnsi="Times New Roman;Times;serif"/>
                <w:sz w:val="15"/>
              </w:rPr>
              <w:t>(1)</w:t>
            </w:r>
            <w:r>
              <w:rPr>
                <w:rFonts w:ascii="Times New Roman;Times;serif" w:hAnsi="Times New Roman;Times;serif"/>
                <w:sz w:val="20"/>
              </w:rPr>
              <w:t>  c/o NetEase, Inc., NetEase Building, No. 599 Wangshang Road, Binjiang District, Hangzhou, People’s Republic of China 310052.</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1,450,300,000</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711" w:type="dxa"/>
        <w:jc w:val="left"/>
        <w:tblInd w:w="0" w:type="dxa"/>
        <w:tblCellMar>
          <w:top w:w="0" w:type="dxa"/>
          <w:left w:w="0" w:type="dxa"/>
          <w:bottom w:w="0" w:type="dxa"/>
          <w:right w:w="0" w:type="dxa"/>
        </w:tblCellMar>
      </w:tblPr>
      <w:tblGrid>
        <w:gridCol w:w="5536"/>
        <w:gridCol w:w="326"/>
        <w:gridCol w:w="1291"/>
        <w:gridCol w:w="326"/>
        <w:gridCol w:w="916"/>
        <w:gridCol w:w="316"/>
      </w:tblGrid>
      <w:tr>
        <w:trPr/>
        <w:tc>
          <w:tcPr>
            <w:tcW w:w="5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515360" cy="175260"/>
                      <wp:effectExtent l="0" t="0" r="0" b="0"/>
                      <wp:wrapNone/>
                      <wp:docPr id="256" name="Frame255"/>
                      <a:graphic xmlns:a="http://schemas.openxmlformats.org/drawingml/2006/main">
                        <a:graphicData uri="http://schemas.microsoft.com/office/word/2010/wordprocessingShape">
                          <wps:wsp>
                            <wps:cNvSpPr txBox="1"/>
                            <wps:spPr>
                              <a:xfrm>
                                <a:off x="0" y="0"/>
                                <a:ext cx="3515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19785" cy="175260"/>
                      <wp:effectExtent l="0" t="0" r="0" b="0"/>
                      <wp:wrapNone/>
                      <wp:docPr id="258" name="Frame257"/>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81660" cy="175260"/>
                      <wp:effectExtent l="0" t="0" r="0" b="0"/>
                      <wp:wrapNone/>
                      <wp:docPr id="260" name="Frame25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1" name="Frame26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16" w:type="dxa"/>
            <w:tcBorders/>
            <w:shd w:fill="auto" w:val="cle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16" w:type="dxa"/>
            <w:tcBorders/>
            <w:shd w:fill="auto" w:val="cle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shd w:fill="auto" w:val="clear"/>
            <w:vAlign w:val="center"/>
          </w:tcPr>
          <w:p>
            <w:pPr>
              <w:pStyle w:val="TableContents"/>
              <w:spacing w:before="0" w:after="0"/>
              <w:ind w:left="0" w:right="0" w:hanging="0"/>
              <w:jc w:val="center"/>
              <w:rPr/>
            </w:pPr>
            <w:r>
              <w:rPr/>
              <w:t> </w:t>
            </w:r>
          </w:p>
        </w:tc>
      </w:tr>
      <w:tr>
        <w:trPr/>
        <w:tc>
          <w:tcPr>
            <w:tcW w:w="55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Executive Officers and Directors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Charles Zhaoxuan Yang</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Alice Cheng</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Grace Hui Tang</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Joseph Tong</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Leung</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All current directors and executive officers as a group (6 persons)</w:t>
            </w:r>
            <w:r>
              <w:rPr>
                <w:rFonts w:ascii="Times New Roman;Times;serif" w:hAnsi="Times New Roman;Times;serif"/>
                <w:sz w:val="15"/>
              </w:rPr>
              <w:t>(3)</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1,450,934,160</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tbl>
      <w:tblPr>
        <w:tblW w:w="1502" w:type="dxa"/>
        <w:jc w:val="left"/>
        <w:tblInd w:w="0" w:type="dxa"/>
        <w:tblCellMar>
          <w:top w:w="0" w:type="dxa"/>
          <w:left w:w="0" w:type="dxa"/>
          <w:bottom w:w="0" w:type="dxa"/>
          <w:right w:w="0" w:type="dxa"/>
        </w:tblCellMar>
      </w:tblPr>
      <w:tblGrid>
        <w:gridCol w:w="226"/>
        <w:gridCol w:w="1276"/>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12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Shining Globe International Limited is the record owner of 1,450,300,000 ordinary shares, consisting of 1,406,000,000 ordinary shares and 8,860,000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 </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our current executive officers and directors are c/o NetEase Building, No. 599 Wangshang Road, Binjiang District, Hangzhou, People’s Republic of China 310052.</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owned by all of our current directors and executive officers as a group includes shares beneficially owned by William Lei Ding.  This amount includes ordinary shares and ordinary shares issuable upon the vesting of RSUs held by our directors and executive officers as a group.</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2023, based on public filings with the SEC, there are no major shareholders holding 5% or more of our ordinary shares or ADSs representing ordinary shares, except as described above.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2023, there were four ordinary shareholders of record with an address in the United States. The Bank of New York Mellon, depositary of our ADS program, held 503,419,915 ordinary shares as of that date (including ordinary shares that were issued for issuance of ADSs reserved for future issuances upon the exercise or vesting of awards granted under our Share Incentive Plans and shares underlying treasury ADSs that were repurchased but not canceled by our company), which accounted for 15.6% of our issued ordinary shares.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except as disclosed above, we are not owned or controlled, directly or indirectly, by another corporation, by any foreign government or by any other natural or legal person or persons, severally or jointly.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there are no arrangements the operation of which may at a subsequent date result in us undergoing a change in control.</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Our major shareholders do not have different voting rights than any of our other shareholders.</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75" w:name="Item7MajorShareholdersandRelatedPartyTra"/>
      <w:bookmarkStart w:id="76" w:name="_c90344cd_d258_4b45_8f18_06030349dab1"/>
      <w:bookmarkEnd w:id="75"/>
      <w:bookmarkEnd w:id="76"/>
      <w:r>
        <w:rPr>
          <w:rFonts w:ascii="Times New Roman;Times;serif" w:hAnsi="Times New Roman;Times;serif"/>
          <w:b/>
          <w:sz w:val="20"/>
        </w:rPr>
        <w:t>Item 7.  Major Shareholders and 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Major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Please see Item 6.E. “Directors, Senior Management and Employees—Share Ownership.”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Related Party Transactions</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Material VIE Agreements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NetEase, Inc. and certain of its subsidiaries have entered into a series of agreements with Guangzhou NetEase, Hangzhou Leihuo, Youdao Computer, Hangzhou Yuedu and certain other VIEs and the shareholders of these entities, under which we provide our computer software, mobile applications, technologies and relevant services to Guangzhou NetEase, Hangzhou Leihuo, Youdao Computer and certain other VIEs, and they in turn provide certain of our online games and operate the NetEase websites,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Hangzhou Yuedu and our other VIEs will not receive material benefits from these agreements except as shareholders of NetEase. The agreements with Guangzhou NetEase, Hangzhou Leihuo, Youdao Computer and Hangzhou Yuedu are described below.</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Agreements relating to Guangzhou NetEase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William Lei Ding, our Chief Executive Officer, and Xiaojun Hui, our vice president of game development, own 99.0% and 1.0% of the equity interest in Guangzhou NetEase, respectively.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Copyright License Agreement between NetEase Beijing and Guangzhou NetEase. </w:t>
            </w:r>
            <w:r>
              <w:rPr>
                <w:rFonts w:ascii="Times New Roman;Times;serif" w:hAnsi="Times New Roman;Times;serif"/>
                <w:b w:val="false"/>
                <w:i w:val="false"/>
                <w:caps w:val="false"/>
                <w:smallCaps w:val="false"/>
                <w:sz w:val="20"/>
              </w:rPr>
              <w:t>NetEase Information Technology (Beijing) Co. Ltd., or “NetEase Beijing,” granted Guangzhou NetEase the right to use NetEase Beijing’s web page layout in China for a royalty of RMB10,000 per year. NetEase Beijing may waive this fee at any 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Trademark License Agreement between NetEase Beijing and Guangzhou NetEase. </w:t>
            </w:r>
            <w:r>
              <w:rPr>
                <w:rFonts w:ascii="Times New Roman;Times;serif" w:hAnsi="Times New Roman;Times;serif"/>
                <w:b w:val="false"/>
                <w:i w:val="false"/>
                <w:caps w:val="false"/>
                <w:smallCaps w:val="false"/>
                <w:sz w:val="20"/>
              </w:rPr>
              <w:t>NetEase Beijing granted Guangzhou NetEase a license to use NetEase Beijing’s registered trademarks on the NetEase websites in China for license fees of RMB10,000 per year. NetEase Beijing may waive this fee at any 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Cooperative Agreements. </w:t>
            </w:r>
            <w:r>
              <w:rPr>
                <w:rFonts w:ascii="Times New Roman;Times;serif" w:hAnsi="Times New Roman;Times;serif"/>
                <w:b w:val="false"/>
                <w:i w:val="false"/>
                <w:caps w:val="false"/>
                <w:smallCaps w:val="false"/>
                <w:sz w:val="20"/>
              </w:rPr>
              <w:t>Guangzhou NetEase has entered into cooperative agreements with each of NetEase Beijing, Boguan and NetEase Hangzhou pursuant to which such subsidiaries have agreed to provide the following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of computer software (including, but not limited to, online games software) and technical support and maintenance for the operation of computer software;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support for internet services, including, but not limited to, server maintenance and development, update and upgrade of relevant application software; and</w:t>
            </w:r>
          </w:p>
        </w:tc>
      </w:tr>
    </w:tbl>
    <w:tbl>
      <w:tblPr>
        <w:tblW w:w="9366" w:type="dxa"/>
        <w:jc w:val="left"/>
        <w:tblInd w:w="0" w:type="dxa"/>
        <w:tblCellMar>
          <w:top w:w="28" w:type="dxa"/>
          <w:left w:w="28" w:type="dxa"/>
          <w:bottom w:w="28" w:type="dxa"/>
          <w:right w:w="28" w:type="dxa"/>
        </w:tblCellMar>
      </w:tblPr>
      <w:tblGrid>
        <w:gridCol w:w="124"/>
        <w:gridCol w:w="25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of electronic publishing technology and relevant technical assistance and support.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Online Advertising Agreement between Guangzhou NetEase and NetEase Advertising. </w:t>
            </w:r>
            <w:r>
              <w:rPr>
                <w:rFonts w:ascii="Times New Roman;Times;serif" w:hAnsi="Times New Roman;Times;serif"/>
                <w:b w:val="false"/>
                <w:i w:val="false"/>
                <w:caps w:val="false"/>
                <w:smallCaps w:val="false"/>
                <w:sz w:val="20"/>
              </w:rPr>
              <w:t>Guangzhou NetEase sells all of the banner space on the NetEase websites to Beijing NetEase Chuanmei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tc>
      </w:tr>
    </w:tbl>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The term of the foregoing agreement is automatically renewable for successive one year term.</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Trademark Transfer Agreement between Guangzhou NetEase and NetEase Beijing</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Under this agreement, Guangzhou NetEase transferred its registered trademarks to NetEase Beijing.</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Supplemental Agreement between NetEase Beijing and Guangzhou NetEase. </w:t>
            </w:r>
            <w:r>
              <w:rPr>
                <w:rFonts w:ascii="Times New Roman;Times;serif" w:hAnsi="Times New Roman;Times;serif"/>
                <w:b w:val="false"/>
                <w:i w:val="false"/>
                <w:caps w:val="false"/>
                <w:smallCaps w:val="false"/>
                <w:sz w:val="20"/>
              </w:rPr>
              <w:t>NetEase Beijing may not grant the license to use its domain name, copyright and trademark to any third party without Guangzhou NetEase’s consent and may not provide technical service to any third party.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Shareholder Voting Rights Trust Agreement among NetEase Beijing and the Individual Shareholders of Guangzhou NetEase. </w:t>
            </w:r>
            <w:r>
              <w:rPr>
                <w:rFonts w:ascii="Times New Roman;Times;serif" w:hAnsi="Times New Roman;Times;serif"/>
                <w:b w:val="false"/>
                <w:i w:val="false"/>
                <w:caps w:val="false"/>
                <w:smallCaps w:val="false"/>
                <w:sz w:val="20"/>
              </w:rPr>
              <w:t>William Lei Ding 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Agreement between NetEase Beijing and Guangzhou NetEase. </w:t>
            </w:r>
            <w:r>
              <w:rPr>
                <w:rFonts w:ascii="Times New Roman;Times;serif" w:hAnsi="Times New Roman;Times;serif"/>
                <w:b w:val="false"/>
                <w:i w:val="false"/>
                <w:caps w:val="false"/>
                <w:smallCaps w:val="false"/>
                <w:sz w:val="20"/>
              </w:rPr>
              <w:t>NetEase Beijing agrees to pay the operating costs of Guangzhou NetEase.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Letter of Agreement. </w:t>
            </w:r>
            <w:r>
              <w:rPr>
                <w:rFonts w:ascii="Times New Roman;Times;serif" w:hAnsi="Times New Roman;Times;serif"/>
                <w:b w:val="false"/>
                <w:i w:val="false"/>
                <w:caps w:val="false"/>
                <w:smallCaps w:val="false"/>
                <w:sz w:val="20"/>
              </w:rPr>
              <w:t>Each of William Lei Ding and Xiaojun Hui have agreed that any amendments to be made to the Shareholder Voting 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Loan Agreement and Equity Pledge Agreement</w:t>
            </w:r>
            <w:r>
              <w:rPr>
                <w:rFonts w:ascii="Times New Roman;Times;serif" w:hAnsi="Times New Roman;Times;serif"/>
                <w:b w:val="false"/>
                <w:i w:val="false"/>
                <w:caps w:val="false"/>
                <w:smallCaps w:val="false"/>
                <w:sz w:val="20"/>
              </w:rPr>
              <w:t>. Concurrent with Mr. Hui’s acquisition of his equity interest in Guangzhou NetEase from a 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1080"/>
        <w:jc w:val="both"/>
        <w:rPr>
          <w:rFonts w:ascii="Times New Roman;Times;serif" w:hAnsi="Times New Roman;Times;serif"/>
          <w:i/>
          <w:sz w:val="20"/>
        </w:rPr>
      </w:pPr>
      <w:r>
        <w:rPr>
          <w:rFonts w:ascii="Times New Roman;Times;serif" w:hAnsi="Times New Roman;Times;serif"/>
          <w:i/>
          <w:sz w:val="20"/>
        </w:rPr>
        <w:t>Agreements relating to Hangzhou Leihuo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each of Zhipeng Hu and Long Cheng, two of our employees, owns 50.0% of the equity interest in Hangzhou Leihuo.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Loan Agreements and Equity Pledge Agreements between NetEase Hangzhou and each of the ultimate shareholders of Hangzhou Leihuo</w:t>
            </w:r>
            <w:r>
              <w:rPr>
                <w:rFonts w:ascii="Times New Roman;Times;serif" w:hAnsi="Times New Roman;Times;serif"/>
                <w:b w:val="false"/>
                <w:i w:val="false"/>
                <w:caps w:val="false"/>
                <w:smallCaps w:val="false"/>
                <w:sz w:val="20"/>
              </w:rPr>
              <w:t>. Each of 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Exclusive Purchase Option Agreements among NetEase Hangzhou, Hangzhou Leihuo and each of the ultimate shareholders of Hangzhou Leihuo</w:t>
            </w:r>
            <w:r>
              <w:rPr>
                <w:rFonts w:ascii="Times New Roman;Times;serif" w:hAnsi="Times New Roman;Times;serif"/>
                <w:b w:val="false"/>
                <w:i w:val="false"/>
                <w:caps w:val="false"/>
                <w:smallCaps w:val="false"/>
                <w:sz w:val="20"/>
              </w:rPr>
              <w:t>. Under the Exclusive Purchase Option Agreements, each dated December 1, 2015, each of the ultimate shareholders of Hangzhou 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Shareholder Voting Rights Trust Agreement between NetEase Hangzhou and each of the ultimate shareholders of Hangzhou Leihuo</w:t>
            </w:r>
            <w:r>
              <w:rPr>
                <w:rFonts w:ascii="Times New Roman;Times;serif" w:hAnsi="Times New Roman;Times;serif"/>
                <w:b w:val="false"/>
                <w:i w:val="false"/>
                <w:caps w:val="false"/>
                <w:smallCaps w:val="false"/>
                <w:sz w:val="20"/>
              </w:rPr>
              <w:t>. Under these 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Operating Agreement among NetEase Hangzhou, Hangzhou Leihuo and the ultimate shareholders of Hangzhou Leihuo. </w:t>
            </w:r>
            <w:r>
              <w:rPr>
                <w:rFonts w:ascii="Times New Roman;Times;serif" w:hAnsi="Times New Roman;Times;serif"/>
                <w:b w:val="false"/>
                <w:i w:val="false"/>
                <w:caps w:val="false"/>
                <w:smallCaps w:val="false"/>
                <w:sz w:val="20"/>
              </w:rPr>
              <w:t>To ensure the 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Cooperation Agreement between NetEase Hangzhou and Hangzhou Leihuo. </w:t>
            </w:r>
            <w:r>
              <w:rPr>
                <w:rFonts w:ascii="Times New Roman;Times;serif" w:hAnsi="Times New Roman;Times;serif"/>
                <w:b w:val="false"/>
                <w:i w:val="false"/>
                <w:caps w:val="false"/>
                <w:smallCaps w:val="false"/>
                <w:sz w:val="20"/>
              </w:rPr>
              <w:t>Under this Cooperation Agreement, NetEase Hangzhou has agreed to provide the following services: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(including, but not limited to, online games) and technical support and maintenance for computer software operation;</w:t>
            </w:r>
          </w:p>
        </w:tc>
      </w:tr>
    </w:tbl>
    <w:tbl>
      <w:tblPr>
        <w:tblW w:w="6816" w:type="dxa"/>
        <w:jc w:val="left"/>
        <w:tblInd w:w="0" w:type="dxa"/>
        <w:tblCellMar>
          <w:top w:w="28" w:type="dxa"/>
          <w:left w:w="28" w:type="dxa"/>
          <w:bottom w:w="28" w:type="dxa"/>
          <w:right w:w="28" w:type="dxa"/>
        </w:tblCellMar>
      </w:tblPr>
      <w:tblGrid>
        <w:gridCol w:w="124"/>
        <w:gridCol w:w="256"/>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broadband internet access and other operational support;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jointly with Hangzhou Leihuo, the provision of value-added telecommunication and other services to users of the Leihuo website and relevant products.</w:t>
            </w:r>
          </w:p>
        </w:tc>
      </w:tr>
    </w:tbl>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Agreements relating to Youdao Computer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Feng Zhou, the chief executive officer of Youdao, owns 28.9% of the equity interest in Youdao Computer, and William Lei Ding owns 71.1% of the equity interest in Youdao Computer.</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Loan Agreements between Youdao Information and each of William Lei Ding and Feng Zhou</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Each of William Lei Ding and Feng Zhou 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 proceeds from the loans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Equity Pledge Agreements between Youdao Information and each of William Lei Ding and Feng Zhou</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Each of William Lei Ding and Feng 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Exclusive Purchase Option Agreements</w:t>
            </w:r>
            <w:r>
              <w:rPr>
                <w:rFonts w:ascii="Times New Roman;Times;serif" w:hAnsi="Times New Roman;Times;serif"/>
                <w:b w:val="false"/>
                <w:i w:val="false"/>
                <w:caps w:val="false"/>
                <w:smallCaps w:val="false"/>
                <w:sz w:val="20"/>
              </w:rPr>
              <w:t>. Each of William Lei Ding and Feng Zhou entered into an Exclusive Purchase Option Agreement with Youdao Information and Youdao Computer, dated September 26, 2016 and November 20, 2017, respectively. Under such Exclusive Purchase Option Agreements,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Shareholder Voting Rights Trust Agreements between Youdao Information and each of William Lei Ding and Feng Zhou. </w:t>
            </w:r>
            <w:r>
              <w:rPr>
                <w:rFonts w:ascii="Times New Roman;Times;serif" w:hAnsi="Times New Roman;Times;serif"/>
                <w:b w:val="false"/>
                <w:i w:val="false"/>
                <w:caps w:val="false"/>
                <w:smallCaps w:val="false"/>
                <w:sz w:val="20"/>
              </w:rPr>
              <w:t>Each of William Lei Ding and Feng Zhou entered into a Shareholder Voting Rights Trust Agreement with Youdao Information, dated September 26, 2016 and November 20, 2017, respectively. Under such Shareholder Voting Rights Trust Agreements,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Operating Agreements among Youdao Computer, Youdao Information and each of William Lei Ding and Feng Zhou</w:t>
            </w:r>
            <w:r>
              <w:rPr>
                <w:rFonts w:ascii="Times New Roman;Times;serif" w:hAnsi="Times New Roman;Times;serif"/>
                <w:b w:val="false"/>
                <w:i w:val="false"/>
                <w:caps w:val="false"/>
                <w:smallCaps w:val="false"/>
                <w:sz w:val="20"/>
              </w:rPr>
              <w:t>. To ensure the successful performance of the various agreements between the parties, each of William Lei Ding and Feng Zhou entered into an Operating Agreement with Youdao Computer and Youdao Information, dated September 26, 2016 and November 20, 2017, respectively. Under such Operating Agreements,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As counter-guarantee, Youdao Computer agreed to pledge the account receivable in its operations and all of its assets to Youdao Information, which pledge has not been implemented as of the date of the filing of this annual report. Furthermore, each of William Lei Ding and Feng Zhou agreed that, upon instruction from Youdao Information, he would appoint candidates recommended by Youdao Information as Youdao Computer’s board members, president, chief financial officer and other senior executive officers. The term of each Operating Agreement is 20 years from the date of execution and can be extended with the written consent of Youdao Information.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Cooperation Agreement between Youdao Information and Youdao Computer</w:t>
            </w:r>
            <w:r>
              <w:rPr>
                <w:rFonts w:ascii="Times New Roman;Times;serif" w:hAnsi="Times New Roman;Times;serif"/>
                <w:b w:val="false"/>
                <w:i w:val="false"/>
                <w:caps w:val="false"/>
                <w:smallCaps w:val="false"/>
                <w:sz w:val="20"/>
              </w:rPr>
              <w:t>. Under this Cooperation Agreement, Youdao Information has agreed to provide the following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(including, but not limited to, generating online advertisement and distribution and maintenance of related software) and technical support and maintenance for computer software operation;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related to generating online advertisement, establishment of platforms for online advertisement and related updates and operational support;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technology support, including, but not limited to, server maintenance, development of server software and related maintenance and updates.</w:t>
            </w:r>
          </w:p>
        </w:tc>
      </w:tr>
    </w:tbl>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Agreements relating to Hangzhou Yuedu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Yiwen Zhu previously owned 1% of the equity interest in Hangzhou Yuedu and in November 2022, Yiwen Zhu ceased to own any equity of Hangzhou Yuedu and Dong Zhang became the 1% equity interest owner of Hangzhou Yuedu. All the VIE agreements that Yiwen Zhu previously entered with Hangzhou NetEase Cloud Music and/or Hangzhou Yuedu have been terminated, and Dong Zhang entered into the same VIE agreements with Hangzhou NetEase Cloud Music and/or Hangzhou Yuedu. As of the date of the filing of this annual report, William Lei Ding, our Chief Executive Officer, and Dong Zhang own 99.0% and 1.0% of the equity interest in Hangzhou Yuedu, respectively.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Cooperation Agreement</w:t>
            </w:r>
            <w:r>
              <w:rPr>
                <w:rFonts w:ascii="Times New Roman;Times;serif" w:hAnsi="Times New Roman;Times;serif"/>
                <w:b w:val="false"/>
                <w:i w:val="false"/>
                <w:caps w:val="false"/>
                <w:smallCaps w:val="false"/>
                <w:sz w:val="20"/>
              </w:rPr>
              <w:t>. Under the amended and restated cooperation agreement entered into by Hangzhou Yuedu and Hangzhou NetEase Cloud Music dated on May 18, 2021, Hangzhou Yuedu have agreed to engage Hangzhou NetEase Cloud Music as its exclusive cooperation partner, providing users, among other things and as the case may be, with technical services, including software development, technical support and maintenance, network technology services, server maintenance, relevant software development and update, and technology development, technical assistance and support in relation to electronic publication and telecommunication, in exchange for service fees. Hangzhou Yuedu and Hangzhou NetEase Cloud Music shall share the income generated from its cooperation. The distributable income shall consist of the total income of Hangzhou Yuedu, after deduction of any relevant operating costs, expenses, taxes and other statutory contributions, and profits to be retained by Hangzhou Yuedu. Hangzhou NetEase Cloud Music shall be entitled to receive the entire portion of the distributable income, or if applicable, to share the distributable income with other entities who are affiliates of Hangzhou NetEase Cloud Music according to the service statements confirmed by Hangzhou NetEase Cloud Music and these entities. Hangzhou Yuedu and Hangzhou NetEase Cloud Music shall settle the service fees on a regular basis. This agreement remains in effect unless terminated by written notice from Hangzhou NetEase Cloud Music, and Hangzhou Yuedu shall not terminate the cooperation agreement without the written consent from Hangzhou NetEase Cloud Music.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Operating Agreement</w:t>
            </w:r>
            <w:r>
              <w:rPr>
                <w:rFonts w:ascii="Times New Roman;Times;serif" w:hAnsi="Times New Roman;Times;serif"/>
                <w:b w:val="false"/>
                <w:i w:val="false"/>
                <w:caps w:val="false"/>
                <w:smallCaps w:val="false"/>
                <w:sz w:val="20"/>
              </w:rPr>
              <w:t>. Under the operating agreement entered into by Hangzhou Yuedu, William Lei Ding and Dong Zhang and Hangzhou NetEase Cloud Music dated November 9, 2022, Hangzhou NetEase Cloud Music agreed to be the guarantor of Hangzhou Yuedu in, and provide full guarantees for the performance of, the contracts, agreements or transactions entered into between Hangzhou Yuedu and any third-party in connection with Hangzhou Yuedu’ businesses and operations. Hangzhou Yuedu, in return, agreed to pledge the accounts receivable in its operations and all of its assets to Hangzhou NetEase Cloud Music. Hangzhou Yuedu, William Lei Ding and Dong Zhang also jointly agreed that without Hangzhou NetEase Cloud Music’s prior written consent, Hangzhou Yuedu would not engage in any transaction that may materially affect their assets, liabilities, rights or operations, except that Hangzhou Yuedu may enter into business contracts or agreements, sell or purchase assets and create liens in favor of relevant counter parties as required by law in the ordinary course of business. William Lei Ding and Dong Zhang shall appoint candidates recommended by Hangzhou NetEase Cloud Music as directors of Hangzhou Yuedu, and Hangzhou Yuedu shall appoint Hangzhou NetEase Cloud Music’s senior executive officers recommended by Hangzhou NetEase Cloud Music as Hangzhou Yuedu’ senior management.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Exclusive Purchase Option Agreement</w:t>
            </w:r>
            <w:r>
              <w:rPr>
                <w:rFonts w:ascii="Times New Roman;Times;serif" w:hAnsi="Times New Roman;Times;serif"/>
                <w:b w:val="false"/>
                <w:i w:val="false"/>
                <w:caps w:val="false"/>
                <w:smallCaps w:val="false"/>
                <w:sz w:val="20"/>
              </w:rPr>
              <w:t>. On May 18, 2021, Hangzhou Yuedu, Hangzhou NetEase Cloud Music and William Lei Ding entered into an amended and restated exclusive purchase option agreement, and on November 9, 2022, Hangzhou Yuedu, Hangzhou NetEase Cloud Music and Dong Zhang entered into an exclusive purchase option agreement on substantially the same terms (collectively, the “Exclusive Purchase Option Agreements”). Under the Exclusive Purchase Option Agreements, William Lei Ding and Dong Zhang irrevocably granted Hangzhou NetEase Cloud Music an option, exercisable in one or more times, to purchase or cause any person(s) designated by Hangzhou NetEase Cloud Music to purchase, to the extent permitted under any applicable PRC laws, a portion of or all of William Lei Ding and Dong Zhang’s equity interests in Hangzhou Yuedu at any time and from time to time, for a consideration equals to, the outstanding loan amounts under the relevant Loan Agreements or otherwise for the minimum amount of consideration permitted by applicable PRC laws, under circumstances in which Hangzhou NetEase Cloud Music or its designated third party is permitted under PRC laws to acquire all or part of the assets of Hangzhou Yuedu, subject to adjustments. None of the material assets of Hangzhou Yuedu are to be sold, transferred or otherwise disposed of without the written consent of Hangzhou NetEase Cloud Music. In addition, under the Exclusive Purchase Option Agreements, William Lei Ding and Dong Zhang may not transfer or permit the encumbrance of or allow any guarantee or security to be created on any of its equity interest in Hangzhou Yuedu without Hangzhou NetEase Cloud Music’s prior written consent.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Equity Pledge Agreements</w:t>
            </w:r>
            <w:r>
              <w:rPr>
                <w:rFonts w:ascii="Times New Roman;Times;serif" w:hAnsi="Times New Roman;Times;serif"/>
                <w:b w:val="false"/>
                <w:i w:val="false"/>
                <w:caps w:val="false"/>
                <w:smallCaps w:val="false"/>
                <w:sz w:val="20"/>
              </w:rPr>
              <w:t>. On May 18, 2021, Hangzhou NetEase Cloud Music and William Lei Ding entered into an amended and restated equity pledge agreement, and on November 9, 2022, Hangzhou NetEase Cloud Music and Dong Zhang entered into an equity pledge agreement on substantially the same terms (collectively, the “Equity Pledge Agreements”). Under the Equity Pledge Agreements, William Lei Ding and Dong Zhang agreed to pledge all their respective equity interests in Hangzhou Yuedu that they legally own to Hangzhou NetEase Cloud Music as a first security interest to guarantee the timely and complete payment and performance of contractual obligations under the relevant VIE agreements. William Lei Ding and Dong Zhang have further agreed that, without prior written consent of Hangzhou NetEase Cloud Music, they will not transfer or dispose the pledged equity interests or create or allow any third party to create any encumbrance on the pledged equity interests that would prejudice Hangzhou NetEase Cloud Music’s interest.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Shareholder Voting Right Trust Agreements and Powers of Attorney</w:t>
            </w:r>
            <w:r>
              <w:rPr>
                <w:rFonts w:ascii="Times New Roman;Times;serif" w:hAnsi="Times New Roman;Times;serif"/>
                <w:b w:val="false"/>
                <w:i w:val="false"/>
                <w:caps w:val="false"/>
                <w:smallCaps w:val="false"/>
                <w:sz w:val="20"/>
              </w:rPr>
              <w:t>. On May 18, 2021, Hangzhou NetEase Cloud Music and William Lei Ding entered into (i) an amended and restated shareholder voting right trust agreement and (ii) a powers of attorney, and on November 9, 2022, Hangzhou NetEase Cloud Music and Dong Zhang entered into (i) a shareholder voting right trust agreement and (ii) a powers of attorney, both on substantially the same terms (collectively, (i) the “Shareholder Voting Right Trust Agreements” and (ii) “Powers of Attorney,” respectively). Under the Shareholder Voting Right Trust Agreements and the Powers of Attorney, William Lei Ding and Dong Zhang have appointed Hangzhou NetEase Cloud Music and the person designated by Hangzhou NetEase Cloud Music director or his/her successor as their agent and attorney to act on their behalf on all matters concerning Hangzhou Yuedu and to exercise all of their rights as a registered shareholder of Hangzhou Yuedu.</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Loan Agreement</w:t>
            </w:r>
            <w:r>
              <w:rPr>
                <w:rFonts w:ascii="Times New Roman;Times;serif" w:hAnsi="Times New Roman;Times;serif"/>
                <w:b w:val="false"/>
                <w:i w:val="false"/>
                <w:caps w:val="false"/>
                <w:smallCaps w:val="false"/>
                <w:sz w:val="20"/>
              </w:rPr>
              <w:t>. On May 18, 2021, Hangzhou NetEase Cloud Music and William Lei Ding entered into an amended and restated loan agreement, and on November 9, 2022, Hangzhou NetEase Cloud Music and Dong Zhang entered into a loan agreement on substantially the same terms (collectively, the “Loan Agreements”). Under the Loan Agreements, Hangzhou NetEase Cloud Music agreed to provide loans to William Lei Ding and Dong Zhang to be used exclusively as investment in Hangzhou Yuedu. The loans must not be used for any other purposes without the lender’s prior written consent. The term of each loan shall be ten years from the date of the respective Loan Agreement and will be automatically extended for another ten years unless otherwise indicated by the lender. The borrowers shall not make any repayment of their respective loan prior to the expiration of the term or termination of the relevant loan without the lender’s prior written consent. The loans shall terminate on the date the lender exercises its exclusive purchase option under the relevant Exclusive Purchase Option Agreement, or when certain defined termination events occur, such as when the lender sends a written notice demanding repayment to the respective borrower, or upon the default of the respective borrower, whichever is earlier. After the lender exercises its exclusive purchase option, the respective borrower shall repay the respective loan by transferring all of his equity interest in Hangzhou Yuedu to the lender, or persons designated by the lender. If the transfer price for the equity interest in Hangzhou Yuedu is higher than the principal of the loan under the relevant Loan Agreement, any surplus would be considered interest for the loan.</w:t>
            </w:r>
          </w:p>
        </w:tc>
      </w:tr>
    </w:tbl>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Subsidiary Guarantees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several guarantee agreements in the aggregate amount of US$2,575.0 million in respect of certain credit facilities taken by our subsidiaries. As of December 31, 2022, US$461.0 million of such credit facilities had not been utilized.</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Agreements with Youdao</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 intellectual property license agreement and multiple loan agreements, each of which are summarized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Master Transaction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Transitional Services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transitional services agreement, we have agreed that, during the service period as described below, we will provide Youdao with various corporate support and services such as legal support, human resources support, financial reporting, internal control and internal audit support, technology and operational support, and administrative support. The price to be paid for the services provided under the transitional services agreement is calculated by multiplying the sum of the actual “direct costs” and “indirect costs” of providing such services by 100% plus a reasonable mark-up rate as determined by us. Direct costs include labor-related compensation and travel expenses, materials and supplies consumed in and agency fees arising from performing the services. Indirect costs include office occupancy, information technology support and other overhead costs of the departments incurring the direct costs of providing the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service period under the transitional services agreement commenced upon the completion of Youdao’s initial public offering and will end on the earliest of (i) the fifth anniversary of the completion of Youdao’s initial public offering, (ii) one year after the Control Ending Date, (iii) the date the transitional services agreement is terminated by Youdao or us, whichever is earlier.</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Non-competition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compete with Youdao in the provision of the Online Learning Business, provided that such non-compete restrictions shall not prevent the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non-competition agreement provides that if there is any ambiguity in the scope of business subject to the foregoing non-compete restrictions, our interpretation shall prevail.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Cooperation Framework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years after the Control Ending Date.</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Intellectual Property License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Loan Agreements and Guarantees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various loan agreements to extend loans to Youdao. These loans were used to provide working capital for the daily operations of Youdao with the original term of one year. In April 2021, we also entered into a revolving loan facility with Youdao in the principal amount of US$300 million to support its long-term growth. As of December 31, 2022, the total principal amount of interest-bearing short-term loans outstanding to Youdao was RMB878.0 million (US$127.3 million), and the total principal amount of interest-bearing long-term loans outstanding to Youdao was US$75.0 million (equivalent to RMB522.3 million), which was drawn down from the above-mentioned revolving loan facility. Youdao has further drawn down US$5.0 million (equivalent to RMB34.5 million) interest-bearing long-term loans in 2023 as of the date of the filing of this annual report.</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 xml:space="preserve">Agreements with Cloud Music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which became listed on the Hong Kong Stock Exchange in December 2021, is currently our majority-controlled subsidiary. We entered into a framework agreement with Cloud Music to govern key aspects of the intragroup transactions between Cloud Music and us (the “Cloud Music Framework Agreement”), including (a) from us to Cloud Music (i) intellectual property licensing services, (ii) advertising agency services, (iii) bandwidth, server custody and rack services, (iv) information technology services, (v) shared services and (iv) product procurement, and (b) from Cloud Music to us, advertising services and others. The transactions under the Cloud Music Framework Agreement will continue until December 31, 2023 (date inclusive), except with respect to the intellectual property licensing services where we grant Cloud Music a royalty-free license to non-exclusively use certain intellectual property, including software copyrights, domain names, trademarks and logos relating or registered by us, which will be in perpetuity.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Interests of Experts and Counsel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7" w:name="Item8FinancialInformation_197711"/>
      <w:bookmarkStart w:id="78" w:name="_f24488fa_2d3e_4b40_a322_0c346e8564dd"/>
      <w:bookmarkEnd w:id="77"/>
      <w:bookmarkEnd w:id="78"/>
      <w:r>
        <w:rPr>
          <w:rFonts w:ascii="Times New Roman;Times;serif" w:hAnsi="Times New Roman;Times;serif"/>
          <w:b/>
          <w:sz w:val="20"/>
        </w:rPr>
        <w:t>Item 8.  Financial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Please see Item 18. “Financial Statements” for our audited consolidated financial statements filed as part of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A.7        Legal Proceedings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NetEase’s mobile games, Rules of Survival and Knives Out, infringed PUBG’s copyrights and trade dress in their competing game, Player Unknown’s Battlegrounds. On March 11, 2019, NetEase entered into a settlement agreement with PUBG, and the lawsuit was dismissed. On October 15, 2019, PUBG filed a second lawsuit against the same NetEase defendants, also in the U.S. District Court for the Northern District of California, claiming NetEase had allegedly breached the settlement agreement. On March 3, 2020, the court dismissed PUBG’s new lawsuit, without prejudice, for lack of subject matter jurisdiction. On March 4, 2020, NetEase initiated a declaratory judgment action against PUBG in the Superior Court of California for the County of San Mateo, requesting a declaration that NetEase had not breached the settlement agreement. On March 13, 2020, PUBG filed a cross claim in the same Court, realleging that we breached the settlement agreement. The court has set the trial date on May 1, 2023, and the litigation remains ongoing as of the date of the filing of this annual report.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nor are we aware of, any other legal proceeding, investigation or claim which, in the opinion of our management, is likely to have a material adverse effect on our business, financial condition or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A.8         Dividend Policy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 Prior to our current dividend policy, our quarterly dividends for each quarter in 2020 and 2021 were determined by our board of directors in an amount equivalent to approximately 20% to 30% of our anticipated net income after tax in that quarter. Our board of directors declared dividends of US$0.3220 per ADS (US$0.0644 per ordinary share), US$0.3600 per ADS (US$0.0720 per ordinary share), US$0.4350 per ADS (US$0.0870 per ordinary share) and US$0.2700 per ADS (US$0.0540 per ordinary share) for the first, second, third and fourth quarters of 2022,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and our ability to pay dividends to our shareholders depends upon dividends, loans or advances that we receive from our subsidiaries and the VIEs. Please refer to Item 3.D. “Key Information—Risk Factors—Risks Related to Our Business and Industry—Our corporate structure may restrict our ability to receive dividends from, and transfer funds to, our China mainland subsidiaries and the VIEs, which could restrict our ability to act in response to changing market conditions and reallocate funds internally in a timely manner.”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           Significant Changes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have not experienced any significant changes since the date of our audited consolidated financial statements included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9" w:name="Item9TheOfferandListing_212738"/>
      <w:bookmarkStart w:id="80" w:name="_399e037d_3b21_4d2c_b3f7_07fd504eac05"/>
      <w:bookmarkEnd w:id="79"/>
      <w:bookmarkEnd w:id="80"/>
      <w:r>
        <w:rPr>
          <w:rFonts w:ascii="Times New Roman;Times;serif" w:hAnsi="Times New Roman;Times;serif"/>
          <w:b/>
          <w:sz w:val="20"/>
        </w:rPr>
        <w:t>Item 9.   The Offer and Listing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 except for Item 9.A.4 and Item 9.C.</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Our ADSs have been listed on the NASDAQ Global Select Market since June 30, 2000 and trade under the symbol “NTES.” Our shares have been listed on the Hong Kong Stock Exchange since June 11, 2020 and trade under the symbol “9999.”</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81" w:name="Item10AdditionalInformation_69482"/>
      <w:bookmarkStart w:id="82" w:name="_bc977ac0_b0b4_40c9_8b48_56752c25bfb8"/>
      <w:bookmarkEnd w:id="81"/>
      <w:bookmarkEnd w:id="82"/>
      <w:r>
        <w:rPr>
          <w:rFonts w:ascii="Times New Roman;Times;serif" w:hAnsi="Times New Roman;Times;serif"/>
          <w:b/>
          <w:sz w:val="20"/>
        </w:rPr>
        <w:t>Item 10. Additional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Share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Memorandum and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presents a description of the terms and provisions of our restated memorandum and articles of association.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incorporated in the Cayman Islands on July 6, 1999 and operate under the Cayman Islands Companies Act, as revised and amended from time to time, or the Companies Act. Our corporate objectives and purpose are unrestricted.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Directors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shareholding qualification for directors may be fixed by NetEase in a general meeting, but unless and until so fixed, there are no shareholding qualifications. Further, there are no age limitations or retirement requirements and no share ownership qualifications for directors unless so fixed by shareholders in a general meeting.</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Rights, Preferences and Restrictions of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All of our issued and outstanding shares are fully paid and non-assessable. Shares are issued in registered form. Our shareholders who are non-residents of the Cayman Islands may freely hold and vote their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shares are entitled to such dividends as may be declared by our board of directors. Under Cayman 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Each share is entitled to one vote on all matters upon which the shares are entitled to vote, including the election of directors. Voting at any meeting of shareholders is by show of hands unless a poll is demanded. A poll may be demanded by the Chairman or any other shareholder present. A quorum required for a meeting of shareholders consists of one or more member’s holding shares which carry, in aggregate, not less than one third of the votes attaching to all issued and outstanding shares and entitled to vote, present at the meeting.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appoint directors, appoint auditors, and increase our share capital. Both ordinary resolutions and special resolutions may also be passed by a unanimous written resolution signed by all the shareholders of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Upon the winding up of our company, assets available for 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days prior to the specified time or times of payment. The shares that have been called upon and remain unpaid are subject to forfeiture.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Subject to the provisions of the Companies Act and our memorandum and articles of association, we may issue shares on the terms that they are, or at our option or at the option of the holders are, subject to redemption on such terms and in such manner as we may, before the issue of the shares, determine by special resolution. Subject to the provisions of the Companies Act and our memorandum and articles of association, we may also repurchase any of our shares provided that the manner of such purchase has first been approved by ordinary resolution of our shareholders.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Variations of Rights of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rights attached to any class of shares (unless otherwise provided by the terms of issue of the shares of that class) may, subject to the provisions of the Companies Act, be varied either with the consent in writing of the holders of three-fourths of the issued shares of that class or with the sanction of a special resolution passed at a general meeting of the holders of the shares of that class.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General Meetings of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fourteen days is required for the convening of the annual general meeting and other shareholders meetings.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Limitations on the Right to Own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on the right to own our shares.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Limitations on Transfer of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provisions in our restated memorandum or articles of association that would have an effect of delaying, deferring or preventing a change in control and that would operate only with respect to a merger, acquisition or corporate restructuring.</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Disclosure of Shareholder Ownership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provisions in our restated memorandum or articles of association that require our company to disclose shareholder ownership above any particular ownership threshold.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Changes in Capital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tbl>
      <w:tblPr>
        <w:tblW w:w="9171" w:type="dxa"/>
        <w:jc w:val="left"/>
        <w:tblInd w:w="0" w:type="dxa"/>
        <w:tblCellMar>
          <w:top w:w="28" w:type="dxa"/>
          <w:left w:w="28" w:type="dxa"/>
          <w:bottom w:w="28" w:type="dxa"/>
          <w:right w:w="28" w:type="dxa"/>
        </w:tblCellMar>
      </w:tblPr>
      <w:tblGrid>
        <w:gridCol w:w="124"/>
        <w:gridCol w:w="316"/>
        <w:gridCol w:w="873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8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bl>
    <w:tbl>
      <w:tblPr>
        <w:tblW w:w="10205" w:type="dxa"/>
        <w:jc w:val="left"/>
        <w:tblInd w:w="0" w:type="dxa"/>
        <w:tblCellMar>
          <w:top w:w="28" w:type="dxa"/>
          <w:left w:w="28" w:type="dxa"/>
          <w:bottom w:w="28" w:type="dxa"/>
          <w:right w:w="28" w:type="dxa"/>
        </w:tblCellMar>
      </w:tblPr>
      <w:tblGrid>
        <w:gridCol w:w="124"/>
        <w:gridCol w:w="308"/>
        <w:gridCol w:w="9773"/>
      </w:tblGrid>
      <w:tr>
        <w:trPr/>
        <w:tc>
          <w:tcPr>
            <w:tcW w:w="12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77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smaller amount than is fixed by our restated memorandum of association or into shares without nominal or par value; and</w:t>
            </w:r>
          </w:p>
        </w:tc>
      </w:tr>
    </w:tbl>
    <w:tbl>
      <w:tblPr>
        <w:tblW w:w="10205" w:type="dxa"/>
        <w:jc w:val="left"/>
        <w:tblInd w:w="0" w:type="dxa"/>
        <w:tblCellMar>
          <w:top w:w="28" w:type="dxa"/>
          <w:left w:w="28" w:type="dxa"/>
          <w:bottom w:w="28" w:type="dxa"/>
          <w:right w:w="28" w:type="dxa"/>
        </w:tblCellMar>
      </w:tblPr>
      <w:tblGrid>
        <w:gridCol w:w="124"/>
        <w:gridCol w:w="312"/>
        <w:gridCol w:w="9769"/>
      </w:tblGrid>
      <w:tr>
        <w:trPr/>
        <w:tc>
          <w:tcPr>
            <w:tcW w:w="12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76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by special resolution reduce our share capital and any capital redemption reserve fund in any manner authorized by the Companies Act.</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Differences in Corporate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75% in value of shareholders, or (b) a majority in number representing 75% in value of creditors, depending on the circumstances,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tbl>
      <w:tblPr>
        <w:tblW w:w="6141" w:type="dxa"/>
        <w:jc w:val="left"/>
        <w:tblInd w:w="0" w:type="dxa"/>
        <w:tblCellMar>
          <w:top w:w="28" w:type="dxa"/>
          <w:left w:w="28" w:type="dxa"/>
          <w:bottom w:w="28" w:type="dxa"/>
          <w:right w:w="28" w:type="dxa"/>
        </w:tblCellMar>
      </w:tblPr>
      <w:tblGrid>
        <w:gridCol w:w="124"/>
        <w:gridCol w:w="256"/>
        <w:gridCol w:w="57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required vote have been complied with;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Indemnification</w:t>
      </w:r>
      <w:r>
        <w:rPr>
          <w:rFonts w:ascii="Times New Roman;Times;serif" w:hAnsi="Times New Roman;Times;serif"/>
          <w:sz w:val="20"/>
        </w:rPr>
        <w:t>. Cayman Islands law does not (other than as set forth hereafter)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          Material Contracts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elsewhere in this annual report.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          Exchange Controls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FIEs’ capital and Renminbi capital gained from the settlement of foreign exchange capital may not be directly or indirectly used for expenditure beyond the business scope of the FIEs or as prohibited by laws and regulations of the PRC. Such capital may not be directly or indirectly used for investments in securities, except as otherwise provided by laws and regulations. Except foreign-funded real estate enterprises, such capital may not be used for paying the costs relevant to the purchase of the real estate not for self-use.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Foreign Invested Enterprise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Foreign Invested Enterprise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Article 8.2, which became effective on January 1, 2020). Under Notice 28, FIEs without an investment business scope are also allowed to utilize and convert capital received from foreign investors for making equity investment in China. Previously this had been limited to FIEs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China mainland subsidiaries incurs debt on its own behalf in the future, the instruments governing the debt may restrict its ability to pay dividends or make other distributions to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pursuant to regulations promulgated by SAFE, China mainland subsidiaries of offshore parent companies may be prohibited from making distributions of profits to such offshore parent companies and from paying the offshore parent companies proceeds from any reduction in capital, share transfer or liquidation in respect of such China mainland subsidiaries, if PRC shareholders with a direct or indirect stake in the offshore parent company fail to make the requisite SAFE registrations.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to discourage the outflow of capital from China, the overall current regulatory environment relating to foreign exchange controls in China suggests that, as a matter of practice, SAFE has been making it increasingly difficult to exchange Renminbi into foreign currencies for offshore dividend payments or capital account settlement. For additional information on the SAFE regulations and the related risks to us, see Item 3.D. “Key Information—Risk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more information about foreign exchange control, see Item 3.D. “Key Information—Risk Factors—Risks Related to Our Business and Industry—Our corporate structure may restrict our ability to receive dividends from, and transfer funds to, our China mainland subsidiaries and the VIEs, which could restrict our ability to act in response to changing market conditions and reallocate funds internally in a timely manner.” and “Key Information—Risk Factors—Risks Related to Doing Business in China—Restrictions on currency exchange may limit our ability to utilize our revenues effectively.”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PRC, Hong Kong and United States federal income tax consequences relevant to the purchase, ownership or sale of our ordinary shares or ADSs is based upon laws and relevant interpretations thereof in effect as of the date of the filing of this annual report, all of which are subject to change. To the extent that the discussion relates to matters of Cayman Islands tax law, it represents the opinion of Maples and Calder (Hong Kong) LLP, our Cayman Islands counsel.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Cayman Islands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People’s Republic of China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as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Doing Business in China—We and our shareholders face uncertainties with respect to indirect transfers of equity interests in PRC resident enterprises by a non-PRC company.”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Hong Kong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subsidiaries in Hong Kong were subject to income tax on their taxable income generated from operations in Hong Kong at a rate of 16.5%. For the years 2020, 2021 and 2022, the first HK$2 million of profits earned by one of our subsidiaries incorporated in Hong Kong was taxed at a rate of 8.25%, while the remaining profits were taxed at the 16.5% tax rate. The payments of dividends by these companies to us are not subject to any Hong Kong withholding tax.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Dealings in our ordinary shares registered on our Hong Kong share register are subject to Hong Kong stamp duty. The stamp duty is charged to each of the seller and purchaser at the rate of 0.13% of the consideration for, or (if greater) the value of, our ordinary shares transferred. In other words, a total of 0.26% is currently payable on a typical sale and purchase transaction of our ordinary shares. In addition, a fixed duty of HK$5.00 is charged on each instrument of transfer (if required).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3.D. “Key Information—Risk Factors—Risks Related to Our ADSs and Shares—There is uncertainty as to whether Hong Kong stamp duty will apply to deposits of our ordinary shares into or withdrawal of our ordinary shares from the ADS facility or trading of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Material United States Federal Income Taxation Considerations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referred to in this section as the Code. This summary does not purport to be a complete analysis of all potential United States federal income tax consequences of the purchase, ownership, and disposition of the shares or ADSs. This summary is based upon existing U.S. federal income tax laws as of the date hereof, which is subject to differing interpretations or change, possibly with retroactive effect. Any such change or different interpretation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tbl>
      <w:tblPr>
        <w:tblW w:w="5571" w:type="dxa"/>
        <w:jc w:val="left"/>
        <w:tblInd w:w="0" w:type="dxa"/>
        <w:tblCellMar>
          <w:top w:w="28" w:type="dxa"/>
          <w:left w:w="28" w:type="dxa"/>
          <w:bottom w:w="28" w:type="dxa"/>
          <w:right w:w="28" w:type="dxa"/>
        </w:tblCellMar>
      </w:tblPr>
      <w:tblGrid>
        <w:gridCol w:w="124"/>
        <w:gridCol w:w="256"/>
        <w:gridCol w:w="5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dealers in stocks, securities, commodities or currencies;</w:t>
            </w:r>
          </w:p>
        </w:tc>
      </w:tr>
    </w:tbl>
    <w:tbl>
      <w:tblPr>
        <w:tblW w:w="7281" w:type="dxa"/>
        <w:jc w:val="left"/>
        <w:tblInd w:w="0" w:type="dxa"/>
        <w:tblCellMar>
          <w:top w:w="28" w:type="dxa"/>
          <w:left w:w="28" w:type="dxa"/>
          <w:bottom w:w="28" w:type="dxa"/>
          <w:right w:w="28" w:type="dxa"/>
        </w:tblCellMar>
      </w:tblPr>
      <w:tblGrid>
        <w:gridCol w:w="124"/>
        <w:gridCol w:w="256"/>
        <w:gridCol w:w="69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(including securities traders) that use a mark-to-market accounting method;</w:t>
            </w:r>
          </w:p>
        </w:tc>
      </w:tr>
    </w:tbl>
    <w:tbl>
      <w:tblPr>
        <w:tblW w:w="3156" w:type="dxa"/>
        <w:jc w:val="left"/>
        <w:tblInd w:w="0" w:type="dxa"/>
        <w:tblCellMar>
          <w:top w:w="28" w:type="dxa"/>
          <w:left w:w="28" w:type="dxa"/>
          <w:bottom w:w="28" w:type="dxa"/>
          <w:right w:w="28" w:type="dxa"/>
        </w:tblCellMar>
      </w:tblPr>
      <w:tblGrid>
        <w:gridCol w:w="124"/>
        <w:gridCol w:w="256"/>
        <w:gridCol w:w="2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financial institutions;</w:t>
            </w:r>
          </w:p>
        </w:tc>
      </w:tr>
    </w:tbl>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CellMar>
          <w:top w:w="28" w:type="dxa"/>
          <w:left w:w="28" w:type="dxa"/>
          <w:bottom w:w="28" w:type="dxa"/>
          <w:right w:w="28" w:type="dxa"/>
        </w:tblCellMar>
      </w:tblPr>
      <w:tblGrid>
        <w:gridCol w:w="124"/>
        <w:gridCol w:w="256"/>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1656" w:type="dxa"/>
        <w:jc w:val="left"/>
        <w:tblInd w:w="0" w:type="dxa"/>
        <w:tblCellMar>
          <w:top w:w="28" w:type="dxa"/>
          <w:left w:w="28" w:type="dxa"/>
          <w:bottom w:w="28" w:type="dxa"/>
          <w:right w:w="28" w:type="dxa"/>
        </w:tblCellMar>
      </w:tblPr>
      <w:tblGrid>
        <w:gridCol w:w="124"/>
        <w:gridCol w:w="256"/>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shares or ADSs as part of a hedging, conversion, straddle, or other integrated transaction for U.S. federal income tax purposes;</w:t>
            </w:r>
          </w:p>
        </w:tc>
      </w:tr>
    </w:tbl>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shares or ADSs under the constructive sale provisions of the Code;</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residents of the United States;</w:t>
            </w:r>
          </w:p>
        </w:tc>
      </w:tr>
    </w:tbl>
    <w:tbl>
      <w:tblPr>
        <w:tblW w:w="5091" w:type="dxa"/>
        <w:jc w:val="left"/>
        <w:tblInd w:w="0" w:type="dxa"/>
        <w:tblCellMar>
          <w:top w:w="28" w:type="dxa"/>
          <w:left w:w="28" w:type="dxa"/>
          <w:bottom w:w="28" w:type="dxa"/>
          <w:right w:w="28" w:type="dxa"/>
        </w:tblCellMar>
      </w:tblPr>
      <w:tblGrid>
        <w:gridCol w:w="124"/>
        <w:gridCol w:w="25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Class A ordinary shares through such entities; and</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indirect or constructive owners of 10% or more of the total combined vote or value of all classes of our equity.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also does not address the U.S. federal estate, gift, alternative minimum tax, and other non-income tax considerations, the Medicare tax on certain net investment income, or any state, local or non-U.S. tax considerations, relating to the ownership or disposition of our ADSs or ordinary shares. Prospective purchasers are urged to consult their tax advisors about the United States federal, state and local and non-U.S. tax consequences to them of the purchase, ownership and disposition of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summary, “U.S. Holder” means a beneficial holder of shares or ADSs who or that for United States federal income tax purposes is:</w:t>
      </w:r>
    </w:p>
    <w:tbl>
      <w:tblPr>
        <w:tblW w:w="4821" w:type="dxa"/>
        <w:jc w:val="left"/>
        <w:tblInd w:w="0" w:type="dxa"/>
        <w:tblCellMar>
          <w:top w:w="28" w:type="dxa"/>
          <w:left w:w="28" w:type="dxa"/>
          <w:bottom w:w="28" w:type="dxa"/>
          <w:right w:w="28" w:type="dxa"/>
        </w:tblCellMar>
      </w:tblPr>
      <w:tblGrid>
        <w:gridCol w:w="124"/>
        <w:gridCol w:w="256"/>
        <w:gridCol w:w="44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classified as a corporation for United States federal income tax purposes) created or organized in or under the laws of the United States, any state thereof or the District of Columbia;</w:t>
            </w:r>
          </w:p>
        </w:tc>
      </w:tr>
    </w:tbl>
    <w:tbl>
      <w:tblPr>
        <w:tblW w:w="9231" w:type="dxa"/>
        <w:jc w:val="left"/>
        <w:tblInd w:w="0" w:type="dxa"/>
        <w:tblCellMar>
          <w:top w:w="28" w:type="dxa"/>
          <w:left w:w="28" w:type="dxa"/>
          <w:bottom w:w="28" w:type="dxa"/>
          <w:right w:w="28" w:type="dxa"/>
        </w:tblCellMar>
      </w:tblPr>
      <w:tblGrid>
        <w:gridCol w:w="124"/>
        <w:gridCol w:w="256"/>
        <w:gridCol w:w="8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Taxation of Dividends and Other Distributions on the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Taxation of Disposition of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you will generally recognize taxable gain or loss on any sale or exchange or other taxable disposition of a share or ADS in an amount equal to the difference between the amount realized for the share or ADS and your adjusted tax basis in the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See discussion above under the heading “Taxation of Dividends and Other Distributions on the Shares or ADSs” regarding the potential availability of U.S.-PRC Tax Treaty Benefits.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Passive Foreign Investment Companies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be treated as owning our proportionate share of the assets and earning our proportionate share of the income of any other corporation in which we own, directly or indirectly, more than 25% (by value) of the stock.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certain estimates of our gross income and gross assets (which estimates are inherently imprecise) and certain assumptions, we do not believe that we were a PFIC for taxable year 2022 for United States federal income tax purposes. We have not obtained any opinion of counsel or any rulings from the Internal Revenue Service regarding our status as a PFIC. The determination of whether we will be classified as a PFIC is made annually and depends on particular facts and circumstances. In particular, the fair market value of some of our assets may be determined in large part by the market price of the ADSs, which is likely to fluctuate. In addition, the composition of our income and assets will be affected by how, and how quickly, we use our liquid assets, including cash.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2022 or that we will not be a PFIC for any future taxable year.</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U.S. Federal Income Tax Treatment of a Shareholder of a PFIC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pStyle w:val="TextBody"/>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Mark-to-Market Election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pStyle w:val="TextBody"/>
        <w:spacing w:before="0" w:after="240"/>
        <w:ind w:left="720" w:right="0" w:hanging="0"/>
        <w:jc w:val="both"/>
        <w:rPr/>
      </w:pPr>
      <w:r>
        <w:rPr/>
        <w:t>“</w:t>
      </w:r>
      <w:r>
        <w:rPr>
          <w:rFonts w:ascii="Times New Roman;Times;serif" w:hAnsi="Times New Roman;Times;serif"/>
          <w:b/>
          <w:i/>
          <w:sz w:val="20"/>
        </w:rPr>
        <w:t>QEF” Election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U.S. Holders should consult their tax advisors regarding the potential application of the PFIC regime, including eligibility for and the manner and advisability of making a mark-to-market election and related reporting requirements.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Information Reporting and Backup Withholding; Specified Foreign Financial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fails to furnish the holder’s taxpayer identification number, which for an individual is generally his or her social security number;</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furnishes an incorrect taxpayer identification number;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withholding agent is notified by the IRS that the holder previously failed to properly report payments of interest or dividends;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fails to certify under penalties of perjury that the holder has furnished a correct taxpayer identification number and that the IRS has not notified the holder that the holder is subject to backup withholding.</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ABOVE DISCUSSION DOES NOT COVER ALL TAX MATTERS THAT MAY BE OF IMPORTANCE TO A PARTICULAR INVESTOR. PROSPECTIVE INVESTORS ARE STRONGLY URGED TO CONSULT THEIR OWN TAX ADVISORS ABOUT THE TAX CONSEQUENCES OF AN INVESTMENT IN OUR ORDINARY SHARES OR ADSs.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Enforcement of Civil Liabilities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in the Cayman Islands because of the following benefits found there:</w:t>
      </w:r>
    </w:p>
    <w:tbl>
      <w:tblPr>
        <w:tblW w:w="3186" w:type="dxa"/>
        <w:jc w:val="left"/>
        <w:tblInd w:w="0" w:type="dxa"/>
        <w:tblCellMar>
          <w:top w:w="28" w:type="dxa"/>
          <w:left w:w="28" w:type="dxa"/>
          <w:bottom w:w="28" w:type="dxa"/>
          <w:right w:w="28" w:type="dxa"/>
        </w:tblCellMar>
      </w:tblPr>
      <w:tblGrid>
        <w:gridCol w:w="124"/>
        <w:gridCol w:w="256"/>
        <w:gridCol w:w="2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bl>
    <w:tbl>
      <w:tblPr>
        <w:tblW w:w="2811" w:type="dxa"/>
        <w:jc w:val="left"/>
        <w:tblInd w:w="0" w:type="dxa"/>
        <w:tblCellMar>
          <w:top w:w="28" w:type="dxa"/>
          <w:left w:w="28" w:type="dxa"/>
          <w:bottom w:w="28" w:type="dxa"/>
          <w:right w:w="28" w:type="dxa"/>
        </w:tblCellMar>
      </w:tblPr>
      <w:tblGrid>
        <w:gridCol w:w="124"/>
        <w:gridCol w:w="256"/>
        <w:gridCol w:w="24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bl>
    <w:tbl>
      <w:tblPr>
        <w:tblW w:w="2391" w:type="dxa"/>
        <w:jc w:val="left"/>
        <w:tblInd w:w="0" w:type="dxa"/>
        <w:tblCellMar>
          <w:top w:w="28" w:type="dxa"/>
          <w:left w:w="28" w:type="dxa"/>
          <w:bottom w:w="28" w:type="dxa"/>
          <w:right w:w="28" w:type="dxa"/>
        </w:tblCellMar>
      </w:tblPr>
      <w:tblGrid>
        <w:gridCol w:w="124"/>
        <w:gridCol w:w="256"/>
        <w:gridCol w:w="2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bl>
    <w:tbl>
      <w:tblPr>
        <w:tblW w:w="4761" w:type="dxa"/>
        <w:jc w:val="left"/>
        <w:tblInd w:w="0" w:type="dxa"/>
        <w:tblCellMar>
          <w:top w:w="28" w:type="dxa"/>
          <w:left w:w="28" w:type="dxa"/>
          <w:bottom w:w="28" w:type="dxa"/>
          <w:right w:w="28" w:type="dxa"/>
        </w:tblCellMar>
      </w:tblPr>
      <w:tblGrid>
        <w:gridCol w:w="124"/>
        <w:gridCol w:w="256"/>
        <w:gridCol w:w="4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certain disadvantages accompany incorporation in the Cayman Islands. These disadvantages include, but are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provides significantly less protection to investors; and</w:t>
            </w:r>
          </w:p>
        </w:tc>
      </w:tr>
    </w:tbl>
    <w:tbl>
      <w:tblPr>
        <w:tblW w:w="8826" w:type="dxa"/>
        <w:jc w:val="left"/>
        <w:tblInd w:w="0" w:type="dxa"/>
        <w:tblCellMar>
          <w:top w:w="28" w:type="dxa"/>
          <w:left w:w="28" w:type="dxa"/>
          <w:bottom w:w="28" w:type="dxa"/>
          <w:right w:w="28" w:type="dxa"/>
        </w:tblCellMar>
      </w:tblPr>
      <w:tblGrid>
        <w:gridCol w:w="124"/>
        <w:gridCol w:w="256"/>
        <w:gridCol w:w="8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constitutional documents do not contain provisions requiring that disputes, including those arising under the securities laws of the United States, between us, our officers, directors and shareholders be arbitrated.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Maples and Calder (Hong Kong) LLP, our counsel as to Cayman Islands law, and Zhong Lun Lawyers, our counsel as to Chinese law, have advised us, respectively, that there is uncertainty as to whether the courts of the Cayman Islands or China would: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(1)recognize or enforce judgments of United States courts obtained against us or our directors or officers predicated upon the civil liability provisions of the securities laws of the United States or any state in the United States; or</w:t>
      </w:r>
    </w:p>
    <w:p>
      <w:pPr>
        <w:pStyle w:val="TextBody"/>
        <w:ind w:left="0" w:right="0" w:hanging="0"/>
        <w:jc w:val="both"/>
        <w:rPr>
          <w:rFonts w:ascii="Times New Roman;Times;serif" w:hAnsi="Times New Roman;Times;serif"/>
          <w:sz w:val="20"/>
        </w:rPr>
      </w:pPr>
      <w:r>
        <w:rPr>
          <w:rFonts w:ascii="Times New Roman;Times;serif" w:hAnsi="Times New Roman;Times;serif"/>
          <w:sz w:val="20"/>
        </w:rPr>
        <w:t>(2)entertain original actions brought in the Cayman Islands or China against us or our directors or officers predicated upon the securities laws of the United States or any state in the United States.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           Dividends and Paying Agents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G.           Statement by Experts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H.           Documents on Display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corporate website can be accessed at http://ir.netease.com.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have been prepared in accordance with U.S. GAAP.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            Subsidiary Information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83" w:name="Item11QuantitativeandQualitativeDisclosu"/>
      <w:bookmarkStart w:id="84" w:name="_7c3b8b3c_8954_4491_98f9_525312d127c5"/>
      <w:bookmarkEnd w:id="83"/>
      <w:bookmarkEnd w:id="84"/>
      <w:r>
        <w:rPr>
          <w:rFonts w:ascii="Times New Roman;Times;serif" w:hAnsi="Times New Roman;Times;serif"/>
          <w:b/>
          <w:sz w:val="20"/>
        </w:rPr>
        <w:t>Item 11. Quantitative and Qualitative Disclosures About Market Risk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exposure to market rate risk for changes in interest rates relates primarily to the interest income generated by excess cash invested in financial products issued by commercial banks in China, as well as interest expenses payable on our short-term bank borrowings. All of our short-term bank borrowings as of December 31, 2022 were at fixed rates.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2022, a 10% change in the interest rate would result in an increase or decrease of RMB215.0 million (US$31.2 million) of our total amount of net interest income or of RMB34.3 million (US$5.0 million) of our total amount of investment income from short-term investments in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majority of our revenues and expenses are denominated in Renminbi, but as noted above, a certain portion of our cash is also kept in U.S. dollars as well as various other currencies. Although we believe that, in general, our exposure to foreign exchange risks should be limited, the value of our ADSs will be affected by the foreign exchange rate between U.S. dollars, other foreign currencies and Renminbi. For example, to the extent that we need to convert U.S. dollars and other foreign currencies into Renminbi for our operational needs and the Renminbi appreciates against the U.S. dollars and other foreign currencies at that time, our financial position and the price of our ADSs may be adversely affected. Conversely, if we decide to convert our Renminbi into U.S. dollars for the purpose of declaring dividends on our ADSs or otherwise and the U.S. dollar or other foreign currencies appreciates against the Renminbi, the U.S. dollar equivalent of our earnings from our subsidiaries and controlled entities in China would be reduced.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gains of RMB1,571.2 million (US$227.8 million) in 2022, compared to net foreign exchange losses of RMB490.5 million in 2021.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U.S. dollar-denominated debt outstanding of US$2,776.0 million. If the U.S. dollar had appreciated/depreciated by 10% against the Renminbi, our U.S. dollar-denominated debt as of December 31, 2022 would have increased/decreased by RMB1,914.7 million in Renminbi terms.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U.S. dollar-denominated cash and cash equivalents and time deposits of US$9,044.8 million. If the U.S. dollar had appreciated/depreciated by 10% against the Renminbi, our U.S. dollar-denominated cash and cash equivalents and time deposits as of December 31, 2022 would have increased/decreased by RMB6,238.4 million in Renminbi terms.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5" w:name="Item12DescriptionofSecuritiesOtherthanEq"/>
      <w:bookmarkStart w:id="86" w:name="_e8d0df24_948a_47a6_9e6d_dde13d69a5e4"/>
      <w:bookmarkEnd w:id="85"/>
      <w:bookmarkEnd w:id="86"/>
      <w:r>
        <w:rPr>
          <w:rFonts w:ascii="Times New Roman;Times;serif" w:hAnsi="Times New Roman;Times;serif"/>
          <w:b/>
          <w:sz w:val="20"/>
        </w:rPr>
        <w:t>Item 12. Description of Securities Other than Equity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Debt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Warrants and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Other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American Depositary Shares</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ADSs representing our ordinary shares trade on Nasdaq. Dealings in our ADSs on Nasdaq are conducted in U.S. dollars.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ADSs may be held either:</w:t>
      </w:r>
    </w:p>
    <w:tbl>
      <w:tblPr>
        <w:tblW w:w="10205" w:type="dxa"/>
        <w:jc w:val="left"/>
        <w:tblInd w:w="0" w:type="dxa"/>
        <w:tblCellMar>
          <w:top w:w="28" w:type="dxa"/>
          <w:left w:w="28" w:type="dxa"/>
          <w:bottom w:w="28" w:type="dxa"/>
          <w:right w:w="28" w:type="dxa"/>
        </w:tblCellMar>
      </w:tblPr>
      <w:tblGrid>
        <w:gridCol w:w="124"/>
        <w:gridCol w:w="283"/>
        <w:gridCol w:w="9798"/>
      </w:tblGrid>
      <w:tr>
        <w:trPr/>
        <w:tc>
          <w:tcPr>
            <w:tcW w:w="12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79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(i) by having an American Depositary Receipt, also referred to as an ADR, which is a certificate evidencing a specific number of ADSs registered in the holder’s name; or (ii) by having uncertificated ADSs registered in the holder’s name; or</w:t>
            </w:r>
          </w:p>
        </w:tc>
      </w:tr>
    </w:tbl>
    <w:tbl>
      <w:tblPr>
        <w:tblW w:w="10205" w:type="dxa"/>
        <w:jc w:val="left"/>
        <w:tblInd w:w="0" w:type="dxa"/>
        <w:tblCellMar>
          <w:top w:w="28" w:type="dxa"/>
          <w:left w:w="28" w:type="dxa"/>
          <w:bottom w:w="28" w:type="dxa"/>
          <w:right w:w="28" w:type="dxa"/>
        </w:tblCellMar>
      </w:tblPr>
      <w:tblGrid>
        <w:gridCol w:w="124"/>
        <w:gridCol w:w="307"/>
        <w:gridCol w:w="9774"/>
      </w:tblGrid>
      <w:tr>
        <w:trPr/>
        <w:tc>
          <w:tcPr>
            <w:tcW w:w="12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77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indirectly, by holding a security entitlement in ADSs through a broker or other financial institution that is a direct or indirect participant in The Depository Trust Company, also called DTC.</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for our ADSs is The Bank of New York Mellon, whose office is located at 240 Greenwich Street, New York, New York 10286, United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Fees and charges our ADS holders may have to pay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406"/>
        <w:gridCol w:w="326"/>
        <w:gridCol w:w="2004"/>
        <w:gridCol w:w="2469"/>
      </w:tblGrid>
      <w:tr>
        <w:trPr/>
        <w:tc>
          <w:tcPr>
            <w:tcW w:w="540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2"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73"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540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Persons depositing or withdrawing shares or ADS holders must pay: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7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rPr/>
            </w:pPr>
            <w:r>
              <w:rPr/>
              <w:t>​</w:t>
            </w:r>
          </w:p>
        </w:tc>
      </w:tr>
      <w:tr>
        <w:trPr/>
        <w:tc>
          <w:tcPr>
            <w:tcW w:w="54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US$5.00 or less per 100 ADSs (or portion thereof)</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Issuance of ADSs, including issuances resulting from a distribution of ordinary shares or rights or other property</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Cancellation of ADSs for the purpose of withdrawal, including if the deposit agreement terminates</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US$0.02 or less per ADS (or portion thereof)</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Distributions of cash dividends or other cash distributions</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54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US$1.50 or less per certificate presented for transfer</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Transfer of American depositary receipts, or ADRs</w:t>
            </w:r>
          </w:p>
        </w:tc>
      </w:tr>
      <w:tr>
        <w:trPr/>
        <w:tc>
          <w:tcPr>
            <w:tcW w:w="54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Registration or transfer fees</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Transfer and registration of shares on our share register to or from the name of the depositary or its agent when you deposit or withdraw shares</w:t>
            </w:r>
          </w:p>
        </w:tc>
      </w:tr>
      <w:tr>
        <w:trPr/>
        <w:tc>
          <w:tcPr>
            <w:tcW w:w="54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Expenses of the depositary</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Cable, telex and facsimile transmissions (when expressly provided in the deposit agreement)</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04" w:type="dxa"/>
            <w:tcBorders/>
            <w:shd w:fill="auto" w:val="clear"/>
            <w:vAlign w:val="center"/>
          </w:tcPr>
          <w:p>
            <w:pPr>
              <w:pStyle w:val="TableContents"/>
              <w:spacing w:before="0" w:after="0"/>
              <w:ind w:left="0" w:right="0" w:hanging="0"/>
              <w:jc w:val="both"/>
              <w:rPr/>
            </w:pPr>
            <w:r>
              <w:rPr/>
              <w:t>​</w:t>
            </w:r>
          </w:p>
        </w:tc>
        <w:tc>
          <w:tcPr>
            <w:tcW w:w="2469" w:type="dxa"/>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0"/>
              <w:jc w:val="both"/>
              <w:rPr/>
            </w:pPr>
            <w:r>
              <w:rPr/>
              <w:t>●    </w:t>
            </w:r>
            <w:r>
              <w:rPr>
                <w:rFonts w:ascii="Times New Roman;Times;serif" w:hAnsi="Times New Roman;Times;serif"/>
                <w:sz w:val="20"/>
              </w:rPr>
              <w:t>Converting foreign currency to U.S. dollars</w:t>
            </w:r>
          </w:p>
        </w:tc>
      </w:tr>
      <w:tr>
        <w:trPr/>
        <w:tc>
          <w:tcPr>
            <w:tcW w:w="5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04" w:type="dxa"/>
            <w:tcBorders/>
            <w:shd w:fill="auto" w:val="clear"/>
            <w:vAlign w:val="center"/>
          </w:tcPr>
          <w:p>
            <w:pPr>
              <w:pStyle w:val="TableContents"/>
              <w:spacing w:before="0" w:after="0"/>
              <w:ind w:left="0" w:right="0" w:hanging="0"/>
              <w:jc w:val="both"/>
              <w:rPr/>
            </w:pPr>
            <w:r>
              <w:rPr/>
              <w:t>​</w:t>
            </w:r>
          </w:p>
        </w:tc>
        <w:tc>
          <w:tcPr>
            <w:tcW w:w="2469" w:type="dxa"/>
            <w:tcBorders/>
            <w:shd w:fill="auto" w:val="clear"/>
            <w:vAlign w:val="center"/>
          </w:tcPr>
          <w:p>
            <w:pPr>
              <w:pStyle w:val="TableContents"/>
              <w:spacing w:before="0" w:after="0"/>
              <w:ind w:left="0" w:right="0" w:hanging="0"/>
              <w:jc w:val="both"/>
              <w:rPr/>
            </w:pPr>
            <w:r>
              <w:rPr/>
              <w:t>​</w:t>
            </w:r>
          </w:p>
        </w:tc>
      </w:tr>
      <w:tr>
        <w:trPr/>
        <w:tc>
          <w:tcPr>
            <w:tcW w:w="5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have to pay on any ADS or ordinary shares underlying an ADS, for example, stock transfer taxes, stamp duty or withholding taxes</w:t>
            </w:r>
          </w:p>
        </w:tc>
        <w:tc>
          <w:tcPr>
            <w:tcW w:w="326" w:type="dxa"/>
            <w:tcBorders/>
            <w:shd w:fill="auto" w:val="clear"/>
            <w:vAlign w:val="center"/>
          </w:tcPr>
          <w:p>
            <w:pPr>
              <w:pStyle w:val="TableContents"/>
              <w:spacing w:before="0" w:after="0"/>
              <w:ind w:left="0" w:right="0" w:hanging="0"/>
              <w:rPr/>
            </w:pPr>
            <w:r>
              <w:rPr/>
              <w:t>​</w:t>
            </w:r>
          </w:p>
        </w:tc>
        <w:tc>
          <w:tcPr>
            <w:tcW w:w="4473" w:type="dxa"/>
            <w:gridSpan w:val="2"/>
            <w:tcBorders/>
            <w:shd w:fill="auto" w:val="clear"/>
            <w:vAlign w:val="center"/>
          </w:tcPr>
          <w:p>
            <w:pPr>
              <w:pStyle w:val="TableContents"/>
              <w:pBdr/>
              <w:spacing w:before="0" w:after="0"/>
              <w:ind w:left="0" w:right="0" w:hanging="331"/>
              <w:rPr/>
            </w:pPr>
            <w:r>
              <w:rPr/>
              <w:t>●    </w:t>
            </w:r>
            <w:r>
              <w:rPr>
                <w:rFonts w:ascii="Times New Roman;Times;serif" w:hAnsi="Times New Roman;Times;serif"/>
                <w:sz w:val="20"/>
              </w:rPr>
              <w:t>As necessary</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Fees and other payments made by the depositary to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depositary has agreed to share with us certain fees payable to the depositary by holders of ADSs. For the year ended December 31, 2022, the depositary paid us US$4.4 million pursuant to this arrangement.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ordinary shares trade on the Hong Kong Stock Exchange in board lots of 100 ordinary shares. Dealings in our ordinary shares on the Hong Kong Stock Exchange will be conducted in Hong Kong dollars.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transaction costs of dealings in our ordinary shares on the Hong Kong Stock Exchange include:</w:t>
      </w:r>
    </w:p>
    <w:tbl>
      <w:tblPr>
        <w:tblW w:w="10205" w:type="dxa"/>
        <w:jc w:val="left"/>
        <w:tblInd w:w="0" w:type="dxa"/>
        <w:tblCellMar>
          <w:top w:w="0" w:type="dxa"/>
          <w:left w:w="0" w:type="dxa"/>
          <w:bottom w:w="0" w:type="dxa"/>
          <w:right w:w="0" w:type="dxa"/>
        </w:tblCellMar>
      </w:tblPr>
      <w:tblGrid>
        <w:gridCol w:w="124"/>
        <w:gridCol w:w="310"/>
        <w:gridCol w:w="9771"/>
      </w:tblGrid>
      <w:tr>
        <w:trPr/>
        <w:tc>
          <w:tcPr>
            <w:tcW w:w="12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97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Hong Kong Stock Exchange trading fee of 0.005% of the consideration of the transaction, charged to each of the buyer and seller;</w:t>
            </w:r>
          </w:p>
        </w:tc>
      </w:tr>
    </w:tbl>
    <w:tbl>
      <w:tblPr>
        <w:tblW w:w="10205" w:type="dxa"/>
        <w:jc w:val="left"/>
        <w:tblInd w:w="0" w:type="dxa"/>
        <w:tblCellMar>
          <w:top w:w="0" w:type="dxa"/>
          <w:left w:w="0" w:type="dxa"/>
          <w:bottom w:w="0" w:type="dxa"/>
          <w:right w:w="0" w:type="dxa"/>
        </w:tblCellMar>
      </w:tblPr>
      <w:tblGrid>
        <w:gridCol w:w="124"/>
        <w:gridCol w:w="314"/>
        <w:gridCol w:w="9767"/>
      </w:tblGrid>
      <w:tr>
        <w:trPr/>
        <w:tc>
          <w:tcPr>
            <w:tcW w:w="12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976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Securities and Futures Commission of Hong Kong transaction levy of 0.0027% of the consideration of the transaction, charged to each of the buyer and seller;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295"/>
        <w:gridCol w:w="9786"/>
      </w:tblGrid>
      <w:tr>
        <w:trPr/>
        <w:tc>
          <w:tcPr>
            <w:tcW w:w="12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w:t>
            </w:r>
          </w:p>
        </w:tc>
        <w:tc>
          <w:tcPr>
            <w:tcW w:w="97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trading tariff of HK$0.50 on each and every purchase or sale transaction. The decision on whether or not to pass the trading tariff onto investors is at the discretion of brokers;</w:t>
            </w:r>
          </w:p>
        </w:tc>
      </w:tr>
    </w:tbl>
    <w:tbl>
      <w:tblPr>
        <w:tblW w:w="7971" w:type="dxa"/>
        <w:jc w:val="left"/>
        <w:tblInd w:w="0" w:type="dxa"/>
        <w:tblCellMar>
          <w:top w:w="0" w:type="dxa"/>
          <w:left w:w="0" w:type="dxa"/>
          <w:bottom w:w="0" w:type="dxa"/>
          <w:right w:w="0" w:type="dxa"/>
        </w:tblCellMar>
      </w:tblPr>
      <w:tblGrid>
        <w:gridCol w:w="124"/>
        <w:gridCol w:w="331"/>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w:t>
            </w:r>
          </w:p>
        </w:tc>
        <w:tc>
          <w:tcPr>
            <w:tcW w:w="75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transfer deed stamp duty of HK$5.00 per transfer deed (if applicable), payable by the seller;</w:t>
            </w:r>
          </w:p>
        </w:tc>
      </w:tr>
    </w:tbl>
    <w:tbl>
      <w:tblPr>
        <w:tblW w:w="10205" w:type="dxa"/>
        <w:jc w:val="left"/>
        <w:tblInd w:w="0" w:type="dxa"/>
        <w:tblCellMar>
          <w:top w:w="0" w:type="dxa"/>
          <w:left w:w="0" w:type="dxa"/>
          <w:bottom w:w="0" w:type="dxa"/>
          <w:right w:w="0" w:type="dxa"/>
        </w:tblCellMar>
      </w:tblPr>
      <w:tblGrid>
        <w:gridCol w:w="124"/>
        <w:gridCol w:w="310"/>
        <w:gridCol w:w="9771"/>
      </w:tblGrid>
      <w:tr>
        <w:trPr/>
        <w:tc>
          <w:tcPr>
            <w:tcW w:w="12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w:t>
            </w:r>
          </w:p>
        </w:tc>
        <w:tc>
          <w:tcPr>
            <w:tcW w:w="97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ad valorem</w:t>
            </w:r>
            <w:r>
              <w:rPr>
                <w:rFonts w:ascii="Times New Roman;Times;serif" w:hAnsi="Times New Roman;Times;serif"/>
                <w:sz w:val="20"/>
              </w:rPr>
              <w:t xml:space="preserve"> stamp duty at a total rate of 0.2% of the value of the transaction, with 0.1% payable by each of the buyer and the seller;</w:t>
            </w:r>
          </w:p>
        </w:tc>
      </w:tr>
    </w:tbl>
    <w:tbl>
      <w:tblPr>
        <w:tblW w:w="10205" w:type="dxa"/>
        <w:jc w:val="left"/>
        <w:tblInd w:w="0" w:type="dxa"/>
        <w:tblCellMar>
          <w:top w:w="0" w:type="dxa"/>
          <w:left w:w="0" w:type="dxa"/>
          <w:bottom w:w="0" w:type="dxa"/>
          <w:right w:w="0" w:type="dxa"/>
        </w:tblCellMar>
      </w:tblPr>
      <w:tblGrid>
        <w:gridCol w:w="124"/>
        <w:gridCol w:w="267"/>
        <w:gridCol w:w="9814"/>
      </w:tblGrid>
      <w:tr>
        <w:trPr/>
        <w:tc>
          <w:tcPr>
            <w:tcW w:w="12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w:t>
            </w:r>
          </w:p>
        </w:tc>
        <w:tc>
          <w:tcPr>
            <w:tcW w:w="981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stock settlement fee, which is currently 0.002% of the gross transaction value, subject to a minimum fee of HK$2.00 and a maximum fee of HK$100.00 per side per trade;</w:t>
            </w:r>
          </w:p>
        </w:tc>
      </w:tr>
    </w:tbl>
    <w:tbl>
      <w:tblPr>
        <w:tblW w:w="10205" w:type="dxa"/>
        <w:jc w:val="left"/>
        <w:tblInd w:w="0" w:type="dxa"/>
        <w:tblCellMar>
          <w:top w:w="0" w:type="dxa"/>
          <w:left w:w="0" w:type="dxa"/>
          <w:bottom w:w="0" w:type="dxa"/>
          <w:right w:w="0" w:type="dxa"/>
        </w:tblCellMar>
      </w:tblPr>
      <w:tblGrid>
        <w:gridCol w:w="124"/>
        <w:gridCol w:w="295"/>
        <w:gridCol w:w="9786"/>
      </w:tblGrid>
      <w:tr>
        <w:trPr/>
        <w:tc>
          <w:tcPr>
            <w:tcW w:w="12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(g)</w:t>
            </w:r>
          </w:p>
        </w:tc>
        <w:tc>
          <w:tcPr>
            <w:tcW w:w="97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tc>
      </w:tr>
    </w:tbl>
    <w:tbl>
      <w:tblPr>
        <w:tblW w:w="10205" w:type="dxa"/>
        <w:jc w:val="left"/>
        <w:tblInd w:w="0" w:type="dxa"/>
        <w:tblCellMar>
          <w:top w:w="0" w:type="dxa"/>
          <w:left w:w="0" w:type="dxa"/>
          <w:bottom w:w="0" w:type="dxa"/>
          <w:right w:w="0" w:type="dxa"/>
        </w:tblCellMar>
      </w:tblPr>
      <w:tblGrid>
        <w:gridCol w:w="124"/>
        <w:gridCol w:w="287"/>
        <w:gridCol w:w="9794"/>
      </w:tblGrid>
      <w:tr>
        <w:trPr/>
        <w:tc>
          <w:tcPr>
            <w:tcW w:w="12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(h)</w:t>
            </w:r>
          </w:p>
        </w:tc>
        <w:tc>
          <w:tcPr>
            <w:tcW w:w="979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initial public offering of our ordinary shares in Hong Kong (the “Hong Kong Public Offering”), we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Maples Fund Services (Cayman) Limited.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ordinary shares offered in the Hong Kong Public Offering were registered on the Hong Kong share register in order to be listed and traded on the Hong Kong Stock Exchange.</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Converting Ordinary Shares Trading in Hong Kong into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deposit of ordinary shares trading in Hong Kong in exchange for ADSs involves the following procedures:</w:t>
      </w:r>
    </w:p>
    <w:tbl>
      <w:tblPr>
        <w:tblW w:w="10205" w:type="dxa"/>
        <w:jc w:val="left"/>
        <w:tblInd w:w="0" w:type="dxa"/>
        <w:tblCellMar>
          <w:top w:w="0" w:type="dxa"/>
          <w:left w:w="0" w:type="dxa"/>
          <w:bottom w:w="0" w:type="dxa"/>
          <w:right w:w="0" w:type="dxa"/>
        </w:tblCellMar>
      </w:tblPr>
      <w:tblGrid>
        <w:gridCol w:w="124"/>
        <w:gridCol w:w="276"/>
        <w:gridCol w:w="9805"/>
      </w:tblGrid>
      <w:tr>
        <w:trPr/>
        <w:tc>
          <w:tcPr>
            <w:tcW w:w="12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980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tc>
      </w:tr>
    </w:tbl>
    <w:tbl>
      <w:tblPr>
        <w:tblW w:w="10205" w:type="dxa"/>
        <w:jc w:val="left"/>
        <w:tblInd w:w="0" w:type="dxa"/>
        <w:tblCellMar>
          <w:top w:w="0" w:type="dxa"/>
          <w:left w:w="0" w:type="dxa"/>
          <w:bottom w:w="0" w:type="dxa"/>
          <w:right w:w="0" w:type="dxa"/>
        </w:tblCellMar>
      </w:tblPr>
      <w:tblGrid>
        <w:gridCol w:w="124"/>
        <w:gridCol w:w="294"/>
        <w:gridCol w:w="9787"/>
      </w:tblGrid>
      <w:tr>
        <w:trPr/>
        <w:tc>
          <w:tcPr>
            <w:tcW w:w="12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97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tc>
      </w:tr>
    </w:tbl>
    <w:tbl>
      <w:tblPr>
        <w:tblW w:w="10205" w:type="dxa"/>
        <w:jc w:val="left"/>
        <w:tblInd w:w="0" w:type="dxa"/>
        <w:tblCellMar>
          <w:top w:w="0" w:type="dxa"/>
          <w:left w:w="0" w:type="dxa"/>
          <w:bottom w:w="0" w:type="dxa"/>
          <w:right w:w="0"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w:t>
            </w:r>
          </w:p>
        </w:tc>
        <w:tc>
          <w:tcPr>
            <w:tcW w:w="980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Converting ADSs to Ordinary Shares Trading in Hong Kong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investors holding ADSs directly, the following steps must be taken:</w:t>
      </w:r>
    </w:p>
    <w:tbl>
      <w:tblPr>
        <w:tblW w:w="10205" w:type="dxa"/>
        <w:jc w:val="left"/>
        <w:tblInd w:w="0" w:type="dxa"/>
        <w:tblCellMar>
          <w:top w:w="0" w:type="dxa"/>
          <w:left w:w="0" w:type="dxa"/>
          <w:bottom w:w="0" w:type="dxa"/>
          <w:right w:w="0" w:type="dxa"/>
        </w:tblCellMar>
      </w:tblPr>
      <w:tblGrid>
        <w:gridCol w:w="124"/>
        <w:gridCol w:w="276"/>
        <w:gridCol w:w="9805"/>
      </w:tblGrid>
      <w:tr>
        <w:trPr/>
        <w:tc>
          <w:tcPr>
            <w:tcW w:w="12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980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tc>
      </w:tr>
    </w:tbl>
    <w:tbl>
      <w:tblPr>
        <w:tblW w:w="10205" w:type="dxa"/>
        <w:jc w:val="left"/>
        <w:tblInd w:w="0" w:type="dxa"/>
        <w:tblCellMar>
          <w:top w:w="0" w:type="dxa"/>
          <w:left w:w="0" w:type="dxa"/>
          <w:bottom w:w="0" w:type="dxa"/>
          <w:right w:w="0" w:type="dxa"/>
        </w:tblCellMar>
      </w:tblPr>
      <w:tblGrid>
        <w:gridCol w:w="124"/>
        <w:gridCol w:w="294"/>
        <w:gridCol w:w="9787"/>
      </w:tblGrid>
      <w:tr>
        <w:trPr/>
        <w:tc>
          <w:tcPr>
            <w:tcW w:w="12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97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tc>
      </w:tr>
    </w:tbl>
    <w:tbl>
      <w:tblPr>
        <w:tblW w:w="10205" w:type="dxa"/>
        <w:jc w:val="left"/>
        <w:tblInd w:w="0" w:type="dxa"/>
        <w:tblCellMar>
          <w:top w:w="0" w:type="dxa"/>
          <w:left w:w="0" w:type="dxa"/>
          <w:bottom w:w="0" w:type="dxa"/>
          <w:right w:w="0" w:type="dxa"/>
        </w:tblCellMar>
      </w:tblPr>
      <w:tblGrid>
        <w:gridCol w:w="124"/>
        <w:gridCol w:w="307"/>
        <w:gridCol w:w="9774"/>
      </w:tblGrid>
      <w:tr>
        <w:trPr/>
        <w:tc>
          <w:tcPr>
            <w:tcW w:w="12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w:t>
            </w:r>
          </w:p>
        </w:tc>
        <w:tc>
          <w:tcPr>
            <w:tcW w:w="977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an investor prefers to receive the ordinary shares outside CCASS, he/she must so indicate in the instruction delivered to the depositary.</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pStyle w:val="TextBody"/>
        <w:spacing w:before="0" w:after="240"/>
        <w:ind w:left="0" w:right="0" w:firstLine="720"/>
        <w:jc w:val="both"/>
        <w:rPr>
          <w:rFonts w:ascii="Times New Roman;Times;serif" w:hAnsi="Times New Roman;Times;serif"/>
          <w:b/>
          <w:sz w:val="20"/>
        </w:rPr>
      </w:pPr>
      <w:r>
        <w:rPr>
          <w:rFonts w:ascii="Times New Roman;Times;serif" w:hAnsi="Times New Roman;Times;serif"/>
          <w:b/>
          <w:sz w:val="20"/>
        </w:rPr>
        <w:t>Depositary Requirements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depositary delivers ADSs or permits withdrawal of the ordinary shares, the depositary may require:</w:t>
      </w:r>
    </w:p>
    <w:tbl>
      <w:tblPr>
        <w:tblW w:w="10205" w:type="dxa"/>
        <w:jc w:val="left"/>
        <w:tblInd w:w="0" w:type="dxa"/>
        <w:tblCellMar>
          <w:top w:w="0" w:type="dxa"/>
          <w:left w:w="0" w:type="dxa"/>
          <w:bottom w:w="0" w:type="dxa"/>
          <w:right w:w="0" w:type="dxa"/>
        </w:tblCellMar>
      </w:tblPr>
      <w:tblGrid>
        <w:gridCol w:w="124"/>
        <w:gridCol w:w="312"/>
        <w:gridCol w:w="9769"/>
      </w:tblGrid>
      <w:tr>
        <w:trPr/>
        <w:tc>
          <w:tcPr>
            <w:tcW w:w="12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976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production of satisfactory proof of the identity and genuineness of any signature or other information it deems necessary; and</w:t>
            </w:r>
          </w:p>
        </w:tc>
      </w:tr>
    </w:tbl>
    <w:tbl>
      <w:tblPr>
        <w:tblW w:w="10205" w:type="dxa"/>
        <w:jc w:val="left"/>
        <w:tblInd w:w="0" w:type="dxa"/>
        <w:tblCellMar>
          <w:top w:w="0" w:type="dxa"/>
          <w:left w:w="0" w:type="dxa"/>
          <w:bottom w:w="0" w:type="dxa"/>
          <w:right w:w="0" w:type="dxa"/>
        </w:tblCellMar>
      </w:tblPr>
      <w:tblGrid>
        <w:gridCol w:w="124"/>
        <w:gridCol w:w="312"/>
        <w:gridCol w:w="9769"/>
      </w:tblGrid>
      <w:tr>
        <w:trPr/>
        <w:tc>
          <w:tcPr>
            <w:tcW w:w="12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976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compliance with procedures it may establish, from time to time, consistent with the deposit agreement, including completion and presentation of transfer documents.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All costs attributable to the transfer of the ordinary shares to effect a withdrawal from or deposit of the ordinary shares into our ADS program will be borne by the investor requesting the transfer or deposit. In particular, holders of ordinary shares and ADSs should note that the Hong Kong Share Registrar will charge between HK$2.50 to HK$20, depending on the speed of service (or such higher fee as may from time to time be permitted under the Hong Kong Listing Rules), for each transfer of the ordinary shares from one registered owner to another, each share certificate canceled or issued by it and any applicable fee as stated in the share transfer forms used in Hong Kong. In addition, holders of the ordinary shares and ADSs must pay up to US$5.00 per 100 ADSs (or portion thereof) for each issuance of ADSs and each cancelation of ADSs, as the case may be, in connection with the deposit of the ordinary shares into, or withdrawal of the ordinary shares from, the ADS facility.</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87" w:name="PARTII_489037"/>
      <w:bookmarkStart w:id="88" w:name="_123e30f4_92e7_469d_a0f0_5422a3ba773b"/>
      <w:bookmarkEnd w:id="87"/>
      <w:bookmarkEnd w:id="88"/>
      <w:r>
        <w:rPr>
          <w:rFonts w:ascii="Times New Roman;Times;serif" w:hAnsi="Times New Roman;Times;serif"/>
          <w:b/>
          <w:sz w:val="20"/>
        </w:rPr>
        <w:t>PART II.</w:t>
      </w:r>
    </w:p>
    <w:p>
      <w:pPr>
        <w:pStyle w:val="TextBody"/>
        <w:spacing w:before="0" w:after="240"/>
        <w:ind w:left="0" w:right="0" w:hanging="0"/>
        <w:jc w:val="both"/>
        <w:rPr>
          <w:rFonts w:ascii="Times New Roman;Times;serif" w:hAnsi="Times New Roman;Times;serif"/>
          <w:b/>
          <w:sz w:val="20"/>
        </w:rPr>
      </w:pPr>
      <w:bookmarkStart w:id="89" w:name="Item13DefaultsDividendArrearagesandDelin"/>
      <w:bookmarkEnd w:id="89"/>
      <w:r>
        <w:rPr>
          <w:rFonts w:ascii="Times New Roman;Times;serif" w:hAnsi="Times New Roman;Times;serif"/>
          <w:b/>
          <w:sz w:val="20"/>
        </w:rPr>
        <w:t>Item 13. Defaults, Dividend Arrearages and Delinquencies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90" w:name="Item14MaterialModificationstotheRightsof"/>
      <w:bookmarkStart w:id="91" w:name="_39f4a1f9_3dfb_4799_addc_f6470d3fc99d"/>
      <w:bookmarkEnd w:id="90"/>
      <w:bookmarkEnd w:id="91"/>
      <w:r>
        <w:rPr>
          <w:rFonts w:ascii="Times New Roman;Times;serif" w:hAnsi="Times New Roman;Times;serif"/>
          <w:b/>
          <w:sz w:val="20"/>
        </w:rPr>
        <w:t>Item 14. Material Modifications to the Rights of Security Holders and Use of Proceeds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92" w:name="Item15ControlsandProcedures_447054"/>
      <w:bookmarkStart w:id="93" w:name="_44c75c99_a5cd_405b_9e43_5be7460a57dd"/>
      <w:bookmarkEnd w:id="92"/>
      <w:bookmarkEnd w:id="93"/>
      <w:r>
        <w:rPr>
          <w:rFonts w:ascii="Times New Roman;Times;serif" w:hAnsi="Times New Roman;Times;serif"/>
          <w:b/>
          <w:sz w:val="20"/>
        </w:rPr>
        <w:t>Item 15. Controls and Procedures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2022. Based on this evaluation, our Chief Executive Officer and Chief Financial Officer concluded that such disclosure controls and procedures were effective as of December 31,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management’s annual report on internal control over financial reporting is included in this annual report on pages F-1.</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PricewaterhouseCoopers Zhong Tian LLP, our independent registered public accounting firm, audited the effectiveness of our internal control over the financial reporting period of December 31, 2022 as stated in this annual report beginning on page F-2.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94" w:name="Item16AAuditCommitteeFinancialExpert_670"/>
      <w:bookmarkStart w:id="95" w:name="_63dd229c_fea3_4c4f_acf2_43aa9c3cedeb"/>
      <w:bookmarkEnd w:id="94"/>
      <w:bookmarkEnd w:id="95"/>
      <w:r>
        <w:rPr>
          <w:rFonts w:ascii="Times New Roman;Times;serif" w:hAnsi="Times New Roman;Times;serif"/>
          <w:b/>
          <w:sz w:val="20"/>
        </w:rPr>
        <w:t>Item 16A.            Audit Committee Financial Expert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Joseph Tong qualifies as an “audit committee financial expert” as defined by the applicable rules of the SEC and that Mr. Tong is “independent” as that term is defined in NASDAQ Marketplace Rule 5605(a)(2).</w:t>
      </w:r>
    </w:p>
    <w:p>
      <w:pPr>
        <w:pStyle w:val="TextBody"/>
        <w:spacing w:before="0" w:after="0"/>
        <w:ind w:left="0" w:right="0" w:firstLine="720"/>
        <w:jc w:val="both"/>
        <w:rPr/>
      </w:pPr>
      <w:r>
        <w:rPr/>
        <w:t>​</w:t>
      </w:r>
    </w:p>
    <w:p>
      <w:pPr>
        <w:pStyle w:val="TextBody"/>
        <w:spacing w:before="0" w:after="240"/>
        <w:ind w:left="0" w:right="0" w:hanging="0"/>
        <w:jc w:val="both"/>
        <w:rPr>
          <w:rFonts w:ascii="Times New Roman;Times;serif" w:hAnsi="Times New Roman;Times;serif"/>
          <w:b/>
          <w:sz w:val="20"/>
        </w:rPr>
      </w:pPr>
      <w:bookmarkStart w:id="96" w:name="Item16BCodeofEthics_580028"/>
      <w:bookmarkStart w:id="97" w:name="_933a8e5e_d143_4163_bce3_791c16f643a1"/>
      <w:bookmarkEnd w:id="96"/>
      <w:bookmarkEnd w:id="97"/>
      <w:r>
        <w:rPr>
          <w:rFonts w:ascii="Times New Roman;Times;serif" w:hAnsi="Times New Roman;Times;serif"/>
          <w:b/>
          <w:sz w:val="20"/>
        </w:rPr>
        <w:t>Item 16B.             Code of Ethics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have filed our Code of Business Conduct as an exhibit to our annual report on Form 20-F for the year ended December 31, 2006, filed on June 26, 2007. It is also available on our website under the Investor Relations section at https://ir.netease.com.</w:t>
      </w:r>
    </w:p>
    <w:p>
      <w:pPr>
        <w:pStyle w:val="TextBody"/>
        <w:spacing w:before="0" w:after="0"/>
        <w:ind w:left="0" w:right="0" w:firstLine="720"/>
        <w:rPr/>
      </w:pPr>
      <w:r>
        <w:rPr/>
        <w:t>​</w:t>
      </w:r>
    </w:p>
    <w:p>
      <w:pPr>
        <w:pStyle w:val="TextBody"/>
        <w:spacing w:before="0" w:after="200"/>
        <w:ind w:left="0" w:right="0" w:hanging="0"/>
        <w:rPr>
          <w:rFonts w:ascii="Times New Roman;Times;serif" w:hAnsi="Times New Roman;Times;serif"/>
          <w:b/>
          <w:sz w:val="20"/>
        </w:rPr>
      </w:pPr>
      <w:bookmarkStart w:id="98" w:name="Item16CPrincipalAccountantFeesandService"/>
      <w:bookmarkStart w:id="99" w:name="_b82b181a_eb26_4345_8cc1_9b41c42426dc"/>
      <w:bookmarkEnd w:id="98"/>
      <w:bookmarkEnd w:id="99"/>
      <w:r>
        <w:rPr>
          <w:rFonts w:ascii="Times New Roman;Times;serif" w:hAnsi="Times New Roman;Times;serif"/>
          <w:b/>
          <w:sz w:val="20"/>
        </w:rPr>
        <w:t>Item 16C.            Principal Accountant Fees and Services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Disclosure of Fees Charged by Independent Accountants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fees charged by PricewaterhouseCoopers Zhong Tian LLP and its affiliates for certain services rendered to us during 2021 and 2022.</w:t>
      </w:r>
    </w:p>
    <w:p>
      <w:pPr>
        <w:pStyle w:val="TextBody"/>
        <w:spacing w:before="0" w:after="0"/>
        <w:ind w:left="0" w:right="0" w:hanging="0"/>
        <w:rPr/>
      </w:pPr>
      <w:r>
        <w:rPr/>
        <w:t>​</w:t>
      </w:r>
    </w:p>
    <w:tbl>
      <w:tblPr>
        <w:tblW w:w="4301" w:type="dxa"/>
        <w:jc w:val="left"/>
        <w:tblInd w:w="0" w:type="dxa"/>
        <w:tblCellMar>
          <w:top w:w="0" w:type="dxa"/>
          <w:left w:w="0" w:type="dxa"/>
          <w:bottom w:w="0" w:type="dxa"/>
          <w:right w:w="0" w:type="dxa"/>
        </w:tblCellMar>
      </w:tblPr>
      <w:tblGrid>
        <w:gridCol w:w="1411"/>
        <w:gridCol w:w="326"/>
        <w:gridCol w:w="972"/>
        <w:gridCol w:w="469"/>
        <w:gridCol w:w="1123"/>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95985" cy="175260"/>
                      <wp:effectExtent l="0" t="0" r="0" b="0"/>
                      <wp:wrapNone/>
                      <wp:docPr id="263" name="Frame262"/>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17220" cy="175260"/>
                      <wp:effectExtent l="0" t="0" r="0" b="0"/>
                      <wp:wrapNone/>
                      <wp:docPr id="265" name="Frame264"/>
                      <a:graphic xmlns:a="http://schemas.openxmlformats.org/drawingml/2006/main">
                        <a:graphicData uri="http://schemas.microsoft.com/office/word/2010/wordprocessingShape">
                          <wps:wsp>
                            <wps:cNvSpPr txBox="1"/>
                            <wps:spPr>
                              <a:xfrm>
                                <a:off x="0" y="0"/>
                                <a:ext cx="617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97815" cy="175260"/>
                      <wp:effectExtent l="0" t="0" r="0" b="0"/>
                      <wp:wrapNone/>
                      <wp:docPr id="266" name="Frame265"/>
                      <a:graphic xmlns:a="http://schemas.openxmlformats.org/drawingml/2006/main">
                        <a:graphicData uri="http://schemas.microsoft.com/office/word/2010/wordprocessingShape">
                          <wps:wsp>
                            <wps:cNvSpPr txBox="1"/>
                            <wps:spPr>
                              <a:xfrm>
                                <a:off x="0" y="0"/>
                                <a:ext cx="297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13105" cy="175260"/>
                      <wp:effectExtent l="0" t="0" r="0" b="0"/>
                      <wp:wrapNone/>
                      <wp:docPr id="267" name="Frame266"/>
                      <a:graphic xmlns:a="http://schemas.openxmlformats.org/drawingml/2006/main">
                        <a:graphicData uri="http://schemas.microsoft.com/office/word/2010/wordprocessingShape">
                          <wps:wsp>
                            <wps:cNvSpPr txBox="1"/>
                            <wps:spPr>
                              <a:xfrm>
                                <a:off x="0" y="0"/>
                                <a:ext cx="713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4" w:type="dxa"/>
            <w:gridSpan w:val="3"/>
            <w:tcBorders/>
            <w:shd w:fill="auto" w:val="clear"/>
            <w:vAlign w:val="center"/>
          </w:tcPr>
          <w:p>
            <w:pPr>
              <w:pStyle w:val="TableContents"/>
              <w:spacing w:before="0" w:after="0"/>
              <w:ind w:left="0" w:right="0" w:hanging="0"/>
              <w:jc w:val="center"/>
              <w:rPr/>
            </w:pPr>
            <w:r>
              <w:rPr/>
              <w:t>​</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72"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2021</w:t>
            </w:r>
            <w:r>
              <w:rPr>
                <w:rFonts w:ascii="Times New Roman;Times;serif" w:hAnsi="Times New Roman;Times;serif"/>
                <w:b/>
                <w:sz w:val="12"/>
              </w:rPr>
              <w:t>(1)</w:t>
            </w:r>
          </w:p>
        </w:tc>
        <w:tc>
          <w:tcPr>
            <w:tcW w:w="469" w:type="dxa"/>
            <w:tcBorders/>
            <w:shd w:fill="auto" w:val="clear"/>
            <w:vAlign w:val="center"/>
          </w:tcPr>
          <w:p>
            <w:pPr>
              <w:pStyle w:val="TableContents"/>
              <w:spacing w:before="0" w:after="0"/>
              <w:ind w:left="0" w:right="0" w:hanging="0"/>
              <w:rPr/>
            </w:pPr>
            <w:r>
              <w:rPr/>
              <w:t>    </w:t>
            </w:r>
          </w:p>
        </w:tc>
        <w:tc>
          <w:tcPr>
            <w:tcW w:w="1123"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2022</w:t>
            </w:r>
            <w:r>
              <w:rPr>
                <w:rFonts w:ascii="Times New Roman;Times;serif" w:hAnsi="Times New Roman;Times;serif"/>
                <w:b/>
                <w:sz w:val="12"/>
              </w:rPr>
              <w:t>(1)</w:t>
            </w:r>
          </w:p>
        </w:tc>
      </w:tr>
      <w:tr>
        <w:trPr/>
        <w:tc>
          <w:tcPr>
            <w:tcW w:w="4301" w:type="dxa"/>
            <w:gridSpan w:val="5"/>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4"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40,007</w:t>
            </w:r>
          </w:p>
        </w:tc>
        <w:tc>
          <w:tcPr>
            <w:tcW w:w="469" w:type="dxa"/>
            <w:tcBorders/>
            <w:shd w:fill="CCEEFF" w:val="clear"/>
            <w:vAlign w:val="center"/>
          </w:tcPr>
          <w:p>
            <w:pPr>
              <w:pStyle w:val="TableContents"/>
              <w:spacing w:before="0" w:after="0"/>
              <w:ind w:left="0" w:right="0" w:hanging="0"/>
              <w:rPr/>
            </w:pPr>
            <w:r>
              <w:rPr/>
              <w:t> </w:t>
            </w:r>
          </w:p>
        </w:tc>
        <w:tc>
          <w:tcPr>
            <w:tcW w:w="11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28,240</w:t>
            </w:r>
          </w:p>
        </w:tc>
      </w:tr>
      <w:tr>
        <w:trPr/>
        <w:tc>
          <w:tcPr>
            <w:tcW w:w="141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 </w:t>
            </w:r>
          </w:p>
        </w:tc>
        <w:tc>
          <w:tcPr>
            <w:tcW w:w="9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469" w:type="dxa"/>
            <w:tcBorders/>
            <w:shd w:fill="auto" w:val="clear"/>
            <w:vAlign w:val="center"/>
          </w:tcPr>
          <w:p>
            <w:pPr>
              <w:pStyle w:val="TableContents"/>
              <w:spacing w:before="0" w:after="0"/>
              <w:ind w:left="0" w:right="0" w:hanging="0"/>
              <w:rPr/>
            </w:pPr>
            <w:r>
              <w:rPr/>
              <w:t> </w:t>
            </w:r>
          </w:p>
        </w:tc>
        <w:tc>
          <w:tcPr>
            <w:tcW w:w="11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r>
      <w:tr>
        <w:trPr/>
        <w:tc>
          <w:tcPr>
            <w:tcW w:w="14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sz w:val="15"/>
              </w:rPr>
              <w:t>(4)</w:t>
            </w:r>
          </w:p>
        </w:tc>
        <w:tc>
          <w:tcPr>
            <w:tcW w:w="326" w:type="dxa"/>
            <w:tcBorders/>
            <w:shd w:fill="CCEEFF" w:val="cle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469" w:type="dxa"/>
            <w:tcBorders/>
            <w:shd w:fill="CCEEFF" w:val="clear"/>
            <w:vAlign w:val="center"/>
          </w:tcPr>
          <w:p>
            <w:pPr>
              <w:pStyle w:val="TableContents"/>
              <w:spacing w:before="0" w:after="0"/>
              <w:ind w:left="0" w:right="0" w:hanging="0"/>
              <w:rPr/>
            </w:pPr>
            <w:r>
              <w:rPr/>
              <w:t> </w:t>
            </w:r>
          </w:p>
        </w:tc>
        <w:tc>
          <w:tcPr>
            <w:tcW w:w="11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9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48,493</w:t>
            </w:r>
          </w:p>
        </w:tc>
        <w:tc>
          <w:tcPr>
            <w:tcW w:w="469" w:type="dxa"/>
            <w:tcBorders/>
            <w:shd w:fill="auto" w:val="clear"/>
            <w:vAlign w:val="center"/>
          </w:tcPr>
          <w:p>
            <w:pPr>
              <w:pStyle w:val="TableContents"/>
              <w:spacing w:before="0" w:after="0"/>
              <w:ind w:left="0" w:right="0" w:hanging="0"/>
              <w:rPr/>
            </w:pPr>
            <w:r>
              <w:rPr/>
              <w:t> </w:t>
            </w:r>
          </w:p>
        </w:tc>
        <w:tc>
          <w:tcPr>
            <w:tcW w:w="1123"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31,510</w:t>
            </w:r>
          </w:p>
        </w:tc>
      </w:tr>
    </w:tbl>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disclosed are exclusive of out-of-pocket expenses on the amounts paid, which totaled approximately RMB1,350,000 and RMB1,244,000 in 2021 and 2022, respectively.</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Audit fees” means the aggregate fees billed in each of the fiscal years for professional services rendered by our principal auditors for the audit of our annual financial statements and our internal controls over financial reporting issuance of comfort letters in connection with our global offering and secondary listing of our ordinary shares on the HKSE, as well as assistance with and review of documents filed with the SEC and other statutory and regulatory filings. </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in each of the fiscal years for professional services rendered by our principal auditors for tax compliance and tax advice.</w:t>
            </w:r>
          </w:p>
        </w:tc>
      </w:tr>
    </w:tbl>
    <w:tbl>
      <w:tblPr>
        <w:tblW w:w="10205" w:type="dxa"/>
        <w:jc w:val="left"/>
        <w:tblInd w:w="0" w:type="dxa"/>
        <w:tblCellMar>
          <w:top w:w="0" w:type="dxa"/>
          <w:left w:w="0" w:type="dxa"/>
          <w:bottom w:w="0" w:type="dxa"/>
          <w:right w:w="0" w:type="dxa"/>
        </w:tblCellMar>
      </w:tblPr>
      <w:tblGrid>
        <w:gridCol w:w="338"/>
        <w:gridCol w:w="9867"/>
      </w:tblGrid>
      <w:tr>
        <w:trPr/>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67"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fees” includes the aggregate fees billed in each of the fiscal years for non-audit services rendered which were not listed above.</w:t>
            </w:r>
          </w:p>
        </w:tc>
      </w:tr>
    </w:tbl>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Audit Committee Pre-approval Policies and Procedures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audit or non-audit service to be provided to us by the independent accountant must be submitted to the audit committee for review and approval, with a description of the services to be performed and the fees to be charged.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in its sole discretion then approves or disapproves the proposed services and documents such approval, if given, through written resolutions or in the minutes of meetings, as the case may be.</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services related to us provided by PricewaterhouseCoopers Zhong Tian LLP and its affiliates listed above have been approved by our audit committee.</w:t>
      </w:r>
    </w:p>
    <w:p>
      <w:pPr>
        <w:pStyle w:val="TextBody"/>
        <w:spacing w:before="0" w:after="0"/>
        <w:ind w:left="1080" w:right="0" w:hanging="0"/>
        <w:jc w:val="both"/>
        <w:rPr/>
      </w:pPr>
      <w:r>
        <w:rPr/>
        <w:t>​</w:t>
      </w:r>
    </w:p>
    <w:p>
      <w:pPr>
        <w:pStyle w:val="TextBody"/>
        <w:spacing w:before="0" w:after="200"/>
        <w:ind w:left="0" w:right="0" w:hanging="0"/>
        <w:jc w:val="both"/>
        <w:rPr>
          <w:rFonts w:ascii="Times New Roman;Times;serif" w:hAnsi="Times New Roman;Times;serif"/>
          <w:b/>
          <w:sz w:val="20"/>
        </w:rPr>
      </w:pPr>
      <w:bookmarkStart w:id="100" w:name="Item16DExemptionsfromtheListing_391120"/>
      <w:bookmarkStart w:id="101" w:name="_bc28bb41_cd87_4f7f_83ad_4e66f9e045d3"/>
      <w:bookmarkEnd w:id="100"/>
      <w:bookmarkEnd w:id="101"/>
      <w:r>
        <w:rPr>
          <w:rFonts w:ascii="Times New Roman;Times;serif" w:hAnsi="Times New Roman;Times;serif"/>
          <w:b/>
          <w:sz w:val="20"/>
        </w:rPr>
        <w:t>Item 16D.            Exemptions from the Listing Standards for Audit Committees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not sought an exemption from the applicable listing standards for the audit committee of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102" w:name="Item16EPurchasesofEquitySecurities_37894"/>
      <w:bookmarkStart w:id="103" w:name="_8ae4e5dd_a9bd_4949_98f4_9312ff57edcd"/>
      <w:bookmarkEnd w:id="102"/>
      <w:bookmarkEnd w:id="103"/>
      <w:r>
        <w:rPr>
          <w:rFonts w:ascii="Times New Roman;Times;serif" w:hAnsi="Times New Roman;Times;serif"/>
          <w:b/>
          <w:sz w:val="20"/>
        </w:rPr>
        <w:t>Item 16E.             Purchases of Equity Securities by the Issuer and Affiliated Purchasers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26, 2020, we announced a share repurchase program authorized by our board of directors pursuant to which we were authorized to purchase up to US$1.0 billion of our outstanding ADSs and ordinary shares in open market transactions. On May 19, 2020, our board of directors approved an amendment to such program to increase the total authorized purchase amount to US$2.0 billion. The share purchase program expired on March 1, 2021, and approximately 22.8 million ADSs had been purchased under this program.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25, 2021, we announced a share repurchase program authorized by our board of directors pursuant to which we were authorized to purchase up to US$2.0 billion of our outstanding ADSs and ordinary shares in open market transactions for a period not to exceed 24 months. On August 31, 2021, our board of directors approved an amendment to such program to increase the total authorized purchase amount to US$3.0 billion. As of January 9, 2023, the US$3.0 billion has been nearly fully used with approximately 33.6 million ADSs repurchased.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17, 2022, we announced a share repurchase program authorized by our board of directors pursuant to which we were authorized to purchase up to US$5.0 billion of our outstanding ADSs and ordinary shares in open market transactions. This new share repurchase program became effective on January 10, 2023, immediately following the expiration of the prior program.</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shows the ADSs that we have repurchased for each month in 2022:</w:t>
      </w:r>
    </w:p>
    <w:p>
      <w:pPr>
        <w:pStyle w:val="TextBody"/>
        <w:spacing w:before="0" w:after="0"/>
        <w:ind w:left="0" w:right="0" w:firstLine="720"/>
        <w:rPr/>
      </w:pPr>
      <w:r>
        <w:rPr/>
        <w:t>​</w:t>
      </w:r>
    </w:p>
    <w:tbl>
      <w:tblPr>
        <w:tblW w:w="7174" w:type="dxa"/>
        <w:jc w:val="left"/>
        <w:tblInd w:w="0" w:type="dxa"/>
        <w:tblCellMar>
          <w:top w:w="0" w:type="dxa"/>
          <w:left w:w="0" w:type="dxa"/>
          <w:bottom w:w="0" w:type="dxa"/>
          <w:right w:w="0" w:type="dxa"/>
        </w:tblCellMar>
      </w:tblPr>
      <w:tblGrid>
        <w:gridCol w:w="1441"/>
        <w:gridCol w:w="326"/>
        <w:gridCol w:w="1036"/>
        <w:gridCol w:w="326"/>
        <w:gridCol w:w="736"/>
        <w:gridCol w:w="326"/>
        <w:gridCol w:w="1321"/>
        <w:gridCol w:w="326"/>
        <w:gridCol w:w="1336"/>
      </w:tblGrid>
      <w:tr>
        <w:trPr/>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15035" cy="175260"/>
                      <wp:effectExtent l="0" t="0" r="0" b="0"/>
                      <wp:wrapNone/>
                      <wp:docPr id="268" name="Frame267"/>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57860" cy="175260"/>
                      <wp:effectExtent l="0" t="0" r="0" b="0"/>
                      <wp:wrapNone/>
                      <wp:docPr id="270" name="Frame26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67360" cy="175260"/>
                      <wp:effectExtent l="0" t="0" r="0" b="0"/>
                      <wp:wrapNone/>
                      <wp:docPr id="272" name="Frame27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38835" cy="175260"/>
                      <wp:effectExtent l="0" t="0" r="0" b="0"/>
                      <wp:wrapNone/>
                      <wp:docPr id="274" name="Frame273"/>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48360" cy="175260"/>
                      <wp:effectExtent l="0" t="0" r="0" b="0"/>
                      <wp:wrapNone/>
                      <wp:docPr id="276" name="Frame275"/>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Value</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ADSs</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Plans or</w:t>
            </w:r>
          </w:p>
        </w:tc>
      </w:tr>
      <w:tr>
        <w:trPr/>
        <w:tc>
          <w:tcPr>
            <w:tcW w:w="14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Purchased</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 ADS</w:t>
            </w:r>
          </w:p>
        </w:tc>
        <w:tc>
          <w:tcPr>
            <w:tcW w:w="326" w:type="dxa"/>
            <w:tcBorders/>
            <w:shd w:fill="auto" w:val="clear"/>
            <w:vAlign w:val="center"/>
          </w:tcPr>
          <w:p>
            <w:pPr>
              <w:pStyle w:val="TableContents"/>
              <w:spacing w:before="0" w:after="0"/>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326"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pPr>
            <w:r>
              <w:rPr/>
              <w:t>​</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2022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254,263</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24,695,281</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1,196,227,653</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February 2022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289,433</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96.09</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27,811,019</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1,168,416,634</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2022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1,039,035</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86.73</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90,117,507</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1,078,299,127</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2022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1,531,939</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140,973,941</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937,325,186</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2022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1,551,062</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92.69</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143,767,254</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793,557,932</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2022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473,707</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95.98</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45,464,265</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748,093,667</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2022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925,195</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90.75</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83,961,985</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664,131,682</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August 2022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1,133,229</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89.76</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101,723,200</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562,408,482</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2022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1,331,742</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83.58</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111,313,090</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451,095,392</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October 2022</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1,816,908</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69.25</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125,826,980</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325,268,412</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November 2022</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2,129,961</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63.83</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135,965,449</w:t>
            </w:r>
          </w:p>
        </w:tc>
        <w:tc>
          <w:tcPr>
            <w:tcW w:w="326" w:type="dxa"/>
            <w:tcBorders/>
            <w:shd w:fill="CCEEFF" w:val="clear"/>
            <w:vAlign w:val="center"/>
          </w:tcPr>
          <w:p>
            <w:pPr>
              <w:pStyle w:val="TableContents"/>
              <w:spacing w:before="0" w:after="0"/>
              <w:ind w:left="0" w:right="0" w:hanging="0"/>
              <w:rPr/>
            </w:pPr>
            <w:r>
              <w:rPr/>
              <w:t>​</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189,302,963</w:t>
            </w:r>
          </w:p>
        </w:tc>
      </w:tr>
      <w:tr>
        <w:trPr/>
        <w:tc>
          <w:tcPr>
            <w:tcW w:w="1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2022</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2,195,898</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70.57</w:t>
            </w:r>
          </w:p>
        </w:tc>
        <w:tc>
          <w:tcPr>
            <w:tcW w:w="326" w:type="dxa"/>
            <w:tcBorders/>
            <w:shd w:fill="auto" w:val="clear"/>
            <w:vAlign w:val="center"/>
          </w:tcPr>
          <w:p>
            <w:pPr>
              <w:pStyle w:val="TableContents"/>
              <w:spacing w:before="0" w:after="0"/>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154,965,022</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34,337,941</w:t>
            </w:r>
          </w:p>
        </w:tc>
      </w:tr>
      <w:tr>
        <w:trPr/>
        <w:tc>
          <w:tcPr>
            <w:tcW w:w="1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14,672,372</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1,186,584,993</w:t>
            </w:r>
          </w:p>
        </w:tc>
        <w:tc>
          <w:tcPr>
            <w:tcW w:w="326" w:type="dxa"/>
            <w:tcBorders/>
            <w:shd w:fill="CCEEFF" w:val="clear"/>
            <w:vAlign w:val="center"/>
          </w:tcPr>
          <w:p>
            <w:pPr>
              <w:pStyle w:val="TableContents"/>
              <w:spacing w:before="0" w:after="0"/>
              <w:ind w:left="0" w:right="0" w:hanging="0"/>
              <w:rPr/>
            </w:pPr>
            <w:r>
              <w:rPr/>
              <w:t>​</w:t>
            </w:r>
          </w:p>
        </w:tc>
        <w:tc>
          <w:tcPr>
            <w:tcW w:w="1336" w:type="dxa"/>
            <w:tcBorders/>
            <w:shd w:fill="CCEEFF" w:val="clear"/>
            <w:vAlign w:val="center"/>
          </w:tcPr>
          <w:p>
            <w:pPr>
              <w:pStyle w:val="TableContents"/>
              <w:spacing w:before="0" w:after="0"/>
              <w:ind w:left="0" w:right="0" w:hanging="0"/>
              <w:jc w:val="right"/>
              <w:rPr/>
            </w:pPr>
            <w:r>
              <w:rPr/>
              <w:t>​</w:t>
            </w:r>
          </w:p>
        </w:tc>
      </w:tr>
    </w:tbl>
    <w:p>
      <w:pPr>
        <w:pStyle w:val="TextBody"/>
        <w:ind w:left="0" w:right="0" w:hanging="0"/>
        <w:rPr>
          <w:rFonts w:ascii="Times New Roman;Times;serif" w:hAnsi="Times New Roman;Times;serif"/>
          <w:sz w:val="20"/>
        </w:rPr>
      </w:pPr>
      <w:r>
        <w:rPr>
          <w:rFonts w:ascii="Times New Roman;Times;serif" w:hAnsi="Times New Roman;Times;serif"/>
          <w:sz w:val="20"/>
        </w:rPr>
        <w:t>(1)Our ADS to ordinary share ratio is one ADS for every 5 ordinary shares.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31, 2021, we announced a share purchase program authorized by our board of directors pursuant to which we were authorized to purchase up to US$50.0 million worth of Youdao’s outstanding ADSs on the New York Stock Exchange in open market transactions beginning on September 2, 2021 and for a period not to exceed 36 months. As of December 31, 2022, approximately 2.7 million ADSs had been purchased under this program.</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104" w:name="Item16FChangeinRegistrantsCertifying_900"/>
      <w:bookmarkStart w:id="105" w:name="_9b6cdff9_8d9f_42bf_b47a_188f215be7a5"/>
      <w:bookmarkEnd w:id="104"/>
      <w:bookmarkEnd w:id="105"/>
      <w:r>
        <w:rPr>
          <w:rFonts w:ascii="Times New Roman;Times;serif" w:hAnsi="Times New Roman;Times;serif"/>
          <w:b/>
          <w:sz w:val="20"/>
        </w:rPr>
        <w:t>Item 16F.             Change in Registrant’s Certifying Accountants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106" w:name="Item16GCorporateGovernance_267373"/>
      <w:bookmarkStart w:id="107" w:name="_46a7f7f1_eca2_430f_976a_326ebaf68597"/>
      <w:bookmarkEnd w:id="106"/>
      <w:bookmarkEnd w:id="107"/>
      <w:r>
        <w:rPr>
          <w:rFonts w:ascii="Times New Roman;Times;serif" w:hAnsi="Times New Roman;Times;serif"/>
          <w:b/>
          <w:sz w:val="20"/>
        </w:rPr>
        <w:t>Item 16G.            Corporate Governance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permitted by NASDAQ, in lieu of the NASDAQ corporate governance rules, but subject to certain exceptions, we may follow the practices of our home country which for the purpose of such rules is the Cayman Islands. Specifically, our board of directors adopted our Share Plans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pStyle w:val="TextBody"/>
        <w:spacing w:before="0" w:after="0"/>
        <w:ind w:left="0" w:right="0" w:firstLine="720"/>
        <w:rPr/>
      </w:pPr>
      <w:r>
        <w:rPr/>
        <w:t>​</w:t>
      </w:r>
    </w:p>
    <w:p>
      <w:pPr>
        <w:pStyle w:val="TextBody"/>
        <w:spacing w:before="0" w:after="200"/>
        <w:ind w:left="0" w:right="0" w:hanging="0"/>
        <w:rPr>
          <w:rFonts w:ascii="Times New Roman;Times;serif" w:hAnsi="Times New Roman;Times;serif"/>
          <w:b/>
          <w:sz w:val="20"/>
        </w:rPr>
      </w:pPr>
      <w:bookmarkStart w:id="108" w:name="Item16HMineSafetyDisclosure_744095"/>
      <w:bookmarkStart w:id="109" w:name="_51af362d_04bc_4ba2_b573_b28b37847263"/>
      <w:bookmarkEnd w:id="108"/>
      <w:bookmarkEnd w:id="109"/>
      <w:r>
        <w:rPr>
          <w:rFonts w:ascii="Times New Roman;Times;serif" w:hAnsi="Times New Roman;Times;serif"/>
          <w:b/>
          <w:sz w:val="20"/>
        </w:rPr>
        <w:t>Item 16H.          Mine Safety Disclosure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TextBody"/>
        <w:spacing w:before="0" w:after="200"/>
        <w:ind w:left="0" w:right="0" w:hanging="0"/>
        <w:rPr>
          <w:rFonts w:ascii="Times New Roman;Times;serif" w:hAnsi="Times New Roman;Times;serif"/>
          <w:b/>
          <w:sz w:val="20"/>
        </w:rPr>
      </w:pPr>
      <w:bookmarkStart w:id="110" w:name="Item16IDisclosureRegardingForeignJurisdi"/>
      <w:bookmarkStart w:id="111" w:name="_a56324db_526c_4e73_9228_386fbd0df187"/>
      <w:bookmarkEnd w:id="110"/>
      <w:bookmarkEnd w:id="111"/>
      <w:r>
        <w:rPr>
          <w:rFonts w:ascii="Times New Roman;Times;serif" w:hAnsi="Times New Roman;Times;serif"/>
          <w:b/>
          <w:sz w:val="20"/>
        </w:rPr>
        <w:t>Item 16I.          Disclosure Regarding Foreign Jurisdictions that Prevent Inspections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the date of the filing of this annual report and to our best knowledge:</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(1) For the fiscal year ended December 31, 2022, PricewaterhouseCoopers, located in Beijing China, (“PwC Beijing”) issued an audit report for NetEase, Inc. On December 16, 2021, the U.S. Public Company Accounting Oversight Board (the “PCAOB”) determined that it was unable to inspect or investigate completely PCAOB-registered public accounting firms headquartered in China mainland and in Hong Kong (including PwC Beijing) because of positions taken by PRC authorities in the PRC and Hong Kong. In May 2022, the SEC conclusively listed us as a Commission-Identified Issuer under the HFCAA following the filing of our annual report on Form 20-F for the fiscal year ended December 31, 2021. On December 15, 2022, the PCAOB vacated its December 16, 2021 determination and announced that it had secured complete access to inspect and investigate registered public accounting firms headquartered in China mainland and Hong Kong (including PwC Beijing).  </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a review of the shareholder lists of our company and the related variable interest entities in China mainland, we are not aware of any governmental entities in China or the Cayman Islands (where we are incorporated) that hold any shares of our company or any of such variable interest entities.  In addition, no such governmental entities have made any disclosures on Schedule 13D or Schedule 13G, or pursuant to the beneficial ownership notification requirements of the Hong Kong Securities and Futures Ordinance, indicating that they own any shares of our company or any such variable interest entity.  Based on the above, we believe that none of our ordinary shares or ADSs are owned by the governmental entities in either China mainland, Hong Kong or the Cayman Islands.  However, a significant portion of the shares of our company are publicly held, and the ultimate beneficial ownership of those publicly held shares may not be known to us. Nonetheless, none of these unknown beneficial owners has ever asserted any control or influence over us.</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(3) No governmental entities in China have a controlling financial interest in NetEase, Inc. or any variable interest entity as of the date of filing of this Form 20-F.</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(4) No members of our board or any of our operating entities is an official of the Chinese Communist Party.</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(5) The currently effective memorandum and articles of association of NetEase, Inc. and equivalent organizational documents of our operating entities, including the variable interest entities, do not contain any charter of the Chinese Communist Party.</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12" w:name="PARTIII_277948"/>
      <w:bookmarkStart w:id="113" w:name="_14666c73_0cf6_4358_aca3_45a3e10d3b75"/>
      <w:bookmarkEnd w:id="112"/>
      <w:bookmarkEnd w:id="113"/>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114" w:name="Item17FinancialStatements_687804"/>
      <w:bookmarkEnd w:id="114"/>
      <w:r>
        <w:rPr>
          <w:rFonts w:ascii="Times New Roman;Times;serif" w:hAnsi="Times New Roman;Times;serif"/>
          <w:b/>
          <w:sz w:val="20"/>
        </w:rPr>
        <w:t>Item 17.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15" w:name="Item18FinancialStatements_986144"/>
      <w:bookmarkStart w:id="116" w:name="_a6c8488a_5fa4_42cf_97f0_687306f4731b"/>
      <w:bookmarkEnd w:id="115"/>
      <w:bookmarkEnd w:id="116"/>
      <w:r>
        <w:rPr>
          <w:rFonts w:ascii="Times New Roman;Times;serif" w:hAnsi="Times New Roman;Times;serif"/>
          <w:b/>
          <w:sz w:val="20"/>
        </w:rPr>
        <w:t>Item 18.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for NetEase, Inc. and its subsidiaries are included at the end of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17" w:name="Item19Exhibits_836195"/>
      <w:bookmarkStart w:id="118" w:name="_682db750_7642_4dca_a041_74c1321f60ab"/>
      <w:bookmarkEnd w:id="117"/>
      <w:bookmarkEnd w:id="118"/>
      <w:r>
        <w:rPr>
          <w:rFonts w:ascii="Times New Roman;Times;serif" w:hAnsi="Times New Roman;Times;serif"/>
          <w:b/>
          <w:sz w:val="20"/>
        </w:rPr>
        <w:t>Item 19.            Exhibits</w:t>
      </w:r>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48310" cy="175260"/>
                      <wp:effectExtent l="0" t="0" r="0" b="0"/>
                      <wp:wrapNone/>
                      <wp:docPr id="277" name="Frame276"/>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17.6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17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824855" cy="175260"/>
                      <wp:effectExtent l="0" t="0" r="0" b="0"/>
                      <wp:wrapNone/>
                      <wp:docPr id="279" name="Frame278"/>
                      <a:graphic xmlns:a="http://schemas.openxmlformats.org/drawingml/2006/main">
                        <a:graphicData uri="http://schemas.microsoft.com/office/word/2010/wordprocessingShape">
                          <wps:wsp>
                            <wps:cNvSpPr txBox="1"/>
                            <wps:spPr>
                              <a:xfrm>
                                <a:off x="0" y="0"/>
                                <a:ext cx="582485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229.3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1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173"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Memorandum of Association and Articles of Association of NetEase.com, Inc. (incorporated by reference to Exhibit 1.1 to Form 6-K furnished with the SEC on June 23, 2021)</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Specimen American Depositary Receipt of NetEase.com, Inc. (incorporated by reference to Exhibit 4.1 to Amendment No. 1 to the company’s Registration Statement on Form F-1 (file no. 333-11724) filed with the SEC on May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Specimen Stock Certificate of NetEase.com, Inc. (incorporated by reference to Exhibit 4.2 to Amendment No. 1 to the company’s Registration Statement on Form F-1 (file no. 333-11724) filed with the SEC on May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Deposit Agreement dated July 6, 2000 by and among NetEase.com, Inc., The Bank of New York and the owners and beneficial owners of American depositary receipts (incorporated by reference to Exhibit 1 to the Registrant’s Registration Statement on Form F-6EF (File No. 333-115868) filed with the SEC on May 26, 2004)</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Description of Ordinary Shares (incorporated by reference to Exhibit 2.4 to the company’s Annual Report on Form 20-F for the year ended December 31, 2021 filed with the SEC on April 28, 2022)</w:t>
              </w:r>
            </w:hyperlink>
            <w:r>
              <w:rPr>
                <w:rFonts w:ascii="Times New Roman;Times;serif" w:hAnsi="Times New Roman;Times;serif"/>
                <w:sz w:val="20"/>
              </w:rPr>
              <w:t xml:space="preserve"> </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2d5.htm">
              <w:r>
                <w:rPr>
                  <w:rStyle w:val="InternetLink"/>
                  <w:rFonts w:ascii="Times New Roman;Times;serif" w:hAnsi="Times New Roman;Times;serif"/>
                  <w:b w:val="false"/>
                  <w:i w:val="false"/>
                  <w:caps w:val="false"/>
                  <w:smallCaps w:val="false"/>
                  <w:sz w:val="20"/>
                </w:rPr>
                <w:t>Description of American Depositary Shares</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Proxy Agreement dated April 15, 2009 between NetEase (Hangzhou) Network Co., Ltd. and Zhipeng Hu (incorporated by reference to Exhibit 3.3 to the company’s Annual Report on Form 20-F for the year ended December 31, 2014 filed with the SEC on April 24, 2015)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Shareholder Voting Rights Trust Agreement dated December 1, 2015 between NetEase (Hangzhou) Network Co., Ltd. and Tianlei Hu (incorporated by reference to Exhibit 3.8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Shareholder Voting Rights Trust Agreement dated December 1, 2015 between NetEase (Hangzhou) Network Co., Ltd. and Zhipeng Hu (incorporated by reference to Exhibit 3.9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Amended and Restated Shareholder Voting Right Trust Agreement dated November 30, 2015 among NetEase Information Technology (Beijing) Co., Ltd., Beijing Guangyitong Advertising Co., Ltd., William Lei Ding and Xiaojun Hui (incorporated by reference to Exhibit 3.7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Shareholder Voting Rights Trust Agreement dated September 26, 2016 between NetEase Youdao Information Technology (Beijing) Co., Ltd. and William Lei Ding (incorporated by reference to Exhibit 3.6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Shareholder Voting Right Trust Agreement dated November 20, 2017 between NetEase Youdao Information Technology (Beijing) Co., Ltd. and Feng Zhou (incorporated by reference to Exhibit 3.8 to the company’s Annual Report on Form 20-F for the year ended December 31, 2017 filed with the SEC on April 20, 2018)</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2009 Restricted Share Unit Plan (incorporated by reference to Exhibit 10.1 to the company’s Registration Statement on Form S-8 (file no. 333-164249) filed with the SEC on January 8, 2010)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Employment Agreement between NetEase.com, Inc. and its executive officers (incorporated by reference to Exhibit 4.3 to the company’s Annual Report on Form 20-F for the year ended December 31, 2009 filed with the SEC on June 29, 2010)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48310" cy="175260"/>
                      <wp:effectExtent l="0" t="0" r="0" b="0"/>
                      <wp:wrapNone/>
                      <wp:docPr id="280" name="Frame27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17.6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17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824855" cy="175260"/>
                      <wp:effectExtent l="0" t="0" r="0" b="0"/>
                      <wp:wrapNone/>
                      <wp:docPr id="282" name="Frame281"/>
                      <a:graphic xmlns:a="http://schemas.openxmlformats.org/drawingml/2006/main">
                        <a:graphicData uri="http://schemas.microsoft.com/office/word/2010/wordprocessingShape">
                          <wps:wsp>
                            <wps:cNvSpPr txBox="1"/>
                            <wps:spPr>
                              <a:xfrm>
                                <a:off x="0" y="0"/>
                                <a:ext cx="582485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229.3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1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173"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Copyright License Agreement dated February 3, 2000 between NetEase Information Technology (Beijing) Co., Ltd. and Guangzhou NetEase Computer System Co., Ltd. (incorporated by reference to Exhibit 10.8 to the company’s Registration Statement on Form F-1 (file no. 333-11724) filed with the SEC on March 27,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Trademark License Agreement dated February 3, 2000 between NetEase Information Technology (Beijing) Co., Ltd. and Guangzhou NetEase Computer System Co., Ltd. (incorporated by reference to Exhibit 10.9 to the company’s Registration Statement on Form F-1 (file no. 333-11724) filed with the SEC on March 27,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(to Copyright License Agreement) dated April 27, 2000 between NetEase Information Technology (Beijing) Co., Ltd. and Guangzhou NetEase Computer System Co., Ltd. (incorporated by reference to Exhibit 10.10 to Amendment No.1 to the company’s Registration Statement on Form F-1 (file no. 333-11724) filed with the SEC on May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Notice of Renewal dated April 2, 2001 relating to the Copyright License Agreement and the Trademark License Agreement each dated February 3, 2000 and made between NetEase Information Technology (Beijing) Co., Ltd. and Guangzhou NetEase Computer System Co., Ltd. (incorporated by reference to Exhibit 4.14 to the company’s Annual Report on Form 20-F for the year ended December 31, 2000 filed with the SEC on August 31, 2001)</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Online Advertising Agreement dated February 15, 2000 between Guangzhou NetEase Computer System Co., Ltd. and Beijing Guangyitong Advertising Co., Ltd. (incorporated by reference to Exhibit 10.15 to the company’s Registration Statement on Form F-1 (file no. 333-11724) filed with the SEC on March 27,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Notice of Renewal dated April 2, 2001 relating to the Online Advertising Agreement dated February 15, 2000 and made between Guangzhou NetEase Computer System Co., Ltd. and Beijing Guangyitong Advertising Co., Ltd. (incorporated by reference to Exhibit 4.21 to the company’s Annual Report on Form 20-F for the year ended December 31, 2000 filed with the SEC on August 31, 2001)</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Agreement dated May 12, 2000 between NetEase Information Technology (Beijing) Co., Ltd. and Guangzhou NetEase Computer System Co., Ltd. (incorporated by reference to Exhibit 10.41 to Amendment No. 1 to the company’s Registration Statement on Form F-1 (file no. 333-11724) filed with the SEC on May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dated May 12, 2000 (supplementing the Online Advertising Agreement dated February 15, 2000) between Guangzhou NetEase Computer System Co., Ltd. and Beijing Guangyitong Advertising Co., Ltd. (incorporated by reference to Exhibit 10.47 to Amendment No.  1 to the company’s Registration Statement on Form F-1 (file no. 333-11724) filed with the SEC on May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Letter of Agreement dated June 6, 2000 among William Lei Ding, Bo Ding and NetEase.com, Inc. (incorporated by reference to Exhibit 10.49 to Amendment No. 2 to the company’s Registration Statement on Form F-1 (file no. 333-11724) filed with the SEC on June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dated June 15, 2000 (supplementing the Online Advertising Agreement dated February 15, 2000), between Beijing Guangyitong Advertising Co., Ltd. and Guangzhou NetEase Computer System Co., Ltd. (incorporated by reference to Exhibit 10.50 to Amendment No. 2 to the company’s Registration Statement on Form F-1 (file no. 333-11724) filed with the SEC on June 15, 2000)</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Supplemental Letter of Agreement dated May 17, 2004 (supplementing the Letter Agreement dated June 6, 2000 by and among William Lei Ding, Bo Ding and NetEase.com, Inc.) by and among William Lei Ding, Bo Ding, Jun Liang and NetEase.com, Inc. (incorporated by reference to Exhibit 4.39 to the company’s Annual Report on Form 20-F for the year ended December 31, 2004 filed with the SEC on June 27, 2005)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8310" cy="175260"/>
                      <wp:effectExtent l="0" t="0" r="0" b="0"/>
                      <wp:wrapNone/>
                      <wp:docPr id="283" name="Frame282"/>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17.6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17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824855" cy="175260"/>
                      <wp:effectExtent l="0" t="0" r="0" b="0"/>
                      <wp:wrapNone/>
                      <wp:docPr id="285" name="Frame284"/>
                      <a:graphic xmlns:a="http://schemas.openxmlformats.org/drawingml/2006/main">
                        <a:graphicData uri="http://schemas.microsoft.com/office/word/2010/wordprocessingShape">
                          <wps:wsp>
                            <wps:cNvSpPr txBox="1"/>
                            <wps:spPr>
                              <a:xfrm>
                                <a:off x="0" y="0"/>
                                <a:ext cx="582485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229.3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1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173"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Second Supplemental Letter of Agreement dated July 15, 2004 (supplementing the Letter Agreement dated June 6, 2000 by and among William Lei Ding, Bo Ding and NetEase.com, Inc., as supplemented by the Supplemental Letter of Agreement dated May 17, 2004 by and among William Lei Ding, Bo Ding, Jun Liang and NetEase.com, Inc.) by and among William Lei Ding, Bo Ding, Jun Liang and NetEase.com, Inc. (incorporated by reference to Exhibit 4.40 to the company’s Annual Report on Form 20-F for the year ended December 31, 2004 filed with the SEC on June 27, 2005)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No. 3 Supplemental Letter of Agreement dated July 20, 2004 (supplementing the Letter Agreement dated June 6, 2000 by and among William Lei Ding, Bo Ding and NetEase.com, Inc., as supplemented by the Supplemental Letter of Agreement dated May 17, 2004 and the Second Supplemental Letter of Agreement dated July 15, 2004, each by and among William Lei Ding, Bo Ding, Jun Liang and NetEase.com, Inc.) by and among William Lei Ding, Bo Ding, Jun Liang and NetEase.com, Inc. (incorporated by reference to Exhibit 4.41 to the company’s Annual Report on Form 20-F for the year ended December 31, 2004 filed with the SEC on June 27, 2005)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Cooperative Agreement (incorporated by reference to Exhibit 4.25 to the company’s Annual Report on Form 20-F for the year ended December 31, 2012 filed with the SEC on April 22, 2013)</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Amendment and Novation of Operating Agreement dated May 1, 2014 among NetEase Information Technology (Beijing) Co., Ltd., Beijing Guangyitong Advertising Co., Ltd., Bo Ding and William Lei Ding (incorporated by reference to Exhibit 4.33 to the company’s Annual Report on Form 20-F for the year ended December 31, 2014 filed with the SEC on April 24, 2015)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4.18</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Loan Agreement dated May 1, 2014 between NetEase Information Technology (Beijing) Co., Ltd. and Xiaojun Hui (incorporated by reference to Exhibit 4.35 to the company’s Annual Report on Form 20-F for the year ended December 31, 2014 filed with the SEC on April 24, 2015)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4.19</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Equity Pledge Agreement dated May 1, 2014 between NetEase Information Technology (Beijing) Co., Ltd. and Xiaojun Hui (incorporated by reference to Exhibit 4.36 to the company’s Annual Report on Form 20-F for the year ended December 31, 2014 filed with the SEC on April 24, 2015)</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4.20</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Amended and Restated Letter of Agreement dated November 30, 2015 among NetEase, Inc., William Lei Ding and Xiaojun Hui (incorporated by reference to Exhibit 4.44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Loan Agreement dated December 1, 2015 between NetEase (Hangzhou) Network Co., Ltd. and Tianlei Hu (incorporated by reference to Exhibit 4.45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Loan Agreement dated December 1, 2015 between NetEase (Hangzhou) Network Co., Ltd. and Zhipeng Hu. (incorporated by reference to Exhibit 4.46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Amended and Restated Equity Pledge Agreement dated December 1, 2015 between NetEase (Hangzhou) Network Co., Ltd. and Tianlei Hu (incorporated by reference to Exhibit 4.47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Amended and Restated Equity Pledge Agreement dated December 1, 2015 between NetEase (Hangzhou) Network Co., Ltd. and Zhipeng Hu. (incorporated by reference to Exhibit 4.48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Exclusive Purchase Option Agreement dated December 1, 2015 among NetEase (Hangzhou) Network Co., Ltd., Hangzhou NetEase Leihuo Technology Co., Ltd. and Tianlei Hu (incorporated by reference to Exhibit 4.49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48310" cy="175260"/>
                      <wp:effectExtent l="0" t="0" r="0" b="0"/>
                      <wp:wrapNone/>
                      <wp:docPr id="286" name="Frame285"/>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17.6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17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824855" cy="175260"/>
                      <wp:effectExtent l="0" t="0" r="0" b="0"/>
                      <wp:wrapNone/>
                      <wp:docPr id="288" name="Frame287"/>
                      <a:graphic xmlns:a="http://schemas.openxmlformats.org/drawingml/2006/main">
                        <a:graphicData uri="http://schemas.microsoft.com/office/word/2010/wordprocessingShape">
                          <wps:wsp>
                            <wps:cNvSpPr txBox="1"/>
                            <wps:spPr>
                              <a:xfrm>
                                <a:off x="0" y="0"/>
                                <a:ext cx="582485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229.3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1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173"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Exclusive Purchase Option Agreement dated December 1, 2015 among NetEase (Hangzhou) Network Co., Ltd., Hangzhou NetEase Leihuo Technology Co., Ltd. and Zhipeng Hu (incorporated by reference to Exhibit 4.50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4.27</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Operating Agreement dated December 1, 2015 among NetEase (Hangzhou) Network Co., Ltd., Hangzhou NetEase Leihuo Technology Co., Ltd., Tianlei Hu and Zhipeng Hu (incorporated by reference to Exhibit 4.51 to the company’s Annual Report on Form 20-F for the year ended December 31, 2015 filed with the SEC on April 22, 2016)</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4.28</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Loan Agreement dated September 26, 2016 between William Lei Ding and NetEase Youdao Information Technology (Beijing) Co., Ltd. (incorporated by reference to Exhibit 4.51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4.29</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Equity Pledge Agreement dated September 26, 2016 between William Lei Ding and NetEase Youdao Information Technology (Beijing) Co., Ltd. (incorporated by reference to Exhibit 4.52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4.30</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Exclusive Purchase Option Agreement dated September 26, 2016 among William Lei Ding, NetEase Youdao Information Technology (Beijing) Co., Ltd. and Youdao Computer System Co., Ltd. (incorporated by reference to Exhibit 4.53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Operating Agreement dated September 26, 2016 among Youdao Computer System Co., Ltd., NetEase Youdao Information Technology (Beijing) Co., Ltd. and William Lei Ding. (incorporated by reference to Exhibit 4.54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Cooperation Agreement dated July 1, 2015 between NetEase Youdao Information Technology (Beijing) Co., Ltd. and Youdao Computer System Co., Ltd. (incorporated by reference to Exhibit 4.55 to the company’s Annual Report on Form 20-F for the year ended December 31, 2016 filed with the SEC on April 21, 2017)</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Loan Agreement dated November 20, 2017 between Feng Zhou and NetEase Youdao Information Technology (Beijing) Co., Ltd. (incorporated by reference to Exhibit 4.52 to the company’s Annual Report on Form 20-F for the year ended December 31, 2017 filed with the SEC on April 20, 2018)</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Equity Pledge Agreement dated November 20, 2017 between Feng Zhou and NetEase Youdao Information Technology (Beijing) Co., Ltd. (incorporated by reference to Exhibit 4.53 to the company’s Annual Report on Form 20-F for the year ended December 31, 2017 filed with the SEC on April 20, 2018)</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Exclusive Purchase Option Agreement dated November 20, 2017 among NetEase Youdao Information Technology (Beijing) Co., Ltd., Feng Zhou and Youdao Computer System Co., Ltd. (incorporated by reference to Exhibit 4.54 to the company’s Annual Report on Form 20-F for the year ended December 31, 2017 filed with the SEC on April 20, 2018)</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Operating Agreement dated November 20, 2017 among NetEase Youdao Information Technology (Beijing) Co., Ltd., Youdao Computer System Co., Ltd. and Feng Zhou (incorporated by reference to Exhibit 4.55 to the company’s Annual Report on Form 20-F for the year ended December 31, 2017 filed with the SEC on April 20, 2018)</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4.37</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Supplementary Agreement of Assignment among NetEase (Hangzhou) Network Co., Ltd., Hangzhou NetEase Leihuo Technology Co., Ltd., Zhipeng Hu, Tianlei Hu and Long Cheng dated April 18, 2019 (incorporated by reference to Exhibit 4.58 to the company’s Annual Report on Form 20-F for the year ended December 31, 2018 filed with the SEC on April 26, 2019)</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Master Transaction Agreement dated September 27, 2019 between NetEase, Inc. and Youdao, Inc. (incorporated by reference to Exhibit 4.52 to the company’s Annual Report on Form 20-F for the year ended December 31, 2019 filed with the SEC on April 29, 2020)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48310" cy="175260"/>
                      <wp:effectExtent l="0" t="0" r="0" b="0"/>
                      <wp:wrapNone/>
                      <wp:docPr id="289" name="Frame288"/>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17.6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17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824855" cy="175260"/>
                      <wp:effectExtent l="0" t="0" r="0" b="0"/>
                      <wp:wrapNone/>
                      <wp:docPr id="291" name="Frame290"/>
                      <a:graphic xmlns:a="http://schemas.openxmlformats.org/drawingml/2006/main">
                        <a:graphicData uri="http://schemas.microsoft.com/office/word/2010/wordprocessingShape">
                          <wps:wsp>
                            <wps:cNvSpPr txBox="1"/>
                            <wps:spPr>
                              <a:xfrm>
                                <a:off x="0" y="0"/>
                                <a:ext cx="582485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229.3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1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173"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4.39</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Transitional Services Agreement dated September 27, 2019 between NetEase, Inc. and Youdao, Inc. (incorporated by reference to Exhibit 4.53 to the company’s Annual Report on Form 20-F for the year ended December 31, 2019 filed with the SEC on April 29, 2020)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Non-Competition Agreement dated September 27, 2019 between NetEase, Inc. and Youdao, Inc. (incorporated by reference to Exhibit 4.54 to the company’s Annual Report on Form 20-F for the year ended December 31, 2019 filed with the SEC on April 29, 2020)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Cooperation Framework Agreement dated September 27, 2019 between NetEase, Inc. and Youdao, Inc. (incorporated by reference to Exhibit 4.55 to the company’s Annual Report on Form 20-F for the year ended December 31, 2019 filed with the SEC on April 29, 2020)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Intellectual Property License Agreement dated September 27, 2019 between NetEase, Inc. and Youdao, Inc. (incorporated by reference to Exhibit 4.56 to the company’s Annual Report on Form 20-F for the year ended December 31, 2019 filed with the SEC on April 29, 2020)</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Amended and Restated 2019 Share Incentive Plan (incorporated by reference to Exhibit 4.5 to the company’s Post-effective Amendment No. 1 to Registration Statement on Form S-8 (file no. 333-234189) filed with the SEC on March 2, 2023)</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4.44+</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Facility agreement of a five-year term loan facility and revolving loan facility agreement of US$1.0 billion between the Registrant and the parties thereto dated June 2, 2021 (incorporated by reference to Exhibit 4.44 to the company’s Annual Report on Form 20-F for the year ended December 31, 2021 filed with the SEC on April 28, 2022)</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4.45+</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Letter of Amendment related to the above US$1.0 billion five-year facility agreement between the Registrant and the parties thereto dated September 23, 2021 (incorporated by reference to Exhibit 4.45 to the company’s Annual Report on Form 20-F for the year ended December 31, 2021 filed with the SEC on April 28, 2022)</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4.46+</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Facility agreement of a revolving loan facility of US$300 million between NetEase, Inc. as lender and Youdao, Inc. as borrower dated April 1, 2021 (incorporated by reference to Exhibit 4.46 to the company’s Annual Report on Form 20-F for the year ended December 31, 2021 filed with the SEC on April 28, 2022)</w:t>
              </w:r>
            </w:hyperlink>
            <w:r>
              <w:rPr>
                <w:rFonts w:ascii="Times New Roman;Times;serif" w:hAnsi="Times New Roman;Times;serif"/>
                <w:sz w:val="20"/>
              </w:rPr>
              <w:t xml:space="preserve"> </w:t>
            </w:r>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4.47*</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47.htm">
              <w:r>
                <w:rPr>
                  <w:rStyle w:val="InternetLink"/>
                  <w:rFonts w:ascii="Times New Roman;Times;serif" w:hAnsi="Times New Roman;Times;serif"/>
                  <w:b w:val="false"/>
                  <w:i w:val="false"/>
                  <w:caps w:val="false"/>
                  <w:smallCaps w:val="false"/>
                  <w:sz w:val="20"/>
                </w:rPr>
                <w:t>Amended and Restated Loan Agreement dated May 18, 2021 between Hangzhou NetEase Cloud Music Technology Co., Ltd. and William Lei Ding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48.htm">
              <w:r>
                <w:rPr>
                  <w:rStyle w:val="InternetLink"/>
                  <w:rFonts w:ascii="Times New Roman;Times;serif" w:hAnsi="Times New Roman;Times;serif"/>
                  <w:b w:val="false"/>
                  <w:i w:val="false"/>
                  <w:caps w:val="false"/>
                  <w:smallCaps w:val="false"/>
                  <w:sz w:val="20"/>
                </w:rPr>
                <w:t>Amended and Restated Equity Pledge Agreement dated May 18, 2021 between Hangzhou NetEase Cloud Music Technology Co., Ltd. and William Lei Ding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4.49*</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49.htm">
              <w:r>
                <w:rPr>
                  <w:rStyle w:val="InternetLink"/>
                  <w:rFonts w:ascii="Times New Roman;Times;serif" w:hAnsi="Times New Roman;Times;serif"/>
                  <w:b w:val="false"/>
                  <w:i w:val="false"/>
                  <w:caps w:val="false"/>
                  <w:smallCaps w:val="false"/>
                  <w:sz w:val="20"/>
                </w:rPr>
                <w:t>Amended and Restated Exclusive Purchase Option Agreement dated May 18, 2021 among Hangzhou NetEase Cloud Music Technology Co., Ltd., Hangzhou Yuedu Technology Co., Ltd. and William Lei Ding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50.htm">
              <w:r>
                <w:rPr>
                  <w:rStyle w:val="InternetLink"/>
                  <w:rFonts w:ascii="Times New Roman;Times;serif" w:hAnsi="Times New Roman;Times;serif"/>
                  <w:b w:val="false"/>
                  <w:i w:val="false"/>
                  <w:caps w:val="false"/>
                  <w:smallCaps w:val="false"/>
                  <w:sz w:val="20"/>
                </w:rPr>
                <w:t>Amended and Restated Shareholder Voting Right Trust Agreement dated May 18, 2021 between Hangzhou NetEase Cloud Music Technology Co., Ltd. and William Lei Ding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4.51*</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51.htm">
              <w:r>
                <w:rPr>
                  <w:rStyle w:val="InternetLink"/>
                  <w:rFonts w:ascii="Times New Roman;Times;serif" w:hAnsi="Times New Roman;Times;serif"/>
                  <w:b w:val="false"/>
                  <w:i w:val="false"/>
                  <w:caps w:val="false"/>
                  <w:smallCaps w:val="false"/>
                  <w:sz w:val="20"/>
                </w:rPr>
                <w:t>Loan Agreement dated November 9, 2022 between Hangzhou NetEase Cloud Music Technology Co., Ltd. and Dong Zhang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4.52*</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52.htm">
              <w:r>
                <w:rPr>
                  <w:rStyle w:val="InternetLink"/>
                  <w:rFonts w:ascii="Times New Roman;Times;serif" w:hAnsi="Times New Roman;Times;serif"/>
                  <w:b w:val="false"/>
                  <w:i w:val="false"/>
                  <w:caps w:val="false"/>
                  <w:smallCaps w:val="false"/>
                  <w:sz w:val="20"/>
                </w:rPr>
                <w:t>Equity Pledge Agreement dated November 9, 2022 between Hangzhou NetEase Cloud Music Technology Co., Ltd. and Dong Zhang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r>
        <w:trPr/>
        <w:tc>
          <w:tcPr>
            <w:tcW w:w="7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4.53*</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hyperlink w:anchor="ntes-20221231xex4d53.htm">
              <w:r>
                <w:rPr>
                  <w:rStyle w:val="InternetLink"/>
                  <w:rFonts w:ascii="Times New Roman;Times;serif" w:hAnsi="Times New Roman;Times;serif"/>
                  <w:b w:val="false"/>
                  <w:i w:val="false"/>
                  <w:caps w:val="false"/>
                  <w:smallCaps w:val="false"/>
                  <w:sz w:val="20"/>
                </w:rPr>
                <w:t>Operating Agreement dated November 9, 2022 among Hangzhou NetEase Cloud Music Technology Co., Hangzhou Yuedu Technology Co., Ltd., William Lei Ding and Dong Zhang</w:t>
              </w:r>
            </w:hyperlink>
          </w:p>
        </w:tc>
      </w:tr>
      <w:tr>
        <w:trPr/>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73" w:type="dxa"/>
            <w:tcBorders/>
            <w:shd w:fill="auto" w:val="cle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812"/>
        <w:gridCol w:w="326"/>
        <w:gridCol w:w="9067"/>
      </w:tblGrid>
      <w:tr>
        <w:trPr/>
        <w:tc>
          <w:tcPr>
            <w:tcW w:w="812"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15620" cy="175260"/>
                      <wp:effectExtent l="0" t="0" r="0" b="0"/>
                      <wp:wrapNone/>
                      <wp:docPr id="292" name="Frame291"/>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20.3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8.1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9067"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57545" cy="175260"/>
                      <wp:effectExtent l="0" t="0" r="0" b="0"/>
                      <wp:wrapNone/>
                      <wp:docPr id="294" name="Frame293"/>
                      <a:graphic xmlns:a="http://schemas.openxmlformats.org/drawingml/2006/main">
                        <a:graphicData uri="http://schemas.microsoft.com/office/word/2010/wordprocessingShape">
                          <wps:wsp>
                            <wps:cNvSpPr txBox="1"/>
                            <wps:spPr>
                              <a:xfrm>
                                <a:off x="0" y="0"/>
                                <a:ext cx="575754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35pt;height:13.8pt;mso-wrap-distance-left:0pt;mso-wrap-distance-right:0pt;mso-wrap-distance-top:0pt;mso-wrap-distance-bottom:0pt;margin-top:0pt;mso-position-vertical:top;mso-position-vertical-relative:text;margin-left:-226.7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812"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left"/>
              <w:rPr/>
            </w:pPr>
            <w:r>
              <w:rPr/>
              <w:t>    </w:t>
            </w:r>
          </w:p>
        </w:tc>
        <w:tc>
          <w:tcPr>
            <w:tcW w:w="9067"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812"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906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4.54*</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4d54.htm">
              <w:r>
                <w:rPr>
                  <w:rStyle w:val="InternetLink"/>
                  <w:rFonts w:ascii="Times New Roman;Times;serif" w:hAnsi="Times New Roman;Times;serif"/>
                  <w:b w:val="false"/>
                  <w:i w:val="false"/>
                  <w:caps w:val="false"/>
                  <w:smallCaps w:val="false"/>
                  <w:sz w:val="20"/>
                </w:rPr>
                <w:t>Exclusive Purchase Option Agreement dated November 9, 2022 among Hangzhou NetEase Cloud Music Technology Co., Hangzhou Yuedu Technology Co., Ltd. and Dong Zhang</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4.55*</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4d55.htm">
              <w:r>
                <w:rPr>
                  <w:rStyle w:val="InternetLink"/>
                  <w:rFonts w:ascii="Times New Roman;Times;serif" w:hAnsi="Times New Roman;Times;serif"/>
                  <w:b w:val="false"/>
                  <w:i w:val="false"/>
                  <w:caps w:val="false"/>
                  <w:smallCaps w:val="false"/>
                  <w:sz w:val="20"/>
                </w:rPr>
                <w:t>Shareholder Voting Right Trust Agreement dated November 9, 2022 between Hangzhou NetEase Cloud Music Technology Co., and Dong Zhang</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4.56*</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4d56.htm">
              <w:r>
                <w:rPr>
                  <w:rStyle w:val="InternetLink"/>
                  <w:rFonts w:ascii="Times New Roman;Times;serif" w:hAnsi="Times New Roman;Times;serif"/>
                  <w:b w:val="false"/>
                  <w:i w:val="false"/>
                  <w:caps w:val="false"/>
                  <w:smallCaps w:val="false"/>
                  <w:sz w:val="20"/>
                </w:rPr>
                <w:t>Amended and Restated Cooperation Agreement dated May 18, 2021 between Hangzhou NetEase Cloud Music Technology Co. and Hangzhou Yuedu Technology Co., Ltd.</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List of Significant Subsidiaries and Variable Interest Entities of NetEase, Inc. (incorporated by reference to Exhibit 8.1 to the company’s Annual Report on Form 20-F for the year ended December 31, 2020 filed with the SEC on April 28, 2021)</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Code of Business Conduct (incorporated by reference to Exhibit 11.1 to the company’s Annual Report on Form 20-F for the year ended December 31, 2006 filed with the SEC on June 26, 2007)</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2d1.htm">
              <w:r>
                <w:rPr>
                  <w:rStyle w:val="InternetLink"/>
                  <w:rFonts w:ascii="Times New Roman;Times;serif" w:hAnsi="Times New Roman;Times;serif"/>
                  <w:b w:val="false"/>
                  <w:i w:val="false"/>
                  <w:caps w:val="false"/>
                  <w:smallCaps w:val="false"/>
                  <w:sz w:val="20"/>
                </w:rPr>
                <w:t>Certification of Chief Executive Officer Required by Rule 13a-14(a)</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2d2.htm">
              <w:r>
                <w:rPr>
                  <w:rStyle w:val="InternetLink"/>
                  <w:rFonts w:ascii="Times New Roman;Times;serif" w:hAnsi="Times New Roman;Times;serif"/>
                  <w:b w:val="false"/>
                  <w:i w:val="false"/>
                  <w:caps w:val="false"/>
                  <w:smallCaps w:val="false"/>
                  <w:sz w:val="20"/>
                </w:rPr>
                <w:t>Certification of Chief Financial Officer Required by Rule 13a-14(a)</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13.1**</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3d1.htm">
              <w:r>
                <w:rPr>
                  <w:rStyle w:val="InternetLink"/>
                  <w:rFonts w:ascii="Times New Roman;Times;serif" w:hAnsi="Times New Roman;Times;serif"/>
                  <w:b w:val="false"/>
                  <w:i w:val="false"/>
                  <w:caps w:val="false"/>
                  <w:smallCaps w:val="false"/>
                  <w:sz w:val="20"/>
                </w:rPr>
                <w:t>Certification of Chief Executive Officer Required by Rule 13a-14(b) and Section 1350 of Chapter 63 of Title 18 of the United States Code</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3d2.htm">
              <w:r>
                <w:rPr>
                  <w:rStyle w:val="InternetLink"/>
                  <w:rFonts w:ascii="Times New Roman;Times;serif" w:hAnsi="Times New Roman;Times;serif"/>
                  <w:b w:val="false"/>
                  <w:i w:val="false"/>
                  <w:caps w:val="false"/>
                  <w:smallCaps w:val="false"/>
                  <w:sz w:val="20"/>
                </w:rPr>
                <w:t>Certification of Chief Financial Officer Required by Rule 13a-14(b) and Section 1350 of Chapter 63 of Title 18 of the United States Code</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Charter of Audit Committee of the Board of Directors of the Registrant (incorporated by reference to Exhibit 15.1 to the company’s Annual Report on Form 20-F for the year ended December 31, 2014 filed with the SEC on April 24, 2015)</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5d2.htm">
              <w:r>
                <w:rPr>
                  <w:rStyle w:val="InternetLink"/>
                  <w:rFonts w:ascii="Times New Roman;Times;serif" w:hAnsi="Times New Roman;Times;serif"/>
                  <w:b w:val="false"/>
                  <w:i w:val="false"/>
                  <w:caps w:val="false"/>
                  <w:smallCaps w:val="false"/>
                  <w:sz w:val="20"/>
                </w:rPr>
                <w:t>Consent of PricewaterhouseCoopers Zhong Tian LLP, Independent Registered Public Accounting Firm</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5d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5d4.htm">
              <w:r>
                <w:rPr>
                  <w:rStyle w:val="InternetLink"/>
                  <w:rFonts w:ascii="Times New Roman;Times;serif" w:hAnsi="Times New Roman;Times;serif"/>
                  <w:b w:val="false"/>
                  <w:i w:val="false"/>
                  <w:caps w:val="false"/>
                  <w:smallCaps w:val="false"/>
                  <w:sz w:val="20"/>
                </w:rPr>
                <w:t>Consent of Zhong Lun Law Firm</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hyperlink w:anchor="ntes-20221231xex15d5.htm">
              <w:r>
                <w:rPr>
                  <w:rStyle w:val="InternetLink"/>
                  <w:rFonts w:ascii="Times New Roman;Times;serif" w:hAnsi="Times New Roman;Times;serif"/>
                  <w:b w:val="false"/>
                  <w:i w:val="false"/>
                  <w:caps w:val="false"/>
                  <w:smallCaps w:val="false"/>
                  <w:sz w:val="20"/>
                </w:rPr>
                <w:t>Disclosure Pursuant to Item 16I(a) of Form 20-F</w:t>
              </w:r>
            </w:hyperlink>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pPr>
            <w:r>
              <w:rPr/>
              <w:t>​</w:t>
            </w:r>
          </w:p>
        </w:tc>
      </w:tr>
      <w:tr>
        <w:trPr/>
        <w:tc>
          <w:tcPr>
            <w:tcW w:w="81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906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spacing w:before="0" w:after="180"/>
        <w:ind w:left="0" w:right="0" w:hanging="360"/>
        <w:rPr>
          <w:rFonts w:ascii="Times New Roman;Times;serif" w:hAnsi="Times New Roman;Times;serif"/>
          <w:sz w:val="20"/>
        </w:rPr>
      </w:pPr>
      <w:r>
        <w:rPr>
          <w:rFonts w:ascii="Times New Roman;Times;serif" w:hAnsi="Times New Roman;Times;serif"/>
          <w:sz w:val="20"/>
        </w:rPr>
        <w:t>*Filed with this annual report on Form 20-F</w:t>
      </w:r>
    </w:p>
    <w:p>
      <w:pPr>
        <w:pStyle w:val="TextBody"/>
        <w:pBdr/>
        <w:spacing w:before="0" w:after="180"/>
        <w:ind w:left="0" w:right="0" w:hanging="360"/>
        <w:rPr>
          <w:rFonts w:ascii="Times New Roman;Times;serif" w:hAnsi="Times New Roman;Times;serif"/>
          <w:sz w:val="20"/>
        </w:rPr>
      </w:pPr>
      <w:r>
        <w:rPr>
          <w:rFonts w:ascii="Times New Roman;Times;serif" w:hAnsi="Times New Roman;Times;serif"/>
          <w:sz w:val="20"/>
        </w:rPr>
        <w:t>**Furnished with this annual report on Form 20-F.</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 Certain identified information has been excluded from the exhibit because it is both not material and is the type that the registrant treats as private or confidential.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19" w:name="_7388a8de_0086_4aeb_84b5_c0fcc9a774e0"/>
      <w:bookmarkEnd w:id="119"/>
      <w:r>
        <w:rPr>
          <w:rFonts w:ascii="Times New Roman;Times;serif" w:hAnsi="Times New Roman;Times;serif"/>
          <w:b/>
          <w:sz w:val="20"/>
        </w:rPr>
        <w:t>SIGNATURES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spacing w:before="0" w:after="0"/>
        <w:ind w:left="0" w:right="0" w:hanging="0"/>
        <w:rPr/>
      </w:pPr>
      <w:r>
        <w:rPr/>
        <w:t>​</w:t>
      </w:r>
    </w:p>
    <w:tbl>
      <w:tblPr>
        <w:tblW w:w="2845" w:type="dxa"/>
        <w:jc w:val="left"/>
        <w:tblInd w:w="0" w:type="dxa"/>
        <w:tblCellMar>
          <w:top w:w="0" w:type="dxa"/>
          <w:left w:w="0" w:type="dxa"/>
          <w:bottom w:w="0" w:type="dxa"/>
          <w:right w:w="0" w:type="dxa"/>
        </w:tblCellMar>
      </w:tblPr>
      <w:tblGrid>
        <w:gridCol w:w="124"/>
        <w:gridCol w:w="109"/>
        <w:gridCol w:w="541"/>
        <w:gridCol w:w="2071"/>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5" name="Frame2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233" w:type="dxa"/>
            <w:gridSpan w:val="2"/>
            <w:tcBorders/>
            <w:shd w:fill="auto" w:val="clear"/>
            <w:vAlign w:val="center"/>
          </w:tcPr>
          <w:p>
            <w:pPr>
              <w:pStyle w:val="TableContents"/>
              <w:spacing w:before="0" w:after="0"/>
              <w:ind w:left="0" w:right="0" w:hanging="0"/>
              <w:rPr/>
            </w:pPr>
            <w:r>
              <w:rPr/>
              <w:t>​</w:t>
            </w:r>
          </w:p>
        </w:tc>
        <w:tc>
          <w:tcPr>
            <w:tcW w:w="261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NETEASE, INC.</w:t>
            </w:r>
          </w:p>
        </w:tc>
      </w:tr>
      <w:tr>
        <w:trPr/>
        <w:tc>
          <w:tcPr>
            <w:tcW w:w="233" w:type="dxa"/>
            <w:gridSpan w:val="2"/>
            <w:tcBorders/>
            <w:shd w:fill="auto" w:val="clear"/>
            <w:vAlign w:val="center"/>
          </w:tcPr>
          <w:p>
            <w:pPr>
              <w:pStyle w:val="TableContents"/>
              <w:spacing w:before="0" w:after="0"/>
              <w:ind w:left="0" w:right="0" w:hanging="0"/>
              <w:rPr/>
            </w:pPr>
            <w:r>
              <w:rPr/>
              <w:t>​</w:t>
            </w:r>
          </w:p>
        </w:tc>
        <w:tc>
          <w:tcPr>
            <w:tcW w:w="2612" w:type="dxa"/>
            <w:gridSpan w:val="2"/>
            <w:tcBorders/>
            <w:shd w:fill="auto" w:val="clear"/>
            <w:vAlign w:val="center"/>
          </w:tcPr>
          <w:p>
            <w:pPr>
              <w:pStyle w:val="TableContents"/>
              <w:spacing w:before="0" w:after="0"/>
              <w:ind w:left="0" w:right="0" w:hanging="0"/>
              <w:rPr/>
            </w:pPr>
            <w:r>
              <w:rPr/>
              <w:t>​</w:t>
            </w:r>
          </w:p>
        </w:tc>
      </w:tr>
      <w:tr>
        <w:trPr/>
        <w:tc>
          <w:tcPr>
            <w:tcW w:w="233" w:type="dxa"/>
            <w:gridSpan w:val="2"/>
            <w:tcBorders/>
            <w:shd w:fill="auto" w:val="clear"/>
            <w:vAlign w:val="center"/>
          </w:tcPr>
          <w:p>
            <w:pPr>
              <w:pStyle w:val="TableContents"/>
              <w:spacing w:before="0" w:after="0"/>
              <w:ind w:left="0" w:right="0" w:hanging="0"/>
              <w:rPr/>
            </w:pPr>
            <w:r>
              <w:rPr/>
              <w:t>​</w:t>
            </w:r>
          </w:p>
        </w:tc>
        <w:tc>
          <w:tcPr>
            <w:tcW w:w="2612" w:type="dxa"/>
            <w:gridSpan w:val="2"/>
            <w:tcBorders/>
            <w:shd w:fill="auto" w:val="clear"/>
            <w:vAlign w:val="center"/>
          </w:tcPr>
          <w:p>
            <w:pPr>
              <w:pStyle w:val="TableContents"/>
              <w:spacing w:before="0" w:after="0"/>
              <w:ind w:left="0" w:right="0" w:hanging="0"/>
              <w:rPr/>
            </w:pPr>
            <w:r>
              <w:rPr/>
              <w:t>​</w:t>
            </w:r>
          </w:p>
        </w:tc>
      </w:tr>
      <w:tr>
        <w:trPr/>
        <w:tc>
          <w:tcPr>
            <w:tcW w:w="233"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William Lei Ding</w:t>
            </w:r>
          </w:p>
        </w:tc>
      </w:tr>
      <w:tr>
        <w:trPr/>
        <w:tc>
          <w:tcPr>
            <w:tcW w:w="233"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William Lei Ding</w:t>
            </w:r>
          </w:p>
        </w:tc>
      </w:tr>
      <w:tr>
        <w:trPr/>
        <w:tc>
          <w:tcPr>
            <w:tcW w:w="233"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233"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233"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27, 2023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0" w:name="_0cf9ebb7_1246_4b9f_9b0f_c2a8cce2a186"/>
      <w:bookmarkEnd w:id="120"/>
      <w:r>
        <w:rPr>
          <w:rFonts w:ascii="Times New Roman;Times;serif" w:hAnsi="Times New Roman;Times;serif"/>
          <w:b/>
          <w:sz w:val="20"/>
        </w:rPr>
        <w:t>NETEASE, INC.</w:t>
      </w:r>
    </w:p>
    <w:tbl>
      <w:tblPr>
        <w:tblW w:w="10205" w:type="dxa"/>
        <w:jc w:val="left"/>
        <w:tblInd w:w="0" w:type="dxa"/>
        <w:tblCellMar>
          <w:top w:w="0" w:type="dxa"/>
          <w:left w:w="0" w:type="dxa"/>
          <w:bottom w:w="0" w:type="dxa"/>
          <w:right w:w="0" w:type="dxa"/>
        </w:tblCellMar>
      </w:tblPr>
      <w:tblGrid>
        <w:gridCol w:w="9685"/>
        <w:gridCol w:w="520"/>
      </w:tblGrid>
      <w:tr>
        <w:trPr/>
        <w:tc>
          <w:tcPr>
            <w:tcW w:w="9685" w:type="dxa"/>
            <w:tcBorders/>
            <w:shd w:fill="auto" w:val="clear"/>
            <w:vAlign w:val="center"/>
          </w:tcPr>
          <w:p>
            <w:pPr>
              <w:pStyle w:val="TableContents"/>
              <w:spacing w:before="0" w:after="283"/>
              <w:ind w:left="0" w:right="0" w:hanging="0"/>
              <w:rPr>
                <w:sz w:val="4"/>
                <w:szCs w:val="4"/>
              </w:rPr>
            </w:pPr>
            <w:r>
              <w:rPr>
                <w:sz w:val="4"/>
                <w:szCs w:val="4"/>
              </w:rPr>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30200" cy="29210"/>
                      <wp:effectExtent l="0" t="0" r="0" b="0"/>
                      <wp:wrapNone/>
                      <wp:docPr id="296" name="Frame295"/>
                      <a:graphic xmlns:a="http://schemas.openxmlformats.org/drawingml/2006/main">
                        <a:graphicData uri="http://schemas.microsoft.com/office/word/2010/wordprocessingShape">
                          <wps:wsp>
                            <wps:cNvSpPr txBox="1"/>
                            <wps:spPr>
                              <a:xfrm>
                                <a:off x="0" y="0"/>
                                <a:ext cx="3302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685" w:type="dxa"/>
            <w:tcBorders/>
            <w:shd w:fill="auto" w:val="clear"/>
            <w:vAlign w:val="center"/>
          </w:tcPr>
          <w:p>
            <w:pPr>
              <w:pStyle w:val="TableContents"/>
              <w:spacing w:before="0" w:after="0"/>
              <w:ind w:left="0" w:right="0" w:hanging="0"/>
              <w:rPr/>
            </w:pPr>
            <w:hyperlink w:anchor="ManagementsReportonInternalControloverFi">
              <w:r>
                <w:rPr>
                  <w:rStyle w:val="InternetLink"/>
                  <w:rFonts w:ascii="Times New Roman;Times;serif" w:hAnsi="Times New Roman;Times;serif"/>
                  <w:b w:val="false"/>
                  <w:i w:val="false"/>
                  <w:caps w:val="false"/>
                  <w:smallCaps w:val="false"/>
                  <w:sz w:val="20"/>
                </w:rPr>
                <w:t>Management’s report on internal control over financial reporting</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ID:1424)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ConsolidatedBalanceSheets_17791">
              <w:r>
                <w:rPr>
                  <w:rStyle w:val="InternetLink"/>
                  <w:rFonts w:ascii="Times New Roman;Times;serif" w:hAnsi="Times New Roman;Times;serif"/>
                  <w:b w:val="false"/>
                  <w:i w:val="false"/>
                  <w:caps w:val="false"/>
                  <w:smallCaps w:val="false"/>
                  <w:sz w:val="20"/>
                </w:rPr>
                <w:t>Consolidated balance sheets at December 31, 2021 and 2022</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ConsolidatedStatementsofOperations_60696">
              <w:r>
                <w:rPr>
                  <w:rStyle w:val="InternetLink"/>
                  <w:rFonts w:ascii="Times New Roman;Times;serif" w:hAnsi="Times New Roman;Times;serif"/>
                  <w:b w:val="false"/>
                  <w:i w:val="false"/>
                  <w:caps w:val="false"/>
                  <w:smallCaps w:val="false"/>
                  <w:sz w:val="20"/>
                </w:rPr>
                <w:t>Consolidated statements of operations and comprehensive income for the years ended December 31, 2020, 2021 and 2022</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for the years ended December 31, 2020, 2021 and 2022</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CashFlows_216956">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685"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pPr>
            <w:r>
              <w:rPr/>
              <w:t>​</w:t>
            </w:r>
          </w:p>
        </w:tc>
      </w:tr>
      <w:tr>
        <w:trPr/>
        <w:tc>
          <w:tcPr>
            <w:tcW w:w="9685" w:type="dxa"/>
            <w:tcBorders/>
            <w:shd w:fill="auto" w:val="clear"/>
            <w:vAlign w:val="center"/>
          </w:tcPr>
          <w:p>
            <w:pPr>
              <w:pStyle w:val="TableContents"/>
              <w:spacing w:before="0" w:after="0"/>
              <w:ind w:left="0" w:right="0" w:hanging="0"/>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21" w:name="ManagementsReportonInternalControloverFi"/>
      <w:bookmarkStart w:id="122" w:name="_41c1762f_e9aa_427c_b5fb_2940528dc740"/>
      <w:bookmarkEnd w:id="121"/>
      <w:bookmarkEnd w:id="122"/>
      <w:r>
        <w:rPr>
          <w:rFonts w:ascii="Times New Roman;Times;serif" w:hAnsi="Times New Roman;Times;serif"/>
          <w:b/>
          <w:sz w:val="20"/>
        </w:rPr>
        <w:t>Management’s Report on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management of NetEase, Inc., or the Company, is responsible for establishing and maintaining adequate internal control over financial reporting as defined in Rule 13a-15(f) and 15d-15(f) promulgated under the Securities Exchange Act of 1934, as amended.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the Company’s principal executive and principal financial officer, assessed the effectiveness of the Company’s internal control over financial reporting as of the end of the most recent fiscal year, December 31, 2022. In making this assessment, the Company’s management used the criteria set forth by the Committee of Sponsoring Organizations of the Treadway Commission (COSO) in Internal Control-Integrated Framework (2013). Based on its assessment, management concluded that, as of the end of the Company’s most recent fiscal year, December 31, 2022, the Company’s internal control over financial reporting is effective based on those criteria.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PricewaterhouseCoopers Zhong Tian LLP, the Company’s independent registered public accounting firm, has audited the effectiveness of the Company’s internal control over financial reporting as of December 31, 2022, as stated in their report, which is included herein.</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123" w:name="ReportofIndependentRegisteredPublicAccou"/>
      <w:bookmarkStart w:id="124" w:name="_1546611a_7b4e_42a9_90ae_19d8336276a0"/>
      <w:bookmarkEnd w:id="123"/>
      <w:bookmarkEnd w:id="124"/>
      <w:r>
        <w:rPr>
          <w:rFonts w:ascii="Times New Roman;Times;serif" w:hAnsi="Times New Roman;Times;serif"/>
          <w:b/>
          <w:sz w:val="20"/>
        </w:rPr>
        <w:t>Report of Independent Registered Public Accounting Firm</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To the Board of Directors and Shareholders of NetEase, Inc.</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NetEase, Inc. and its subsidiaries (the “Company”) as of December 31, 2022 and 2021, and the related consolidated statements of operations and comprehensive income, of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F-2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Critical Audit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Estimate of average playing period of paying players for recognition of in-game virtual items revenue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Notes 2(c) and 28 to the consolidated financial statements, the Company recognized RMB74.6 billion of revenues from games and related value-added services for the year ended December 31, 2022.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estimates for the estimated average playing period of the paying players for each game. If a new game was launched and only a limited period of paying player data was available, then management considered other qualitative factors. Significant management assumptions applied to estimate the average playing period of paying players for recognition of in-game virtual items revenue include: (i) estimating future players’ churn rates based on historical players’ churn rates; and (ii) similarities between new games and existing games with sufficient historical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the estimates of average playing period of paying players for recognition of in-game virtual items revenue is a critical audit matter are the significant assumptions made by management in developing these estimates, which in turn led to a high degree of auditor judgement, and effort in performing procedures to evaluate the reasonableness of the significant assumptions used by management, including estimates of future players’ churn rates and estimates of similarities between new games and existing games.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the key judgements, inputs and assumptions of the estimates of average playing period of paying players for recognition of in-game virtual items revenue. These procedures also included, among others,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Impairment assessment of equity method investments and long-term equity investments without readily determinable fair values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Notes 2(j) and 11 to the consolidated financial statements, the Company’s consolidated balance of investments in equity method investees and long-term equity investments without readily determinable fair values as at December 31, 2022 was RMB5,239.2 million and RMB10,463.3 million, respectively.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conducts impairment tests for investments in equity method investees and long-term equity investments without readily determinable fair values periodically, or when events or circumstances indicate that the carrying amount may not be recoverable. For equity method investments, the Company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 For long-term equity investments without readily determinable fair values, the Company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judgements management applies in the impairment assessment for these equity investments include: (i) the determination as to whether any impairment indicators exist during the year; (ii) estimating the impairment amount if an impairment exists; and (iii) judgements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Key estimates mainly comprised the severity and duration of the impairment indicator and the existence of any positive or mitigating factors.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the impairment assessment of equity method investments and long-term equity investments without readily determinable fair values is a critical audit matter, are the high degree of auditor judgement, subjectivity and audit effort involved in performing procedures and evaluating management’s significant estimates relating to evaluating the reasonableness of significant judgements management applied in the impairment assessment.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equity method investments and long-term equity investments without readily determinable fair values. These procedures also included, among others, (i) testing the completeness, accuracy and relevance of underlying data management used to identify the indicators of impairment; (ii) testing management’s qualitative evaluation as to whether indicators of impairment existed by assessing the evidence considered by management, as well as other relevant market information; (iii) evaluating the reasonableness of key estimates used by management in the determination of the impairment amounts, by considering (a) the investee’s current and past performances, (b) the consistency with industry and third party data, and (c) whether these estimates were consistent with evidence obtained in other areas of the audit.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PricewaterhouseCoopers Zhong Tian LLP</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Beijing, the People’s Republic of China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April 27,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2002.</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125" w:name="_153d7b99_9d60_4f3e_8e42_85f9a8e39b17"/>
      <w:bookmarkEnd w:id="125"/>
      <w:r>
        <w:rPr>
          <w:rFonts w:ascii="Times New Roman;Times;serif" w:hAnsi="Times New Roman;Times;serif"/>
          <w:b/>
          <w:sz w:val="20"/>
        </w:rPr>
        <w:t>NetEase, Inc.</w:t>
      </w:r>
    </w:p>
    <w:p>
      <w:pPr>
        <w:pStyle w:val="TextBody"/>
        <w:spacing w:before="0" w:after="0"/>
        <w:ind w:left="0" w:right="0" w:hanging="0"/>
        <w:jc w:val="both"/>
        <w:rPr>
          <w:rFonts w:ascii="Times New Roman;Times;serif" w:hAnsi="Times New Roman;Times;serif"/>
          <w:b/>
          <w:sz w:val="20"/>
        </w:rPr>
      </w:pPr>
      <w:bookmarkStart w:id="126" w:name="ConsolidatedBalanceSheets_17791"/>
      <w:bookmarkEnd w:id="126"/>
      <w:r>
        <w:rPr>
          <w:rFonts w:ascii="Times New Roman;Times;serif" w:hAnsi="Times New Roman;Times;serif"/>
          <w:b/>
          <w:sz w:val="20"/>
        </w:rPr>
        <w:t>Consolidated Balance Sheets</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27" w:name="Tc_4QYhDaEY40COtTVpiZmz2Q_67_0"/>
      <w:bookmarkStart w:id="128" w:name="Tc_s3WbSmZoLkyXbTSUwSiWNg_65_0"/>
      <w:bookmarkStart w:id="129" w:name="Tc_3hzfDSUrcEi2e5O47DT6rA_64_2"/>
      <w:bookmarkStart w:id="130" w:name="Tc_Ex7mhJLt9Um81p2hgcm_FQ_64_0"/>
      <w:bookmarkStart w:id="131" w:name="Tc_zfPAukVxn0CGt7DD4zqs7g_63_0"/>
      <w:bookmarkStart w:id="132" w:name="Tc_o_WypXHNiU-j3PCTE5i6KA_62_0"/>
      <w:bookmarkStart w:id="133" w:name="Tc_w5S--IIObUypMdKquSTp7A_61_0"/>
      <w:bookmarkStart w:id="134" w:name="Tc_t--gQYtLhE68Lzy7t1DXdA_60_2"/>
      <w:bookmarkStart w:id="135" w:name="Tc_Mh-nA21QTkSRUZv8nhSSBg_60_0"/>
      <w:bookmarkStart w:id="136" w:name="Tc_sn3TsgbdD0iWCJMkLCahvQ_59_0"/>
      <w:bookmarkStart w:id="137" w:name="Tc_3H-vFXNVJ0WaSqQMkUIObQ_58_0"/>
      <w:bookmarkStart w:id="138" w:name="Tc_hf2Ou5Gs-0mustxxyd-hyA_57_0"/>
      <w:bookmarkStart w:id="139" w:name="Tc_-F3VuCb3jkSKOoFEan38TQ_56_0"/>
      <w:bookmarkStart w:id="140" w:name="Tc_HvFGqgbAhU2EC5rxW6UUig_55_0"/>
      <w:bookmarkStart w:id="141" w:name="Tc_-mwJlL43yE2MjaHUi1m1fw_53_2"/>
      <w:bookmarkStart w:id="142" w:name="Tc_lPciaChu9E21scPIwufJxg_53_0"/>
      <w:bookmarkStart w:id="143" w:name="Tc_NBbqhFOk4EeuSOd5tibeow_51_2"/>
      <w:bookmarkStart w:id="144" w:name="Tc_dnxTBOcobku9cEkfBPuoFA_51_0"/>
      <w:bookmarkStart w:id="145" w:name="Tc_yXNBqYdsuk2iv4Bvm5LcXw_49_0"/>
      <w:bookmarkStart w:id="146" w:name="Tc_xJ2Ru6I6r0ysYFk1rTTNGA_47_0"/>
      <w:bookmarkStart w:id="147" w:name="Tc_Hjl3wu6YhEe7SGdBKIVPcw_46_0"/>
      <w:bookmarkStart w:id="148" w:name="Tc_xAeiFGtlbUKedDBKN7GsTQ_45_2"/>
      <w:bookmarkStart w:id="149" w:name="Tc_n95kNm5aIU6K_3IBp9o_PQ_45_0"/>
      <w:bookmarkStart w:id="150" w:name="Tc_8_qCFVJSR06fJbEDnWfBpQ_44_2"/>
      <w:bookmarkStart w:id="151" w:name="Tc_ZWNfwU9l8km0VBQjUkChyg_44_0"/>
      <w:bookmarkStart w:id="152" w:name="Tc_he0hsbOUvEygSp_aLiF6UQ_43_2"/>
      <w:bookmarkStart w:id="153" w:name="Tc_m-sM4J4eo0ydPz5MQsAeQA_43_0"/>
      <w:bookmarkStart w:id="154" w:name="Tc_1OkTCGtaCkaDm8wUz2mJPQ_42_0"/>
      <w:bookmarkStart w:id="155" w:name="Tc_jpvouPJPNUOH4rJEkBjXuA_40_0"/>
      <w:bookmarkStart w:id="156" w:name="Tc_LAqKLJrKuE2Hng7K_7XESg_39_2"/>
      <w:bookmarkStart w:id="157" w:name="Tc_PZ8kCX9A8kaYZK1zO5qvlg_39_0"/>
      <w:bookmarkStart w:id="158" w:name="Tc_om0iC33lRkSitbpooEgD2g_38_2"/>
      <w:bookmarkStart w:id="159" w:name="Tc_1BYNGTTV0kiQQyqTAnv2Kw_38_0"/>
      <w:bookmarkStart w:id="160" w:name="Tc_TKTxu4pzDkeigr9Mxzbx3w_37_2"/>
      <w:bookmarkStart w:id="161" w:name="Tc_7poVmQCds0mOMgtwV2iW5A_37_0"/>
      <w:bookmarkStart w:id="162" w:name="Tc_mFzXg--PjkqojIXv7pp_FA_36_2"/>
      <w:bookmarkStart w:id="163" w:name="Tc_RT-0hCMtGUiQ9-Poef3DbA_36_0"/>
      <w:bookmarkStart w:id="164" w:name="Tc_clShZbcvQUG1dy1vTFBW5w_35_2"/>
      <w:bookmarkStart w:id="165" w:name="Tc_pPFeq3KqR0mqJ-di2OrxuQ_35_0"/>
      <w:bookmarkStart w:id="166" w:name="Tc_afLRcI425UmezDmkscwPpQ_34_0"/>
      <w:bookmarkStart w:id="167" w:name="Tc_SrRxSnZC8keH5o1yyNDUsQ_33_0"/>
      <w:bookmarkStart w:id="168" w:name="Tc_C25IW2KssEGqlH0flJ6YDQ_32_0"/>
      <w:bookmarkStart w:id="169" w:name="Tc_zvh36zkagUmkz_k6Sd6gaA_31_0"/>
      <w:bookmarkStart w:id="170" w:name="Tc_TEJiGBK06UesejQ8IH7uhg_29_0"/>
      <w:bookmarkStart w:id="171" w:name="Tc_zvdB2ezfjEeA6YpXba4XXg_27_0"/>
      <w:bookmarkStart w:id="172" w:name="Tc_7Hq3saNIwUKuuf8hq5baYQ_26_8"/>
      <w:bookmarkStart w:id="173" w:name="Tc_IailPbsN4EWfMFaBZLVy5w_26_6"/>
      <w:bookmarkStart w:id="174" w:name="Tc_9Jz0K17gh0G0qSbzEtbuDA_26_0"/>
      <w:bookmarkStart w:id="175" w:name="Tc_BBXZifg_V0uMGdqz8nZshQ_25_2"/>
      <w:bookmarkStart w:id="176" w:name="Tc_z5Xtkxe180OBG9tUen75gg_25_0"/>
      <w:bookmarkStart w:id="177" w:name="Tc_pfZ1DitlC02ggROD4GELjg_24_2"/>
      <w:bookmarkStart w:id="178" w:name="Tc_g1cNQhJ2mkOCRRkwWvrPkg_24_0"/>
      <w:bookmarkStart w:id="179" w:name="Tc_Tbu6WhdKwkeGRHCBH0GFRw_23_2"/>
      <w:bookmarkStart w:id="180" w:name="Tc_-4gK31QwAkCAdGtnuDGluw_23_0"/>
      <w:bookmarkStart w:id="181" w:name="Tc_uYMSV3RXOUCdBqwm6e6euQ_22_2"/>
      <w:bookmarkStart w:id="182" w:name="Tc_TmPwW2i66kmrdwI8SO6bCA_22_0"/>
      <w:bookmarkStart w:id="183" w:name="Tc_OdzmzsfAhEKDW9uRG3UWWg_21_2"/>
      <w:bookmarkStart w:id="184" w:name="Tc_J-OdIxFYgkarX5orYZbkiQ_21_0"/>
      <w:bookmarkStart w:id="185" w:name="Tc_ryENKqKW3Uion9gsQCi84Q_20_2"/>
      <w:bookmarkStart w:id="186" w:name="Tc_okxbSjZUc0Kogo1BekEdPw_20_0"/>
      <w:bookmarkStart w:id="187" w:name="Tc_3_0KljPTAUqtvXL5TT9v_A_19_2"/>
      <w:bookmarkStart w:id="188" w:name="Tc_FfEVQzKjBEmJLfYXVo3U-g_19_0"/>
      <w:bookmarkStart w:id="189" w:name="Tc_EXIZvURMSU2AlgPBXHxC2g_18_2"/>
      <w:bookmarkStart w:id="190" w:name="Tc_N6xNwTotsEyfCX41zAuQvg_18_0"/>
      <w:bookmarkStart w:id="191" w:name="Tc_mCOnb6_PHE-fdD4NtWPh2A_17_0"/>
      <w:bookmarkStart w:id="192" w:name="Tc_Ex-iQoTxbkCacd9n4Jr-ZA_15_0"/>
      <w:bookmarkStart w:id="193" w:name="Tc_MsdQX4hh202nfa4UIjj2JA_14_8"/>
      <w:bookmarkStart w:id="194" w:name="Tc_gcqWf5kzbUWtwkiGU3fgCw_14_6"/>
      <w:bookmarkStart w:id="195" w:name="Tc_cGiAMbBzJ0uEfSr0NuDLtw_14_0"/>
      <w:bookmarkStart w:id="196" w:name="Tc_Vp9Oi9QwGkGd89zqaCEVOQ_13_2"/>
      <w:bookmarkStart w:id="197" w:name="Tc_qUywajIEKUOzAI-i02kSmw_13_0"/>
      <w:bookmarkStart w:id="198" w:name="Tc_o6iOOsUyF0SflbSXnmZ8oQ_12_2"/>
      <w:bookmarkStart w:id="199" w:name="Tc_22FvjtHqSkS5lACdffqoPg_12_0"/>
      <w:bookmarkStart w:id="200" w:name="Tc_4Mx68lD_FUu7TtwFos5oHg_11_2"/>
      <w:bookmarkStart w:id="201" w:name="Tc_KwfwUuo690KQ-xCJLf9P4g_11_0"/>
      <w:bookmarkStart w:id="202" w:name="Tc_xQGcZCkaRkegVj8aBsbi_g_10_0"/>
      <w:bookmarkStart w:id="203" w:name="Tc_YNWPO64dnk6Yn5dnEYhw2w_9_2"/>
      <w:bookmarkStart w:id="204" w:name="Tc_BR5WI-oOWUSHtMi0zhEv7g_9_0"/>
      <w:bookmarkStart w:id="205" w:name="Tc_IfcySCH_dEuE5tDpf0MYNQ_8_2"/>
      <w:bookmarkStart w:id="206" w:name="Tc_-w3yjoSqrke54WZaBDtkSg_8_0"/>
      <w:bookmarkStart w:id="207" w:name="Tc_2b1y1_GX9k-tw5leZjjbrQ_7_2"/>
      <w:bookmarkStart w:id="208" w:name="Tc_8vyImH9lEEq-s4BfRgtr_w_7_0"/>
      <w:bookmarkStart w:id="209" w:name="Tc_Th4T0uIiXU6FoZ4x45PbbQ_6_0"/>
      <w:bookmarkStart w:id="210" w:name="Tc_0FC6ZBgbC0SkhXHDS8ukRQ_5_0"/>
      <w:bookmarkStart w:id="211" w:name="Tc_gCaO9hpwVE-FM9rjcf1NFg_4_8"/>
      <w:bookmarkStart w:id="212" w:name="Tc_jBx6UkcAMUCwIHt4SqS_cA_3_8"/>
      <w:bookmarkStart w:id="213" w:name="Tc_nMMOS8tcpU-Kj3telbHzbw_3_6"/>
      <w:bookmarkStart w:id="214" w:name="Tc_oiY58chaFUaNIZgM4vA3aw_3_4"/>
      <w:bookmarkStart w:id="215" w:name="Tc_mpAP-05nv0K7tPOu13JawA_3_2"/>
      <w:bookmarkStart w:id="216" w:name="Tc_NHdYVyAItkedEH1c8QR_jA_2_8"/>
      <w:bookmarkStart w:id="217" w:name="Tc_3qqGIF4ZSUycyEYGvEzMRw_2_6"/>
      <w:bookmarkStart w:id="218" w:name="Tc_qqB7GDh6z0WxkqsDawQWQg_2_4"/>
      <w:bookmarkStart w:id="219" w:name="Tc_opwGvTiQtk-TBeVgFX48DQ_1_8"/>
      <w:bookmarkStart w:id="220" w:name="Tc_GNiaxr_AlEKTs5PQffUCtA_1_6"/>
      <w:bookmarkStart w:id="221" w:name="Tc_BmaoSYurI0-BPMX_f6ovtA_1_4"/>
      <w:bookmarkStart w:id="222" w:name="_1c041401_33b2_4692_9ae9_7316cdc6b025"/>
      <w:bookmarkStart w:id="223" w:name="Tc_4QYhDaEY40COtTVpiZmz2Q_67_0"/>
      <w:bookmarkStart w:id="224" w:name="Tc_s3WbSmZoLkyXbTSUwSiWNg_65_0"/>
      <w:bookmarkStart w:id="225" w:name="Tc_3hzfDSUrcEi2e5O47DT6rA_64_2"/>
      <w:bookmarkStart w:id="226" w:name="Tc_Ex7mhJLt9Um81p2hgcm_FQ_64_0"/>
      <w:bookmarkStart w:id="227" w:name="Tc_zfPAukVxn0CGt7DD4zqs7g_63_0"/>
      <w:bookmarkStart w:id="228" w:name="Tc_o_WypXHNiU-j3PCTE5i6KA_62_0"/>
      <w:bookmarkStart w:id="229" w:name="Tc_w5S--IIObUypMdKquSTp7A_61_0"/>
      <w:bookmarkStart w:id="230" w:name="Tc_t--gQYtLhE68Lzy7t1DXdA_60_2"/>
      <w:bookmarkStart w:id="231" w:name="Tc_Mh-nA21QTkSRUZv8nhSSBg_60_0"/>
      <w:bookmarkStart w:id="232" w:name="Tc_sn3TsgbdD0iWCJMkLCahvQ_59_0"/>
      <w:bookmarkStart w:id="233" w:name="Tc_3H-vFXNVJ0WaSqQMkUIObQ_58_0"/>
      <w:bookmarkStart w:id="234" w:name="Tc_hf2Ou5Gs-0mustxxyd-hyA_57_0"/>
      <w:bookmarkStart w:id="235" w:name="Tc_-F3VuCb3jkSKOoFEan38TQ_56_0"/>
      <w:bookmarkStart w:id="236" w:name="Tc_HvFGqgbAhU2EC5rxW6UUig_55_0"/>
      <w:bookmarkStart w:id="237" w:name="Tc_-mwJlL43yE2MjaHUi1m1fw_53_2"/>
      <w:bookmarkStart w:id="238" w:name="Tc_lPciaChu9E21scPIwufJxg_53_0"/>
      <w:bookmarkStart w:id="239" w:name="Tc_NBbqhFOk4EeuSOd5tibeow_51_2"/>
      <w:bookmarkStart w:id="240" w:name="Tc_dnxTBOcobku9cEkfBPuoFA_51_0"/>
      <w:bookmarkStart w:id="241" w:name="Tc_yXNBqYdsuk2iv4Bvm5LcXw_49_0"/>
      <w:bookmarkStart w:id="242" w:name="Tc_xJ2Ru6I6r0ysYFk1rTTNGA_47_0"/>
      <w:bookmarkStart w:id="243" w:name="Tc_Hjl3wu6YhEe7SGdBKIVPcw_46_0"/>
      <w:bookmarkStart w:id="244" w:name="Tc_xAeiFGtlbUKedDBKN7GsTQ_45_2"/>
      <w:bookmarkStart w:id="245" w:name="Tc_n95kNm5aIU6K_3IBp9o_PQ_45_0"/>
      <w:bookmarkStart w:id="246" w:name="Tc_8_qCFVJSR06fJbEDnWfBpQ_44_2"/>
      <w:bookmarkStart w:id="247" w:name="Tc_ZWNfwU9l8km0VBQjUkChyg_44_0"/>
      <w:bookmarkStart w:id="248" w:name="Tc_he0hsbOUvEygSp_aLiF6UQ_43_2"/>
      <w:bookmarkStart w:id="249" w:name="Tc_m-sM4J4eo0ydPz5MQsAeQA_43_0"/>
      <w:bookmarkStart w:id="250" w:name="Tc_1OkTCGtaCkaDm8wUz2mJPQ_42_0"/>
      <w:bookmarkStart w:id="251" w:name="Tc_jpvouPJPNUOH4rJEkBjXuA_40_0"/>
      <w:bookmarkStart w:id="252" w:name="Tc_LAqKLJrKuE2Hng7K_7XESg_39_2"/>
      <w:bookmarkStart w:id="253" w:name="Tc_PZ8kCX9A8kaYZK1zO5qvlg_39_0"/>
      <w:bookmarkStart w:id="254" w:name="Tc_om0iC33lRkSitbpooEgD2g_38_2"/>
      <w:bookmarkStart w:id="255" w:name="Tc_1BYNGTTV0kiQQyqTAnv2Kw_38_0"/>
      <w:bookmarkStart w:id="256" w:name="Tc_TKTxu4pzDkeigr9Mxzbx3w_37_2"/>
      <w:bookmarkStart w:id="257" w:name="Tc_7poVmQCds0mOMgtwV2iW5A_37_0"/>
      <w:bookmarkStart w:id="258" w:name="Tc_mFzXg--PjkqojIXv7pp_FA_36_2"/>
      <w:bookmarkStart w:id="259" w:name="Tc_RT-0hCMtGUiQ9-Poef3DbA_36_0"/>
      <w:bookmarkStart w:id="260" w:name="Tc_clShZbcvQUG1dy1vTFBW5w_35_2"/>
      <w:bookmarkStart w:id="261" w:name="Tc_pPFeq3KqR0mqJ-di2OrxuQ_35_0"/>
      <w:bookmarkStart w:id="262" w:name="Tc_afLRcI425UmezDmkscwPpQ_34_0"/>
      <w:bookmarkStart w:id="263" w:name="Tc_SrRxSnZC8keH5o1yyNDUsQ_33_0"/>
      <w:bookmarkStart w:id="264" w:name="Tc_C25IW2KssEGqlH0flJ6YDQ_32_0"/>
      <w:bookmarkStart w:id="265" w:name="Tc_zvh36zkagUmkz_k6Sd6gaA_31_0"/>
      <w:bookmarkStart w:id="266" w:name="Tc_TEJiGBK06UesejQ8IH7uhg_29_0"/>
      <w:bookmarkStart w:id="267" w:name="Tc_zvdB2ezfjEeA6YpXba4XXg_27_0"/>
      <w:bookmarkStart w:id="268" w:name="Tc_7Hq3saNIwUKuuf8hq5baYQ_26_8"/>
      <w:bookmarkStart w:id="269" w:name="Tc_IailPbsN4EWfMFaBZLVy5w_26_6"/>
      <w:bookmarkStart w:id="270" w:name="Tc_9Jz0K17gh0G0qSbzEtbuDA_26_0"/>
      <w:bookmarkStart w:id="271" w:name="Tc_BBXZifg_V0uMGdqz8nZshQ_25_2"/>
      <w:bookmarkStart w:id="272" w:name="Tc_z5Xtkxe180OBG9tUen75gg_25_0"/>
      <w:bookmarkStart w:id="273" w:name="Tc_pfZ1DitlC02ggROD4GELjg_24_2"/>
      <w:bookmarkStart w:id="274" w:name="Tc_g1cNQhJ2mkOCRRkwWvrPkg_24_0"/>
      <w:bookmarkStart w:id="275" w:name="Tc_Tbu6WhdKwkeGRHCBH0GFRw_23_2"/>
      <w:bookmarkStart w:id="276" w:name="Tc_-4gK31QwAkCAdGtnuDGluw_23_0"/>
      <w:bookmarkStart w:id="277" w:name="Tc_uYMSV3RXOUCdBqwm6e6euQ_22_2"/>
      <w:bookmarkStart w:id="278" w:name="Tc_TmPwW2i66kmrdwI8SO6bCA_22_0"/>
      <w:bookmarkStart w:id="279" w:name="Tc_OdzmzsfAhEKDW9uRG3UWWg_21_2"/>
      <w:bookmarkStart w:id="280" w:name="Tc_J-OdIxFYgkarX5orYZbkiQ_21_0"/>
      <w:bookmarkStart w:id="281" w:name="Tc_ryENKqKW3Uion9gsQCi84Q_20_2"/>
      <w:bookmarkStart w:id="282" w:name="Tc_okxbSjZUc0Kogo1BekEdPw_20_0"/>
      <w:bookmarkStart w:id="283" w:name="Tc_3_0KljPTAUqtvXL5TT9v_A_19_2"/>
      <w:bookmarkStart w:id="284" w:name="Tc_FfEVQzKjBEmJLfYXVo3U-g_19_0"/>
      <w:bookmarkStart w:id="285" w:name="Tc_EXIZvURMSU2AlgPBXHxC2g_18_2"/>
      <w:bookmarkStart w:id="286" w:name="Tc_N6xNwTotsEyfCX41zAuQvg_18_0"/>
      <w:bookmarkStart w:id="287" w:name="Tc_mCOnb6_PHE-fdD4NtWPh2A_17_0"/>
      <w:bookmarkStart w:id="288" w:name="Tc_Ex-iQoTxbkCacd9n4Jr-ZA_15_0"/>
      <w:bookmarkStart w:id="289" w:name="Tc_MsdQX4hh202nfa4UIjj2JA_14_8"/>
      <w:bookmarkStart w:id="290" w:name="Tc_gcqWf5kzbUWtwkiGU3fgCw_14_6"/>
      <w:bookmarkStart w:id="291" w:name="Tc_cGiAMbBzJ0uEfSr0NuDLtw_14_0"/>
      <w:bookmarkStart w:id="292" w:name="Tc_Vp9Oi9QwGkGd89zqaCEVOQ_13_2"/>
      <w:bookmarkStart w:id="293" w:name="Tc_qUywajIEKUOzAI-i02kSmw_13_0"/>
      <w:bookmarkStart w:id="294" w:name="Tc_o6iOOsUyF0SflbSXnmZ8oQ_12_2"/>
      <w:bookmarkStart w:id="295" w:name="Tc_22FvjtHqSkS5lACdffqoPg_12_0"/>
      <w:bookmarkStart w:id="296" w:name="Tc_4Mx68lD_FUu7TtwFos5oHg_11_2"/>
      <w:bookmarkStart w:id="297" w:name="Tc_KwfwUuo690KQ-xCJLf9P4g_11_0"/>
      <w:bookmarkStart w:id="298" w:name="Tc_xQGcZCkaRkegVj8aBsbi_g_10_0"/>
      <w:bookmarkStart w:id="299" w:name="Tc_YNWPO64dnk6Yn5dnEYhw2w_9_2"/>
      <w:bookmarkStart w:id="300" w:name="Tc_BR5WI-oOWUSHtMi0zhEv7g_9_0"/>
      <w:bookmarkStart w:id="301" w:name="Tc_IfcySCH_dEuE5tDpf0MYNQ_8_2"/>
      <w:bookmarkStart w:id="302" w:name="Tc_-w3yjoSqrke54WZaBDtkSg_8_0"/>
      <w:bookmarkStart w:id="303" w:name="Tc_2b1y1_GX9k-tw5leZjjbrQ_7_2"/>
      <w:bookmarkStart w:id="304" w:name="Tc_8vyImH9lEEq-s4BfRgtr_w_7_0"/>
      <w:bookmarkStart w:id="305" w:name="Tc_Th4T0uIiXU6FoZ4x45PbbQ_6_0"/>
      <w:bookmarkStart w:id="306" w:name="Tc_0FC6ZBgbC0SkhXHDS8ukRQ_5_0"/>
      <w:bookmarkStart w:id="307" w:name="Tc_gCaO9hpwVE-FM9rjcf1NFg_4_8"/>
      <w:bookmarkStart w:id="308" w:name="Tc_jBx6UkcAMUCwIHt4SqS_cA_3_8"/>
      <w:bookmarkStart w:id="309" w:name="Tc_nMMOS8tcpU-Kj3telbHzbw_3_6"/>
      <w:bookmarkStart w:id="310" w:name="Tc_oiY58chaFUaNIZgM4vA3aw_3_4"/>
      <w:bookmarkStart w:id="311" w:name="Tc_mpAP-05nv0K7tPOu13JawA_3_2"/>
      <w:bookmarkStart w:id="312" w:name="Tc_NHdYVyAItkedEH1c8QR_jA_2_8"/>
      <w:bookmarkStart w:id="313" w:name="Tc_3qqGIF4ZSUycyEYGvEzMRw_2_6"/>
      <w:bookmarkStart w:id="314" w:name="Tc_qqB7GDh6z0WxkqsDawQWQg_2_4"/>
      <w:bookmarkStart w:id="315" w:name="Tc_opwGvTiQtk-TBeVgFX48DQ_1_8"/>
      <w:bookmarkStart w:id="316" w:name="Tc_GNiaxr_AlEKTs5PQffUCtA_1_6"/>
      <w:bookmarkStart w:id="317" w:name="Tc_BmaoSYurI0-BPMX_f6ovtA_1_4"/>
      <w:bookmarkStart w:id="318" w:name="_1c041401_33b2_4692_9ae9_7316cdc6b025"/>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tbl>
      <w:tblPr>
        <w:tblW w:w="10205" w:type="dxa"/>
        <w:jc w:val="left"/>
        <w:tblInd w:w="0" w:type="dxa"/>
        <w:tblCellMar>
          <w:top w:w="0" w:type="dxa"/>
          <w:left w:w="0" w:type="dxa"/>
          <w:bottom w:w="0" w:type="dxa"/>
          <w:right w:w="0" w:type="dxa"/>
        </w:tblCellMar>
      </w:tblPr>
      <w:tblGrid>
        <w:gridCol w:w="5956"/>
        <w:gridCol w:w="109"/>
        <w:gridCol w:w="436"/>
        <w:gridCol w:w="326"/>
        <w:gridCol w:w="893"/>
        <w:gridCol w:w="326"/>
        <w:gridCol w:w="893"/>
        <w:gridCol w:w="326"/>
        <w:gridCol w:w="940"/>
      </w:tblGrid>
      <w:tr>
        <w:trPr/>
        <w:tc>
          <w:tcPr>
            <w:tcW w:w="5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782060" cy="175260"/>
                      <wp:effectExtent l="0" t="0" r="0" b="0"/>
                      <wp:wrapNone/>
                      <wp:docPr id="297" name="Frame296"/>
                      <a:graphic xmlns:a="http://schemas.openxmlformats.org/drawingml/2006/main">
                        <a:graphicData uri="http://schemas.microsoft.com/office/word/2010/wordprocessingShape">
                          <wps:wsp>
                            <wps:cNvSpPr txBox="1"/>
                            <wps:spPr>
                              <a:xfrm>
                                <a:off x="0" y="0"/>
                                <a:ext cx="3782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8" name="Frame2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76860" cy="175260"/>
                      <wp:effectExtent l="0" t="0" r="0" b="0"/>
                      <wp:wrapNone/>
                      <wp:docPr id="299" name="Frame298"/>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67055" cy="175260"/>
                      <wp:effectExtent l="0" t="0" r="0" b="0"/>
                      <wp:wrapNone/>
                      <wp:docPr id="301" name="Frame300"/>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67055" cy="175260"/>
                      <wp:effectExtent l="0" t="0" r="0" b="0"/>
                      <wp:wrapNone/>
                      <wp:docPr id="303" name="Frame302"/>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96900" cy="175260"/>
                      <wp:effectExtent l="0" t="0" r="0" b="0"/>
                      <wp:wrapNone/>
                      <wp:docPr id="305" name="Frame304"/>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shd w:fill="auto" w:val="clear"/>
            <w:vAlign w:val="center"/>
          </w:tcPr>
          <w:p>
            <w:pPr>
              <w:pStyle w:val="TableContents"/>
              <w:spacing w:before="0" w:after="0"/>
              <w:ind w:left="0" w:right="0" w:hanging="0"/>
              <w:rPr/>
            </w:pPr>
            <w:r>
              <w:rPr/>
              <w:t>    </w:t>
            </w:r>
          </w:p>
        </w:tc>
        <w:tc>
          <w:tcPr>
            <w:tcW w:w="940"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b/>
                <w:i/>
                <w:sz w:val="14"/>
              </w:rPr>
            </w:pPr>
            <w:r>
              <w:rPr>
                <w:rFonts w:ascii="Times New Roman;Times;serif" w:hAnsi="Times New Roman;Times;serif"/>
                <w:b/>
                <w:i/>
                <w:sz w:val="14"/>
              </w:rPr>
              <w:t>Notes</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2(q)</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Current assets: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and cash equivalents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14,498,157</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24,889,000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3,608,566</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Time deposits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70,754,846</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84,947,679</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12,316,256</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Restricted cash</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2,876,628</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2,699,055</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391,326</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5,507,988</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5,002,872</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725,348</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Inventories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2(i)</w:t>
            </w:r>
          </w:p>
        </w:tc>
        <w:tc>
          <w:tcPr>
            <w:tcW w:w="326" w:type="dxa"/>
            <w:tcBorders/>
            <w:shd w:fill="CCEEFF" w:val="clear"/>
            <w:vAlign w:val="center"/>
          </w:tcPr>
          <w:p>
            <w:pPr>
              <w:pStyle w:val="TableContents"/>
              <w:spacing w:before="0" w:after="0"/>
              <w:ind w:left="0" w:right="0" w:hanging="0"/>
              <w:jc w:val="center"/>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964,733</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993,636</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144,064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Prepayments and other current assets, net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6</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6,235,857</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5,448,284</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789,927</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Short-term investments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7</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12,281,548</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7,622,673</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1,105,184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Assets held for sale</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497</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current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113,120,254</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131,603,199</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19,080,671</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Non-current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Property, equipment and software, net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8</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5,433,858</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6,342,330</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919,551</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Land use rights, net</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9</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4,108,090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4,121,767</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597,600</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Operating lease right-of-use assets, net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1,044,152</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887,977</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128,745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tax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13(c)</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1,297,954</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1,480,789</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214,694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Time deposits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5,823,840</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2,973,840</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431,166</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Restricted cash</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Long-term investments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11</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18,804,902</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18,544,358</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2,688,679</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long-term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12</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4,008,456</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6,806,455</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986,844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Assets held for sale</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1,088</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non-current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40,523,670</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41,157,786</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5,967,318</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153,643,924</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172,760,985</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25,047,989</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Liabilities, Redeemable noncontrolling interests and Shareholders’ equity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Current liabilities: </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payable</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985,059</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1,507,141</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218,515</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Salary and welfare payables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4,133,254</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4,732,941</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686,212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Taxes payable</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14</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4,537,050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2,813,096</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407,861</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Short-term loans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15</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19,352,313</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23,875,704</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3,461,652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Contract liabilities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16</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12,132,743</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12,518,890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1,815,068</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Accrued liabilities and other payables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17</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9,026,508</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11,122,022</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1,612,542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Short-term operating lease liabilities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334,399</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259,053</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37,559</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current liabilities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50,501,326</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56,828,847</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8,239,409</w:t>
            </w:r>
          </w:p>
        </w:tc>
      </w:tr>
      <w:tr>
        <w:trPr/>
        <w:tc>
          <w:tcPr>
            <w:tcW w:w="595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Non-current liabilities: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tax liabilities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13(c)</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1,345,874</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2,126,120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308,258</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Long-term operating lease liabilities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732,127</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672,640</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97,524</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Long-term loans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18</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1,275,140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3,654,964</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529,920</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long-term liabilities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365,581</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604,934</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87,707</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non-current liabilities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3,718,722</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7,058,658</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1,023,409</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54,220,048</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63,887,505</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9,262,818</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Commitments and contingencies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24</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Redeemable noncontrolling interests</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19</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145,238</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136,440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19,782</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Shareholders’ equity: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Ordinary shares, US$0.0001 par value:</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1,000,300,000,000 shares authorized, 3,273,835,376 and 3,223,623,596 shares issued and outstanding as of December 31, 2021 and 2022, respectively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2,794</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2,710</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Additional paid-in capital</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37,915,939</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22,854,234</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3,313,553</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Treasury stock</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(20,502,188)</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(10,910,754)</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(1,581,911)</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Statutory reserves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2(u)</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1,245,125</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1,278,666</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185,389</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Accumulated other comprehensive (loss)/ income</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(828,065)</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431,786</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62,603</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Retained earnings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77,494,475</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91,074,675</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13,204,587</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NetEase, Inc.’s shareholders’ equity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95,328,080</w:t>
            </w:r>
          </w:p>
        </w:tc>
        <w:tc>
          <w:tcPr>
            <w:tcW w:w="326" w:type="dxa"/>
            <w:tcBorders/>
            <w:shd w:fill="CCEEFF" w:val="clear"/>
            <w:vAlign w:val="center"/>
          </w:tcPr>
          <w:p>
            <w:pPr>
              <w:pStyle w:val="TableContents"/>
              <w:spacing w:before="0" w:after="0"/>
              <w:ind w:left="0" w:right="0" w:hanging="0"/>
              <w:rPr/>
            </w:pPr>
            <w:r>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104,731,317</w:t>
            </w:r>
          </w:p>
        </w:tc>
        <w:tc>
          <w:tcPr>
            <w:tcW w:w="32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15,184,614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Noncontrolling interests</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i/>
                <w:sz w:val="14"/>
              </w:rPr>
            </w:pPr>
            <w:r>
              <w:rPr>
                <w:rFonts w:ascii="Times New Roman;Times;serif" w:hAnsi="Times New Roman;Times;serif"/>
                <w:i/>
                <w:sz w:val="14"/>
              </w:rPr>
              <w:t>19</w:t>
            </w:r>
          </w:p>
        </w:tc>
        <w:tc>
          <w:tcPr>
            <w:tcW w:w="326" w:type="dxa"/>
            <w:tcBorders/>
            <w:shd w:fill="auto" w:val="clear"/>
            <w:vAlign w:val="center"/>
          </w:tcPr>
          <w:p>
            <w:pPr>
              <w:pStyle w:val="TableContents"/>
              <w:spacing w:before="0" w:after="0"/>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3,950,558</w:t>
            </w:r>
          </w:p>
        </w:tc>
        <w:tc>
          <w:tcPr>
            <w:tcW w:w="326" w:type="dxa"/>
            <w:tcBorders/>
            <w:shd w:fill="auto" w:val="clear"/>
            <w:vAlign w:val="center"/>
          </w:tcPr>
          <w:p>
            <w:pPr>
              <w:pStyle w:val="TableContents"/>
              <w:spacing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4,005,723</w:t>
            </w:r>
          </w:p>
        </w:tc>
        <w:tc>
          <w:tcPr>
            <w:tcW w:w="326" w:type="dxa"/>
            <w:tcBorders/>
            <w:shd w:fill="auto" w:val="clear"/>
            <w:vAlign w:val="center"/>
          </w:tcPr>
          <w:p>
            <w:pPr>
              <w:pStyle w:val="TableContents"/>
              <w:spacing w:before="0" w:after="0"/>
              <w:ind w:left="0" w:right="0" w:hanging="0"/>
              <w:rPr/>
            </w:pPr>
            <w:r>
              <w:rPr/>
              <w:t>​</w:t>
            </w:r>
          </w:p>
        </w:tc>
        <w:tc>
          <w:tcPr>
            <w:tcW w:w="9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580,775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99,278,638</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108,737,040</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15,765,389</w:t>
            </w:r>
          </w:p>
        </w:tc>
      </w:tr>
      <w:tr>
        <w:trPr/>
        <w:tc>
          <w:tcPr>
            <w:tcW w:w="5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0"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liabilities, redeemable noncontrolling interests and shareholders’ equity</w:t>
            </w:r>
          </w:p>
        </w:tc>
        <w:tc>
          <w:tcPr>
            <w:tcW w:w="109"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153,643,924</w:t>
            </w:r>
          </w:p>
        </w:tc>
        <w:tc>
          <w:tcPr>
            <w:tcW w:w="326" w:type="dxa"/>
            <w:tcBorders/>
            <w:shd w:fill="CCEEFF" w:val="clear"/>
            <w:vAlign w:val="center"/>
          </w:tcPr>
          <w:p>
            <w:pPr>
              <w:pStyle w:val="TableContents"/>
              <w:spacing w:before="0" w:after="0"/>
              <w:ind w:left="0" w:right="0" w:hanging="0"/>
              <w:rPr/>
            </w:pPr>
            <w:r>
              <w:rPr/>
              <w:t>​</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172,760,985</w:t>
            </w:r>
          </w:p>
        </w:tc>
        <w:tc>
          <w:tcPr>
            <w:tcW w:w="326" w:type="dxa"/>
            <w:tcBorders/>
            <w:shd w:fill="CCEEFF" w:val="clear"/>
            <w:vAlign w:val="center"/>
          </w:tcPr>
          <w:p>
            <w:pPr>
              <w:pStyle w:val="TableContents"/>
              <w:spacing w:before="0" w:after="0"/>
              <w:ind w:left="0" w:right="0" w:hanging="0"/>
              <w:rPr/>
            </w:pPr>
            <w:r>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25,047,989</w:t>
            </w:r>
          </w:p>
        </w:tc>
      </w:tr>
    </w:tbl>
    <w:p>
      <w:pPr>
        <w:pStyle w:val="TextBody"/>
        <w:spacing w:before="0" w:after="0"/>
        <w:ind w:left="14" w:right="0" w:hanging="0"/>
        <w:jc w:val="both"/>
        <w:rPr/>
      </w:pPr>
      <w:r>
        <w:rPr/>
        <w:t>​</w:t>
      </w:r>
    </w:p>
    <w:p>
      <w:pPr>
        <w:pStyle w:val="TextBody"/>
        <w:spacing w:before="0" w:after="0"/>
        <w:ind w:left="14"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319" w:name="_4a8eeaae_f871_4d89_a171_188ffaae014d"/>
      <w:bookmarkEnd w:id="319"/>
      <w:r>
        <w:rPr>
          <w:rFonts w:ascii="Times New Roman;Times;serif" w:hAnsi="Times New Roman;Times;serif"/>
          <w:b/>
          <w:sz w:val="20"/>
        </w:rPr>
        <w:t>NetEase, Inc.</w:t>
      </w:r>
    </w:p>
    <w:p>
      <w:pPr>
        <w:pStyle w:val="TextBody"/>
        <w:spacing w:before="0" w:after="0"/>
        <w:ind w:left="0" w:right="0" w:hanging="0"/>
        <w:jc w:val="both"/>
        <w:rPr>
          <w:rFonts w:ascii="Times New Roman;Times;serif" w:hAnsi="Times New Roman;Times;serif"/>
          <w:b/>
          <w:sz w:val="20"/>
        </w:rPr>
      </w:pPr>
      <w:bookmarkStart w:id="320" w:name="ConsolidatedStatementsofOperations_60696"/>
      <w:bookmarkEnd w:id="320"/>
      <w:r>
        <w:rPr>
          <w:rFonts w:ascii="Times New Roman;Times;serif" w:hAnsi="Times New Roman;Times;serif"/>
          <w:b/>
          <w:sz w:val="20"/>
        </w:rPr>
        <w:t>Consolidated Statements of Operations and Comprehensive Income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(in thousands except per share data</w:t>
      </w:r>
      <w:r>
        <w:rPr>
          <w:rFonts w:ascii="Times New Roman;Times;serif" w:hAnsi="Times New Roman;Times;serif"/>
          <w:sz w:val="20"/>
        </w:rPr>
        <w:t xml:space="preserve"> </w:t>
      </w:r>
      <w:r>
        <w:rPr>
          <w:rFonts w:ascii="Times New Roman;Times;serif" w:hAnsi="Times New Roman;Times;serif"/>
          <w:b/>
          <w:sz w:val="20"/>
        </w:rPr>
        <w:t>or per ADS data)</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321" w:name="Tc_3wXN6ser6ES0C_fzpdwa9Q_56_0"/>
      <w:bookmarkStart w:id="322" w:name="Tc_QQQNdEM5W0y67rRkKnhocg_55_2"/>
      <w:bookmarkStart w:id="323" w:name="Tc_6Lm3gB8TCEG9rZb3P8oc7g_55_0"/>
      <w:bookmarkStart w:id="324" w:name="Tc_vnggqk2rtUerSaqL7cVmoA_54_0"/>
      <w:bookmarkStart w:id="325" w:name="Tc_4Ym8KE9qWUm9f7FB0viMaQ_53_2"/>
      <w:bookmarkStart w:id="326" w:name="Tc_RGE89T6iVUevJMEP3kUKlA_53_0"/>
      <w:bookmarkStart w:id="327" w:name="Tc_vpGNYLqDi0yYclrnjfBOUg_51_6"/>
      <w:bookmarkStart w:id="328" w:name="Tc_0FRhZTDZfkKnocUXu_tGtw_51_4"/>
      <w:bookmarkStart w:id="329" w:name="Tc_fRAoh-iDD0i-Ybstb6_paQ_51_0"/>
      <w:bookmarkStart w:id="330" w:name="Tc_jhhyHibCAEWS7pgUCDKCTQ_50_0"/>
      <w:bookmarkStart w:id="331" w:name="Tc_EYLnndJMUEasKeRqIxuWEA_49_0"/>
      <w:bookmarkStart w:id="332" w:name="Tc_VpBJ8wB6bUqNsQvgcjILLw_47_6"/>
      <w:bookmarkStart w:id="333" w:name="Tc_b1imnX4UCUq-xvNR90Omcw_47_4"/>
      <w:bookmarkStart w:id="334" w:name="Tc_CR4gO4Y8aUm07IjEcvkHwg_47_0"/>
      <w:bookmarkStart w:id="335" w:name="Tc_0k6-cTq_M06X3Y2BXmWytw_46_0"/>
      <w:bookmarkStart w:id="336" w:name="Tc_hmiXb0r5lEaOd_mbqvFJ-g_45_2"/>
      <w:bookmarkStart w:id="337" w:name="Tc_neuzKupty0yinE6kxdRrJQ_45_0"/>
      <w:bookmarkStart w:id="338" w:name="Tc_lUcqv799ZEmLr36yT426vQ_43_6"/>
      <w:bookmarkStart w:id="339" w:name="Tc_X1ld7A-T4Uu6DPgNuDDLIg_43_4"/>
      <w:bookmarkStart w:id="340" w:name="Tc_CEduMCYUN0O2Zb0_ykuRLw_43_0"/>
      <w:bookmarkStart w:id="341" w:name="Tc_PclgMtEyok-i1TTcDCswbw_42_0"/>
      <w:bookmarkStart w:id="342" w:name="Tc_rNM8SM8wskulSWmsxWHGKA_41_0"/>
      <w:bookmarkStart w:id="343" w:name="Tc__B_FOs_q2029DtOTpUgyJw_39_6"/>
      <w:bookmarkStart w:id="344" w:name="Tc_J-AWvdcC_EqqPKQE6m7tcw_39_4"/>
      <w:bookmarkStart w:id="345" w:name="Tc_1UqAb_5Nmk29Vg011VE1jA_39_0"/>
      <w:bookmarkStart w:id="346" w:name="Tc_QCJZJqqneUWFz3wJEXI9fg_38_0"/>
      <w:bookmarkStart w:id="347" w:name="Tc_4yjmst6zXEaYD-s0BOEn8g_37_2"/>
      <w:bookmarkStart w:id="348" w:name="Tc_x05ePt3kXkqRViUeS6GsGA_37_0"/>
      <w:bookmarkStart w:id="349" w:name="Tc_k6Cwxzb2bEK3g89M7Oe_hg_35_0"/>
      <w:bookmarkStart w:id="350" w:name="Tc_xQ-z6UJAZEW08FyYlk553w_34_0"/>
      <w:bookmarkStart w:id="351" w:name="Tc_sqqCgKuL3UCGCjYWii8hhw_33_0"/>
      <w:bookmarkStart w:id="352" w:name="Tc_Z9oWYQ7vMUq_OPCy8KOmqw_32_0"/>
      <w:bookmarkStart w:id="353" w:name="Tc_YRUjYzJBokG4gaJFqEsicg_31_0"/>
      <w:bookmarkStart w:id="354" w:name="Tc_6A5nV6maC0yWuzZiiGXHYg_30_0"/>
      <w:bookmarkStart w:id="355" w:name="Tc_Q5ETifyh_ECDiKfQDpeozw_29_6"/>
      <w:bookmarkStart w:id="356" w:name="Tc_MByiu2GYpUawt4YE5dN72w_29_4"/>
      <w:bookmarkStart w:id="357" w:name="Tc_MfcYL37u5E-AkvEbttJKKQ_29_2"/>
      <w:bookmarkStart w:id="358" w:name="Tc__aiTdsgH80y-KLJkfzCG2Q_29_0"/>
      <w:bookmarkStart w:id="359" w:name="Tc_CqS_ph8pDEuhLPLcuuqrSg_28_0"/>
      <w:bookmarkStart w:id="360" w:name="Tc_RA7QXlMV_0Obamz1I_r3bg_27_0"/>
      <w:bookmarkStart w:id="361" w:name="Tc_kNkSNpMTyk6VRPtwQNWUKw_26_0"/>
      <w:bookmarkStart w:id="362" w:name="Tc_cwddpQoFnkSm0MnzmbxG-Q_25_0"/>
      <w:bookmarkStart w:id="363" w:name="Tc_7jMjC1VLOEe9pgIDe7ivPA_24_0"/>
      <w:bookmarkStart w:id="364" w:name="Tc_-Qnk_0GRsEaVBH3AOCELAA_23_0"/>
      <w:bookmarkStart w:id="365" w:name="Tc_q2Im-dH8zEWMBPvHt8ta5Q_22_6"/>
      <w:bookmarkStart w:id="366" w:name="Tc_DPlMYqJqW0e63ZnJgmqHPQ_22_4"/>
      <w:bookmarkStart w:id="367" w:name="Tc_0s3TwOtRoUaI6v6VYlTO5w_22_0"/>
      <w:bookmarkStart w:id="368" w:name="Tc_afRi4wvY60ukFu6mFOYnuQ_21_0"/>
      <w:bookmarkStart w:id="369" w:name="Tc_oeUE12KZKkuSqq7Epdz1Qw_20_2"/>
      <w:bookmarkStart w:id="370" w:name="Tc_AWxKgVec206zJ6z_UTXrgQ_20_0"/>
      <w:bookmarkStart w:id="371" w:name="Tc_rtmcBvcwTEuOdNT6XOYNaQ_19_0"/>
      <w:bookmarkStart w:id="372" w:name="Tc_dqWzr9cVukiB6yznYaLzDw_18_0"/>
      <w:bookmarkStart w:id="373" w:name="Tc_PWzmiUIq2EGL4GHpB3tYxw_17_0"/>
      <w:bookmarkStart w:id="374" w:name="Tc_Wf1rsad8D0qqq1tGZpby_w_16_0"/>
      <w:bookmarkStart w:id="375" w:name="Tc_0bsM8dzhCUiQAjTrD5XoSg_15_0"/>
      <w:bookmarkStart w:id="376" w:name="Tc_PjbQnfy24EaxM38MLi0bnQ_14_0"/>
      <w:bookmarkStart w:id="377" w:name="Tc_rWaqpIXq_EKVevDCC36cvg_13_0"/>
      <w:bookmarkStart w:id="378" w:name="Tc_oqmnsL_wgEWtRxpwaBTfjA_12_0"/>
      <w:bookmarkStart w:id="379" w:name="Tc_hs0oH6vvk06Jr1Bbt9jctw_11_0"/>
      <w:bookmarkStart w:id="380" w:name="Tc_E3lSoaKpUEiRnn9GYYiGCg_10_0"/>
      <w:bookmarkStart w:id="381" w:name="Tc_hflXeKYqtkeIgcY0Ccbddw_9_0"/>
      <w:bookmarkStart w:id="382" w:name="Tc_8__9qGTcOkiNeyovroq4yw_8_0"/>
      <w:bookmarkStart w:id="383" w:name="Tc_6m3_tlQuMUSRFrVTmgEdKQ_7_0"/>
      <w:bookmarkStart w:id="384" w:name="Tc_nN0BSnig7UGAgGf58u_PoA_6_2"/>
      <w:bookmarkStart w:id="385" w:name="Tc_KXc55avvI0qFJ2nyElnI0g_6_0"/>
      <w:bookmarkStart w:id="386" w:name="Tc_Jbs26rD40EGRaJwEbBOnMw_5_2"/>
      <w:bookmarkStart w:id="387" w:name="Tc_Ygxb3OVtNkC1dioqBWL0DA_5_0"/>
      <w:bookmarkStart w:id="388" w:name="Tc_l22sfRxkmkaZbfD6ANF9aQ_4_10"/>
      <w:bookmarkStart w:id="389" w:name="Tc_yFOF2bxHGk-1BirhwZ_siw_3_10"/>
      <w:bookmarkStart w:id="390" w:name="Tc_HZqSNbWaMkagebnEz_sB4w_3_8"/>
      <w:bookmarkStart w:id="391" w:name="Tc_LVhsdciguU6TtMSUJ9yFZA_3_6"/>
      <w:bookmarkStart w:id="392" w:name="Tc_TCCE8OXXZkCSWpEn5BNXMA_3_4"/>
      <w:bookmarkStart w:id="393" w:name="Tc_t-FbvBjSMUiEETi461aJFg_3_2"/>
      <w:bookmarkStart w:id="394" w:name="Tc_UKS7FoDqqk2dgetLwsZAAQ_2_10"/>
      <w:bookmarkStart w:id="395" w:name="Tc_OjT153KDGka-MZrxJoy4Xg_2_8"/>
      <w:bookmarkStart w:id="396" w:name="Tc_xi650XZ-N0-sl_jUFaH75w_2_6"/>
      <w:bookmarkStart w:id="397" w:name="Tc_vKfl_JqlxE-SPCnRLp1rpg_2_4"/>
      <w:bookmarkStart w:id="398" w:name="Tc_t6kHhrs4rEGKEgaGQBNjng_1_4"/>
      <w:bookmarkStart w:id="399" w:name="_89050f59_9a1b_47c8_8b54_e16b40cf2245"/>
      <w:bookmarkStart w:id="400" w:name="Tc_3wXN6ser6ES0C_fzpdwa9Q_56_0"/>
      <w:bookmarkStart w:id="401" w:name="Tc_QQQNdEM5W0y67rRkKnhocg_55_2"/>
      <w:bookmarkStart w:id="402" w:name="Tc_6Lm3gB8TCEG9rZb3P8oc7g_55_0"/>
      <w:bookmarkStart w:id="403" w:name="Tc_vnggqk2rtUerSaqL7cVmoA_54_0"/>
      <w:bookmarkStart w:id="404" w:name="Tc_4Ym8KE9qWUm9f7FB0viMaQ_53_2"/>
      <w:bookmarkStart w:id="405" w:name="Tc_RGE89T6iVUevJMEP3kUKlA_53_0"/>
      <w:bookmarkStart w:id="406" w:name="Tc_vpGNYLqDi0yYclrnjfBOUg_51_6"/>
      <w:bookmarkStart w:id="407" w:name="Tc_0FRhZTDZfkKnocUXu_tGtw_51_4"/>
      <w:bookmarkStart w:id="408" w:name="Tc_fRAoh-iDD0i-Ybstb6_paQ_51_0"/>
      <w:bookmarkStart w:id="409" w:name="Tc_jhhyHibCAEWS7pgUCDKCTQ_50_0"/>
      <w:bookmarkStart w:id="410" w:name="Tc_EYLnndJMUEasKeRqIxuWEA_49_0"/>
      <w:bookmarkStart w:id="411" w:name="Tc_VpBJ8wB6bUqNsQvgcjILLw_47_6"/>
      <w:bookmarkStart w:id="412" w:name="Tc_b1imnX4UCUq-xvNR90Omcw_47_4"/>
      <w:bookmarkStart w:id="413" w:name="Tc_CR4gO4Y8aUm07IjEcvkHwg_47_0"/>
      <w:bookmarkStart w:id="414" w:name="Tc_0k6-cTq_M06X3Y2BXmWytw_46_0"/>
      <w:bookmarkStart w:id="415" w:name="Tc_hmiXb0r5lEaOd_mbqvFJ-g_45_2"/>
      <w:bookmarkStart w:id="416" w:name="Tc_neuzKupty0yinE6kxdRrJQ_45_0"/>
      <w:bookmarkStart w:id="417" w:name="Tc_lUcqv799ZEmLr36yT426vQ_43_6"/>
      <w:bookmarkStart w:id="418" w:name="Tc_X1ld7A-T4Uu6DPgNuDDLIg_43_4"/>
      <w:bookmarkStart w:id="419" w:name="Tc_CEduMCYUN0O2Zb0_ykuRLw_43_0"/>
      <w:bookmarkStart w:id="420" w:name="Tc_PclgMtEyok-i1TTcDCswbw_42_0"/>
      <w:bookmarkStart w:id="421" w:name="Tc_rNM8SM8wskulSWmsxWHGKA_41_0"/>
      <w:bookmarkStart w:id="422" w:name="Tc__B_FOs_q2029DtOTpUgyJw_39_6"/>
      <w:bookmarkStart w:id="423" w:name="Tc_J-AWvdcC_EqqPKQE6m7tcw_39_4"/>
      <w:bookmarkStart w:id="424" w:name="Tc_1UqAb_5Nmk29Vg011VE1jA_39_0"/>
      <w:bookmarkStart w:id="425" w:name="Tc_QCJZJqqneUWFz3wJEXI9fg_38_0"/>
      <w:bookmarkStart w:id="426" w:name="Tc_4yjmst6zXEaYD-s0BOEn8g_37_2"/>
      <w:bookmarkStart w:id="427" w:name="Tc_x05ePt3kXkqRViUeS6GsGA_37_0"/>
      <w:bookmarkStart w:id="428" w:name="Tc_k6Cwxzb2bEK3g89M7Oe_hg_35_0"/>
      <w:bookmarkStart w:id="429" w:name="Tc_xQ-z6UJAZEW08FyYlk553w_34_0"/>
      <w:bookmarkStart w:id="430" w:name="Tc_sqqCgKuL3UCGCjYWii8hhw_33_0"/>
      <w:bookmarkStart w:id="431" w:name="Tc_Z9oWYQ7vMUq_OPCy8KOmqw_32_0"/>
      <w:bookmarkStart w:id="432" w:name="Tc_YRUjYzJBokG4gaJFqEsicg_31_0"/>
      <w:bookmarkStart w:id="433" w:name="Tc_6A5nV6maC0yWuzZiiGXHYg_30_0"/>
      <w:bookmarkStart w:id="434" w:name="Tc_Q5ETifyh_ECDiKfQDpeozw_29_6"/>
      <w:bookmarkStart w:id="435" w:name="Tc_MByiu2GYpUawt4YE5dN72w_29_4"/>
      <w:bookmarkStart w:id="436" w:name="Tc_MfcYL37u5E-AkvEbttJKKQ_29_2"/>
      <w:bookmarkStart w:id="437" w:name="Tc__aiTdsgH80y-KLJkfzCG2Q_29_0"/>
      <w:bookmarkStart w:id="438" w:name="Tc_CqS_ph8pDEuhLPLcuuqrSg_28_0"/>
      <w:bookmarkStart w:id="439" w:name="Tc_RA7QXlMV_0Obamz1I_r3bg_27_0"/>
      <w:bookmarkStart w:id="440" w:name="Tc_kNkSNpMTyk6VRPtwQNWUKw_26_0"/>
      <w:bookmarkStart w:id="441" w:name="Tc_cwddpQoFnkSm0MnzmbxG-Q_25_0"/>
      <w:bookmarkStart w:id="442" w:name="Tc_7jMjC1VLOEe9pgIDe7ivPA_24_0"/>
      <w:bookmarkStart w:id="443" w:name="Tc_-Qnk_0GRsEaVBH3AOCELAA_23_0"/>
      <w:bookmarkStart w:id="444" w:name="Tc_q2Im-dH8zEWMBPvHt8ta5Q_22_6"/>
      <w:bookmarkStart w:id="445" w:name="Tc_DPlMYqJqW0e63ZnJgmqHPQ_22_4"/>
      <w:bookmarkStart w:id="446" w:name="Tc_0s3TwOtRoUaI6v6VYlTO5w_22_0"/>
      <w:bookmarkStart w:id="447" w:name="Tc_afRi4wvY60ukFu6mFOYnuQ_21_0"/>
      <w:bookmarkStart w:id="448" w:name="Tc_oeUE12KZKkuSqq7Epdz1Qw_20_2"/>
      <w:bookmarkStart w:id="449" w:name="Tc_AWxKgVec206zJ6z_UTXrgQ_20_0"/>
      <w:bookmarkStart w:id="450" w:name="Tc_rtmcBvcwTEuOdNT6XOYNaQ_19_0"/>
      <w:bookmarkStart w:id="451" w:name="Tc_dqWzr9cVukiB6yznYaLzDw_18_0"/>
      <w:bookmarkStart w:id="452" w:name="Tc_PWzmiUIq2EGL4GHpB3tYxw_17_0"/>
      <w:bookmarkStart w:id="453" w:name="Tc_Wf1rsad8D0qqq1tGZpby_w_16_0"/>
      <w:bookmarkStart w:id="454" w:name="Tc_0bsM8dzhCUiQAjTrD5XoSg_15_0"/>
      <w:bookmarkStart w:id="455" w:name="Tc_PjbQnfy24EaxM38MLi0bnQ_14_0"/>
      <w:bookmarkStart w:id="456" w:name="Tc_rWaqpIXq_EKVevDCC36cvg_13_0"/>
      <w:bookmarkStart w:id="457" w:name="Tc_oqmnsL_wgEWtRxpwaBTfjA_12_0"/>
      <w:bookmarkStart w:id="458" w:name="Tc_hs0oH6vvk06Jr1Bbt9jctw_11_0"/>
      <w:bookmarkStart w:id="459" w:name="Tc_E3lSoaKpUEiRnn9GYYiGCg_10_0"/>
      <w:bookmarkStart w:id="460" w:name="Tc_hflXeKYqtkeIgcY0Ccbddw_9_0"/>
      <w:bookmarkStart w:id="461" w:name="Tc_8__9qGTcOkiNeyovroq4yw_8_0"/>
      <w:bookmarkStart w:id="462" w:name="Tc_6m3_tlQuMUSRFrVTmgEdKQ_7_0"/>
      <w:bookmarkStart w:id="463" w:name="Tc_nN0BSnig7UGAgGf58u_PoA_6_2"/>
      <w:bookmarkStart w:id="464" w:name="Tc_KXc55avvI0qFJ2nyElnI0g_6_0"/>
      <w:bookmarkStart w:id="465" w:name="Tc_Jbs26rD40EGRaJwEbBOnMw_5_2"/>
      <w:bookmarkStart w:id="466" w:name="Tc_Ygxb3OVtNkC1dioqBWL0DA_5_0"/>
      <w:bookmarkStart w:id="467" w:name="Tc_l22sfRxkmkaZbfD6ANF9aQ_4_10"/>
      <w:bookmarkStart w:id="468" w:name="Tc_yFOF2bxHGk-1BirhwZ_siw_3_10"/>
      <w:bookmarkStart w:id="469" w:name="Tc_HZqSNbWaMkagebnEz_sB4w_3_8"/>
      <w:bookmarkStart w:id="470" w:name="Tc_LVhsdciguU6TtMSUJ9yFZA_3_6"/>
      <w:bookmarkStart w:id="471" w:name="Tc_TCCE8OXXZkCSWpEn5BNXMA_3_4"/>
      <w:bookmarkStart w:id="472" w:name="Tc_t-FbvBjSMUiEETi461aJFg_3_2"/>
      <w:bookmarkStart w:id="473" w:name="Tc_UKS7FoDqqk2dgetLwsZAAQ_2_10"/>
      <w:bookmarkStart w:id="474" w:name="Tc_OjT153KDGka-MZrxJoy4Xg_2_8"/>
      <w:bookmarkStart w:id="475" w:name="Tc_xi650XZ-N0-sl_jUFaH75w_2_6"/>
      <w:bookmarkStart w:id="476" w:name="Tc_vKfl_JqlxE-SPCnRLp1rpg_2_4"/>
      <w:bookmarkStart w:id="477" w:name="Tc_t6kHhrs4rEGKEgaGQBNjng_1_4"/>
      <w:bookmarkStart w:id="478" w:name="_89050f59_9a1b_47c8_8b54_e16b40cf2245"/>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W w:w="10205" w:type="dxa"/>
        <w:jc w:val="left"/>
        <w:tblInd w:w="0" w:type="dxa"/>
        <w:tblCellMar>
          <w:top w:w="0" w:type="dxa"/>
          <w:left w:w="0" w:type="dxa"/>
          <w:bottom w:w="0" w:type="dxa"/>
          <w:right w:w="0" w:type="dxa"/>
        </w:tblCellMar>
      </w:tblPr>
      <w:tblGrid>
        <w:gridCol w:w="4090"/>
        <w:gridCol w:w="326"/>
        <w:gridCol w:w="496"/>
        <w:gridCol w:w="326"/>
        <w:gridCol w:w="1004"/>
        <w:gridCol w:w="326"/>
        <w:gridCol w:w="1004"/>
        <w:gridCol w:w="326"/>
        <w:gridCol w:w="1004"/>
        <w:gridCol w:w="326"/>
        <w:gridCol w:w="977"/>
      </w:tblGrid>
      <w:tr>
        <w:trPr/>
        <w:tc>
          <w:tcPr>
            <w:tcW w:w="40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97150" cy="175260"/>
                      <wp:effectExtent l="0" t="0" r="0" b="0"/>
                      <wp:wrapNone/>
                      <wp:docPr id="306" name="Frame305"/>
                      <a:graphic xmlns:a="http://schemas.openxmlformats.org/drawingml/2006/main">
                        <a:graphicData uri="http://schemas.microsoft.com/office/word/2010/wordprocessingShape">
                          <wps:wsp>
                            <wps:cNvSpPr txBox="1"/>
                            <wps:spPr>
                              <a:xfrm>
                                <a:off x="0" y="0"/>
                                <a:ext cx="2597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7"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14960" cy="175260"/>
                      <wp:effectExtent l="0" t="0" r="0" b="0"/>
                      <wp:wrapNone/>
                      <wp:docPr id="308" name="Frame307"/>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9"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37540" cy="175260"/>
                      <wp:effectExtent l="0" t="0" r="0" b="0"/>
                      <wp:wrapNone/>
                      <wp:docPr id="310" name="Frame309"/>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37540" cy="175260"/>
                      <wp:effectExtent l="0" t="0" r="0" b="0"/>
                      <wp:wrapNone/>
                      <wp:docPr id="312" name="Frame311"/>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3"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37540" cy="175260"/>
                      <wp:effectExtent l="0" t="0" r="0" b="0"/>
                      <wp:wrapNone/>
                      <wp:docPr id="314" name="Frame313"/>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5"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20395" cy="175260"/>
                      <wp:effectExtent l="0" t="0" r="0" b="0"/>
                      <wp:wrapNone/>
                      <wp:docPr id="316" name="Frame315"/>
                      <a:graphic xmlns:a="http://schemas.openxmlformats.org/drawingml/2006/main">
                        <a:graphicData uri="http://schemas.microsoft.com/office/word/2010/wordprocessingShape">
                          <wps:wsp>
                            <wps:cNvSpPr txBox="1"/>
                            <wps:spPr>
                              <a:xfrm>
                                <a:off x="0" y="0"/>
                                <a:ext cx="620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Notes</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2(q)</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28</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73,667,133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87,606,026</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96,495,809</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13,990,577</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revenues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28</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(34,683,731)</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(40,635,225)</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(43,729,683)</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(6,340,208)</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38,983,402</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46,970,801</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52,766,126</w:t>
            </w:r>
          </w:p>
        </w:tc>
        <w:tc>
          <w:tcPr>
            <w:tcW w:w="326" w:type="dxa"/>
            <w:tcBorders/>
            <w:shd w:fill="CCEEFF" w:val="clear"/>
            <w:vAlign w:val="center"/>
          </w:tcPr>
          <w:p>
            <w:pPr>
              <w:pStyle w:val="TableContents"/>
              <w:spacing w:before="0" w:after="0"/>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7,650,369</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expenses: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(10,703,788)</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(12,214,191)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(13,402,721)</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(1,943,212)</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(3,371,827)</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(4,263,549)</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(4,695,798)</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(680,827)</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(10,369,382)</w:t>
            </w:r>
          </w:p>
        </w:tc>
        <w:tc>
          <w:tcPr>
            <w:tcW w:w="326" w:type="dxa"/>
            <w:tcBorders/>
            <w:shd w:fill="CCEEFF" w:val="clear"/>
            <w:vAlign w:val="center"/>
          </w:tcPr>
          <w:p>
            <w:pPr>
              <w:pStyle w:val="TableContents"/>
              <w:spacing w:before="0" w:after="0"/>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(14,075,991)</w:t>
            </w:r>
          </w:p>
        </w:tc>
        <w:tc>
          <w:tcPr>
            <w:tcW w:w="326" w:type="dxa"/>
            <w:tcBorders/>
            <w:shd w:fill="CCEEFF" w:val="clear"/>
            <w:vAlign w:val="center"/>
          </w:tcPr>
          <w:p>
            <w:pPr>
              <w:pStyle w:val="TableContents"/>
              <w:spacing w:before="0" w:after="0"/>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(15,039,014)</w:t>
            </w:r>
          </w:p>
        </w:tc>
        <w:tc>
          <w:tcPr>
            <w:tcW w:w="326" w:type="dxa"/>
            <w:tcBorders/>
            <w:shd w:fill="CCEEFF" w:val="clear"/>
            <w:vAlign w:val="center"/>
          </w:tcPr>
          <w:p>
            <w:pPr>
              <w:pStyle w:val="TableContents"/>
              <w:spacing w:before="0" w:after="0"/>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(2,180,452)</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(24,444,997)</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(30,553,731)</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(33,137,533)</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(4,804,491)</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profit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14,538,405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16,417,070</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19,628,593</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2,845,878</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Other income/(expenses):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Investment income, net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1,610,045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2,947,721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53,976</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7,826</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income, net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1,598,618</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1,519,714</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2,149,673</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311,673</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Exchange (losses)/gains, net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(3,112,152)</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(490,481)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1,571,207</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227,804</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net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737,168</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710,435</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846,815</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122,777</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Income before tax</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15,372,084</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21,104,459</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24,250,264</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3,515,958</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13(a)</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(3,041,849)</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(4,128,269)</w:t>
            </w:r>
          </w:p>
        </w:tc>
        <w:tc>
          <w:tcPr>
            <w:tcW w:w="326" w:type="dxa"/>
            <w:tcBorders/>
            <w:shd w:fill="auto" w:val="clear"/>
            <w:vAlign w:val="center"/>
          </w:tcPr>
          <w:p>
            <w:pPr>
              <w:pStyle w:val="TableContents"/>
              <w:spacing w:before="0" w:after="0"/>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(5,031,838)</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(729,548)</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from continuing operations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12,330,235</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16,976,190</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19,218,426</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2,786,410</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from discontinued operations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90,597</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income</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12,330,235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19,843,290</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2,877,007</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Accretion and deemed dividends in connection with repurchase of redeemable noncontrolling interests</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(787,029)</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attributable to noncontrolling interests and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519,548</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417,633</w:t>
            </w:r>
          </w:p>
        </w:tc>
        <w:tc>
          <w:tcPr>
            <w:tcW w:w="326" w:type="dxa"/>
            <w:tcBorders/>
            <w:shd w:fill="CCEEFF" w:val="cle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497,288</w:t>
            </w:r>
          </w:p>
        </w:tc>
        <w:tc>
          <w:tcPr>
            <w:tcW w:w="326" w:type="dxa"/>
            <w:tcBorders/>
            <w:shd w:fill="CCEEFF" w:val="clear"/>
            <w:vAlign w:val="center"/>
          </w:tcPr>
          <w:p>
            <w:pPr>
              <w:pStyle w:val="TableContents"/>
              <w:spacing w:before="0" w:after="0"/>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72,100</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12,062,754</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20,337,600</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2,948,675</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Including:</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pPr>
            <w:r>
              <w:rPr/>
              <w:t>​</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from continuing operations attributable to the Company’s shareholders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12,062,754</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16,856,842</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19,712,736</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2,858,078</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from discontinued operations attributable to the Company’s shareholders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90,597</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income</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12,330,235</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19,843,290</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2,877,007</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Other comprehensive income</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pPr>
            <w:r>
              <w:rPr/>
              <w:t>​</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(598,108)</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(183,190)</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1,441,414</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208,985</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comprehensive income</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11,732,127</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16,793,000</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21,284,704</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3,085,992</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Comprehensive loss attributable to noncontrolling interests and redeemable noncontrolling interests</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538,644</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423,215</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315,725</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45,776</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Comprehensive income attributable to the Company’s shareholders</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12,270,771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17,216,215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21,600,429</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3,131,768</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per share, basic</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6.23</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0.90</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-Continuing operations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0.87</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per ADS, basic</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18.25</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25.34</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31.16</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-Continuing operations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18.25</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25.34</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30.20</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0.96</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0.14</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per share, diluted</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6.17</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0.89</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-Continuing operations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5.98</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0.86</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per ADS, diluted</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18.01</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25.03</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30.85</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-Continuing operations</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18.01</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25.03</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29.90</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0.95</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0.14</w:t>
            </w:r>
          </w:p>
        </w:tc>
      </w:tr>
      <w:tr>
        <w:trPr/>
        <w:tc>
          <w:tcPr>
            <w:tcW w:w="40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 average number of ordinary shares outstanding, basic</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3,305,448</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3,325,864</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3,263,455</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3,263,455</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 average number of ADS outstanding, basic</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661,090</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665,173</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652,691</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652,691</w:t>
            </w:r>
          </w:p>
        </w:tc>
      </w:tr>
      <w:tr>
        <w:trPr/>
        <w:tc>
          <w:tcPr>
            <w:tcW w:w="40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 average number of ordinary shares outstanding, diluted</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3,349,759</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3,367,478</w:t>
            </w:r>
          </w:p>
        </w:tc>
        <w:tc>
          <w:tcPr>
            <w:tcW w:w="326" w:type="dxa"/>
            <w:tcBorders/>
            <w:shd w:fill="CCEEFF" w:val="clear"/>
            <w:vAlign w:val="center"/>
          </w:tcPr>
          <w:p>
            <w:pPr>
              <w:pStyle w:val="TableContents"/>
              <w:spacing w:before="0" w:after="0"/>
              <w:ind w:left="0" w:right="0" w:hanging="0"/>
              <w:rPr/>
            </w:pPr>
            <w:r>
              <w:rPr/>
              <w:t> </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3,296,014</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3,296,014</w:t>
            </w:r>
          </w:p>
        </w:tc>
      </w:tr>
      <w:tr>
        <w:trPr/>
        <w:tc>
          <w:tcPr>
            <w:tcW w:w="40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 average number of ADS outstanding, diluted</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669,952</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673,496</w:t>
            </w:r>
          </w:p>
        </w:tc>
        <w:tc>
          <w:tcPr>
            <w:tcW w:w="326" w:type="dxa"/>
            <w:tcBorders/>
            <w:shd w:fill="auto" w:val="clear"/>
            <w:vAlign w:val="center"/>
          </w:tcPr>
          <w:p>
            <w:pPr>
              <w:pStyle w:val="TableContents"/>
              <w:spacing w:before="0" w:after="0"/>
              <w:ind w:left="0" w:right="0" w:hanging="0"/>
              <w:rPr/>
            </w:pPr>
            <w:r>
              <w:rPr/>
              <w:t> </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659,203</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45" w:hanging="0"/>
              <w:jc w:val="right"/>
              <w:rPr>
                <w:rFonts w:ascii="Times New Roman;Times;serif" w:hAnsi="Times New Roman;Times;serif"/>
                <w:sz w:val="16"/>
              </w:rPr>
            </w:pPr>
            <w:r>
              <w:rPr>
                <w:rFonts w:ascii="Times New Roman;Times;serif" w:hAnsi="Times New Roman;Times;serif"/>
                <w:sz w:val="16"/>
              </w:rPr>
              <w:t>659,203</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15" w:right="0" w:hanging="0"/>
        <w:jc w:val="both"/>
        <w:rPr>
          <w:rFonts w:ascii="Times New Roman;Times;serif" w:hAnsi="Times New Roman;Times;serif"/>
          <w:b/>
          <w:sz w:val="20"/>
        </w:rPr>
      </w:pPr>
      <w:bookmarkStart w:id="479" w:name="_665c76bf_380a_4a3e_8a95_b2aecb0f71a9"/>
      <w:bookmarkEnd w:id="479"/>
      <w:r>
        <w:rPr>
          <w:rFonts w:ascii="Times New Roman;Times;serif" w:hAnsi="Times New Roman;Times;serif"/>
          <w:b/>
          <w:sz w:val="20"/>
        </w:rPr>
        <w:t>NetEase, Inc.</w:t>
      </w:r>
    </w:p>
    <w:p>
      <w:pPr>
        <w:pStyle w:val="TextBody"/>
        <w:spacing w:before="0" w:after="0"/>
        <w:ind w:left="0" w:right="0" w:hanging="0"/>
        <w:jc w:val="both"/>
        <w:rPr>
          <w:rFonts w:ascii="Times New Roman;Times;serif" w:hAnsi="Times New Roman;Times;serif"/>
          <w:b/>
          <w:sz w:val="20"/>
        </w:rPr>
      </w:pPr>
      <w:bookmarkStart w:id="480" w:name="ConsolidatedStatementsofShareholdersEqui"/>
      <w:bookmarkEnd w:id="480"/>
      <w:r>
        <w:rPr>
          <w:rFonts w:ascii="Times New Roman;Times;serif" w:hAnsi="Times New Roman;Times;serif"/>
          <w:b/>
          <w:sz w:val="20"/>
        </w:rPr>
        <w:t>Consolidated Statements of Shareholders’ Equity</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481" w:name="Tc_6JBNRu8dLUKseTMxofCO4w_42_0"/>
      <w:bookmarkStart w:id="482" w:name="Tc_eVRF-189t02YHhTEVK7-IQ_41_14"/>
      <w:bookmarkStart w:id="483" w:name="Tc__nYNZ41y8UCaa-e11ZTMNA_41_12"/>
      <w:bookmarkStart w:id="484" w:name="Tc_AIQNHCWJuE2yqxiOwwPuuA_41_10"/>
      <w:bookmarkStart w:id="485" w:name="Tc_111IE6aQb0uSoWNmorEPuQ_41_8"/>
      <w:bookmarkStart w:id="486" w:name="Tc_zsd1jyoIoUKsfRVHQenzdw_41_6"/>
      <w:bookmarkStart w:id="487" w:name="Tc_CMbJChLqSkKLIr0OuG2K9w_41_4"/>
      <w:bookmarkStart w:id="488" w:name="Tc_jd5Dcz0gt0uW_sVGk_Qh2Q_41_2"/>
      <w:bookmarkStart w:id="489" w:name="Tc_QODXx0BufEKqga6ByMVM1w_41_0"/>
      <w:bookmarkStart w:id="490" w:name="Tc_110ceIkVxkKsffyRWMueSw_40_16"/>
      <w:bookmarkStart w:id="491" w:name="Tc_kmT7YKtMtUqULQXRtUNnxA_40_12"/>
      <w:bookmarkStart w:id="492" w:name="Tc_TRCJugta9U-P9rvZogdPDA_40_10"/>
      <w:bookmarkStart w:id="493" w:name="Tc_lTNE3LVaMkm6AsfcveX5Cw_40_8"/>
      <w:bookmarkStart w:id="494" w:name="Tc_1dG1rMzVt0yZ7t6FVYraKA_40_6"/>
      <w:bookmarkStart w:id="495" w:name="Tc_W4W94Q05Ekm2DkzN1amb8A_40_4"/>
      <w:bookmarkStart w:id="496" w:name="Tc_yPS6HCAmJUWOg78MHmsjKQ_40_2"/>
      <w:bookmarkStart w:id="497" w:name="Tc_peVQmk3io0eLu_CL9YNXlg_40_0"/>
      <w:bookmarkStart w:id="498" w:name="Tc_sUwQgFmGJkuFREv-oe1p0Q_39_18"/>
      <w:bookmarkStart w:id="499" w:name="Tc_QU_rHmqN-0ewt42i2RESJQ_39_14"/>
      <w:bookmarkStart w:id="500" w:name="Tc_MT-BK_IZYEumK3WnMmvS8g_39_12"/>
      <w:bookmarkStart w:id="501" w:name="Tc_mRGEx3SMVUO_hPxS8uA5Bg_39_10"/>
      <w:bookmarkStart w:id="502" w:name="Tc_iJzzy4qbC0ys8UtC7_70VQ_39_8"/>
      <w:bookmarkStart w:id="503" w:name="Tc_yGt_YasWV0aGOryXz4gr3w_39_6"/>
      <w:bookmarkStart w:id="504" w:name="Tc_fomtrto74UWq5ueYutkNjw_39_4"/>
      <w:bookmarkStart w:id="505" w:name="Tc_yPDHZ45xEkOvCQ3l0ArahA_39_2"/>
      <w:bookmarkStart w:id="506" w:name="Tc_51LAdDcpxk-wiaD-TXX2Wg_39_0"/>
      <w:bookmarkStart w:id="507" w:name="Tc_fZ6AzwN9Qkyq96FX9jQZCw_38_16"/>
      <w:bookmarkStart w:id="508" w:name="Tc_IqRJtWHwe06BosxrxnOtzw_38_14"/>
      <w:bookmarkStart w:id="509" w:name="Tc_Q8Rj1449Z0qp2vLKKcPMng_38_12"/>
      <w:bookmarkStart w:id="510" w:name="Tc_oiZEiQblhESGQUkSr8F7rg_38_10"/>
      <w:bookmarkStart w:id="511" w:name="Tc_SP_sDZIhuEG-AxGN_LgpFA_38_8"/>
      <w:bookmarkStart w:id="512" w:name="Tc_XwQ7fBBcE0eBGcqNhUOfXg_38_4"/>
      <w:bookmarkStart w:id="513" w:name="Tc_u6TZv-8nNEOM-Z0e8UEC9w_38_2"/>
      <w:bookmarkStart w:id="514" w:name="Tc_9xhb75M4UEauuMmr0wUZrg_38_0"/>
      <w:bookmarkStart w:id="515" w:name="Tc_LAFTZF1-20y7v06GizYrTg_37_16"/>
      <w:bookmarkStart w:id="516" w:name="Tc_894AS-EGt0GlR7wLapVHfQ_37_14"/>
      <w:bookmarkStart w:id="517" w:name="Tc__05WuWkhokuN5rnwj7-ipg_37_12"/>
      <w:bookmarkStart w:id="518" w:name="Tc_eKzN55FbhEK6BfQYjU-AVg_37_10"/>
      <w:bookmarkStart w:id="519" w:name="Tc_-xQh1Erh3Ea5NeKmYBIdGg_37_8"/>
      <w:bookmarkStart w:id="520" w:name="Tc_dfueLjjirkqz2U_-1kFNiQ_37_4"/>
      <w:bookmarkStart w:id="521" w:name="Tc_x0ificSEqk-_YDdbLcQ6iw_37_2"/>
      <w:bookmarkStart w:id="522" w:name="Tc_TIaQNQ_trkaiT7SaKNsEMQ_37_0"/>
      <w:bookmarkStart w:id="523" w:name="Tc_9Ket07pRSEWlgKE73q1TYw_36_20"/>
      <w:bookmarkStart w:id="524" w:name="Tc_oHM17EkoHkWKnw4HPTOZoA_36_18"/>
      <w:bookmarkStart w:id="525" w:name="Tc_eqYwqP5dKUOTpBUab6Lnjw_36_16"/>
      <w:bookmarkStart w:id="526" w:name="Tc_RHOoUL8NvEempdqGl0SUjQ_36_14"/>
      <w:bookmarkStart w:id="527" w:name="Tc_b6IP6HG7GkuNCHnT8ECEEQ_36_12"/>
      <w:bookmarkStart w:id="528" w:name="Tc_aAmz3G6Yfk23joi6o2VFvA_36_0"/>
      <w:bookmarkStart w:id="529" w:name="Tc_PR2ujSIyBU-n09CH4iKRjQ_35_18"/>
      <w:bookmarkStart w:id="530" w:name="Tc_QDcmBM1DFkS0OccUoT19Vg_35_16"/>
      <w:bookmarkStart w:id="531" w:name="Tc_Mx1Ly5XTX0mGkh52zdBKHg_35_14"/>
      <w:bookmarkStart w:id="532" w:name="Tc_MufbTzQcL0OXCw3GQV2rog_35_12"/>
      <w:bookmarkStart w:id="533" w:name="Tc_iU2sB0XKh0i_bo-YsVplAg_35_6"/>
      <w:bookmarkStart w:id="534" w:name="Tc_anbDJfDSEkO2oCVw_I6RHA_35_4"/>
      <w:bookmarkStart w:id="535" w:name="Tc_j_D88TAhgk2Lj_lDLBNf2Q_35_2"/>
      <w:bookmarkStart w:id="536" w:name="Tc_OGcN6K4plUmg7UT9NdS8OA_35_0"/>
      <w:bookmarkStart w:id="537" w:name="Tc_3tmE2DwJXUaDS8nojDL04Q_34_14"/>
      <w:bookmarkStart w:id="538" w:name="Tc_d2f3e_WsD0G2hj9UMeOAww_34_12"/>
      <w:bookmarkStart w:id="539" w:name="Tc_ApuDZGOKbUSEMVzrsVcG0A_34_10"/>
      <w:bookmarkStart w:id="540" w:name="Tc_HaHyWjMjnUCbcI417bjyPw_34_8"/>
      <w:bookmarkStart w:id="541" w:name="Tc_Qvgy7Abl2ECEAQ0DjoELKA_34_6"/>
      <w:bookmarkStart w:id="542" w:name="Tc_zFLiCHbAvEuOUYnW_c_cbA_34_4"/>
      <w:bookmarkStart w:id="543" w:name="Tc_cO2zv8NEmkGiI-x7bJ_Obg_34_2"/>
      <w:bookmarkStart w:id="544" w:name="Tc_IL1V0cDKn0yYhe-IBaYG_Q_34_0"/>
      <w:bookmarkStart w:id="545" w:name="Tc_vHVnYd2hiUycws10kG-BLQ_33_20"/>
      <w:bookmarkStart w:id="546" w:name="Tc_it67fqspREyNp-BBVq5Snw_33_18"/>
      <w:bookmarkStart w:id="547" w:name="Tc_49m4kbqK8EKT8-z4ATFM6A_33_14"/>
      <w:bookmarkStart w:id="548" w:name="Tc_azMgR95fskeBWspSR8sw1g_33_10"/>
      <w:bookmarkStart w:id="549" w:name="Tc_cPPMg54kNUWsc1RrI-RAdA_33_8"/>
      <w:bookmarkStart w:id="550" w:name="Tc_0huY7ogW4EKvGhNmSEr0nw_33_6"/>
      <w:bookmarkStart w:id="551" w:name="Tc_UWNdnx96JUmNwUwHnMzsJA_33_4"/>
      <w:bookmarkStart w:id="552" w:name="Tc_vTTCft5PRkmVH5mdX1tItQ_33_2"/>
      <w:bookmarkStart w:id="553" w:name="Tc_2rh0x0nzykW_XW1poqzlQg_33_0"/>
      <w:bookmarkStart w:id="554" w:name="Tc_u0OJAJNiwU6sQVpX06CXPg_32_16"/>
      <w:bookmarkStart w:id="555" w:name="Tc_G5QpZFPbEkic6PEmA8G0yA_32_14"/>
      <w:bookmarkStart w:id="556" w:name="Tc_tP5uIU9cMEKugcq0LDW27Q_32_12"/>
      <w:bookmarkStart w:id="557" w:name="Tc_ocWc7RH7O0-Q-Ptp6Kkbfw_32_10"/>
      <w:bookmarkStart w:id="558" w:name="Tc_qR7dZuga00-tcuUBiSJFZg_32_8"/>
      <w:bookmarkStart w:id="559" w:name="Tc_3P4Pfc200EqPZPZBB2fn1w_32_4"/>
      <w:bookmarkStart w:id="560" w:name="Tc_jLQIaz9G4kG8d9R2m2gBvw_32_2"/>
      <w:bookmarkStart w:id="561" w:name="Tc_QLR_9JnMsUGEim04dnYxRQ_32_0"/>
      <w:bookmarkStart w:id="562" w:name="Tc_OQnMnNJQ-kqH5d8CWLXjiw_31_20"/>
      <w:bookmarkStart w:id="563" w:name="Tc_c2tfR5p1WEKydnaIIH0Erg_31_18"/>
      <w:bookmarkStart w:id="564" w:name="Tc__buu0Ut5ykukeDeS5HkV3Q_31_16"/>
      <w:bookmarkStart w:id="565" w:name="Tc_Mu-jB-c1_kmVslq5j0GGXg_31_14"/>
      <w:bookmarkStart w:id="566" w:name="Tc_NqN9mo99U06PKQNKBWpz-g_31_12"/>
      <w:bookmarkStart w:id="567" w:name="Tc_WShJELc2tUKbKIctFqWDFQ_31_4"/>
      <w:bookmarkStart w:id="568" w:name="Tc_XeICzgSf6k2dfhGfxY3x3w_31_0"/>
      <w:bookmarkStart w:id="569" w:name="Tc_m2lMw8DB006EaFoug02Xlg_30_0"/>
      <w:bookmarkStart w:id="570" w:name="Tc_vzUxeY1rTU-ndVcGcfKEtg_29_14"/>
      <w:bookmarkStart w:id="571" w:name="Tc_1gSIRtkXCU-MhmrAcyei1Q_29_12"/>
      <w:bookmarkStart w:id="572" w:name="Tc_Ee7Lrzc5rUSU9hhXWTE9hg_29_10"/>
      <w:bookmarkStart w:id="573" w:name="Tc_WeuP3PcN2EyTZ1Z4mgAxXQ_29_8"/>
      <w:bookmarkStart w:id="574" w:name="Tc_N0hXo0jUnUK7NQnsLjfECA_29_6"/>
      <w:bookmarkStart w:id="575" w:name="Tc_cuj6lxGt0kGAutukD3Nq2A_29_4"/>
      <w:bookmarkStart w:id="576" w:name="Tc_rxZpswYrakmxbMVFx84O_w_29_2"/>
      <w:bookmarkStart w:id="577" w:name="Tc_7RbNAJsQo0Ck0oaksq0LrA_29_0"/>
      <w:bookmarkStart w:id="578" w:name="Tc_w8izRiwjzkSERXDE7HwNfA_28_16"/>
      <w:bookmarkStart w:id="579" w:name="Tc_Z5cAX01CgkSmHdS52yx72w_28_12"/>
      <w:bookmarkStart w:id="580" w:name="Tc_cxWFSXPUDUaa8xyHjFVtbQ_28_10"/>
      <w:bookmarkStart w:id="581" w:name="Tc_DDqQ3bHPmEGd5_p_LiT0zQ_28_8"/>
      <w:bookmarkStart w:id="582" w:name="Tc_-59pOqRqRE-quEmM-USSyQ_28_6"/>
      <w:bookmarkStart w:id="583" w:name="Tc_76ENqwzrq0q5X6SwyZomnA_28_4"/>
      <w:bookmarkStart w:id="584" w:name="Tc_CuudMp-XbkaP4NniPtJZVg_28_2"/>
      <w:bookmarkStart w:id="585" w:name="Tc_8Kr0NMRALUyTzzYHi4iDpg_28_0"/>
      <w:bookmarkStart w:id="586" w:name="Tc_6XElyf_YX0iscxEnYBZJJg_27_16"/>
      <w:bookmarkStart w:id="587" w:name="Tc_cNFZgSq6RU6TQSTknCaOWQ_27_14"/>
      <w:bookmarkStart w:id="588" w:name="Tc_gf-wl05Gx0WFBa57uN2LyQ_27_12"/>
      <w:bookmarkStart w:id="589" w:name="Tc_ieDcONtlD0KpEKjsQZAbTg_27_10"/>
      <w:bookmarkStart w:id="590" w:name="Tc_At9Mu7rpQ0exA6Hrdzf3Yg_27_8"/>
      <w:bookmarkStart w:id="591" w:name="Tc_xuINKbhWOU-XITlF1RcwFg_27_6"/>
      <w:bookmarkStart w:id="592" w:name="Tc_Mvq9mgyF4E6xWUd30c6Q4Q_27_4"/>
      <w:bookmarkStart w:id="593" w:name="Tc_m4Wp_7REmk-1ZP9YkZFLzQ_27_2"/>
      <w:bookmarkStart w:id="594" w:name="Tc_513y0nt680CxkFX_aQezFw_27_0"/>
      <w:bookmarkStart w:id="595" w:name="Tc_mr0u7tGE7UebfIxd1wDvwQ_26_18"/>
      <w:bookmarkStart w:id="596" w:name="Tc_dUlEVIsNHkeGIb774uKB8Q_26_14"/>
      <w:bookmarkStart w:id="597" w:name="Tc_sE6ZxLnnik6yz7MYcPyxIQ_26_12"/>
      <w:bookmarkStart w:id="598" w:name="Tc_yY--U5wvz0CA4I80fHev9g_26_10"/>
      <w:bookmarkStart w:id="599" w:name="Tc_4BhTCOQT1UGOJFMhmcizaQ_26_8"/>
      <w:bookmarkStart w:id="600" w:name="Tc_32excLZUk0m1q4aV2WFUYA_26_6"/>
      <w:bookmarkStart w:id="601" w:name="Tc_GB22u268JkyrRsi2qTp4rw_26_4"/>
      <w:bookmarkStart w:id="602" w:name="Tc_vWrJ_xN7FE2NvJpdBSzUQg_26_2"/>
      <w:bookmarkStart w:id="603" w:name="Tc_bmvwkrr-EUmoN-Jd6Ds53g_26_0"/>
      <w:bookmarkStart w:id="604" w:name="Tc_nrRmLIk0OEaQ32KUL04aPw_25_16"/>
      <w:bookmarkStart w:id="605" w:name="Tc_m48CxucNLkq-2eXkT8Qf5A_25_14"/>
      <w:bookmarkStart w:id="606" w:name="Tc_p_fijd5VEUKM5kLFWdBTmA_25_12"/>
      <w:bookmarkStart w:id="607" w:name="Tc_D064Z91ShEOxHTNdWCXrPQ_25_10"/>
      <w:bookmarkStart w:id="608" w:name="Tc_MAAAB-GVSEWoj7Uyf6yqWQ_25_8"/>
      <w:bookmarkStart w:id="609" w:name="Tc_zpjqPvBAzUGM3SY62YoGKg_25_4"/>
      <w:bookmarkStart w:id="610" w:name="Tc_NhMdAlb5W0Gmpku6GoWd_g_25_2"/>
      <w:bookmarkStart w:id="611" w:name="Tc_Kq4LIn10B02TyiFhnVMZAg_25_0"/>
      <w:bookmarkStart w:id="612" w:name="Tc_zv0mdQ4alEa5V13W0NmYnw_24_16"/>
      <w:bookmarkStart w:id="613" w:name="Tc_qeG6JE9IUES8j9spJ0i2Rg_24_14"/>
      <w:bookmarkStart w:id="614" w:name="Tc_YGyASm6udkK_U2ekg4xlOA_24_12"/>
      <w:bookmarkStart w:id="615" w:name="Tc_eNgy3mKetEm9DjBaPydCYg_24_10"/>
      <w:bookmarkStart w:id="616" w:name="Tc_A-6os4xXmkSNrhTA7sa5xA_24_8"/>
      <w:bookmarkStart w:id="617" w:name="Tc_bDnqJM3C-Uul7nrLnJJR5A_24_4"/>
      <w:bookmarkStart w:id="618" w:name="Tc_E8QC-d8NWkqobjjdVxxUnA_24_2"/>
      <w:bookmarkStart w:id="619" w:name="Tc_m_JgKy6KQkaIVoxV7ThUug_24_0"/>
      <w:bookmarkStart w:id="620" w:name="Tc_T70Hs3gtNk2AoE8lG-Z9qA_23_16"/>
      <w:bookmarkStart w:id="621" w:name="Tc_rz95rV6bG0CmNYkMdVYn1A_23_14"/>
      <w:bookmarkStart w:id="622" w:name="Tc_xJF_ERFpLU6jQ9gJVz3dLA_23_12"/>
      <w:bookmarkStart w:id="623" w:name="Tc_qgPQ42ynKkapZe8eGXJFPQ_23_10"/>
      <w:bookmarkStart w:id="624" w:name="Tc_DolI9UV_s062s0C-JKzwOQ_23_8"/>
      <w:bookmarkStart w:id="625" w:name="Tc_vKcGqlNUWU-3octEp4GJCA_23_4"/>
      <w:bookmarkStart w:id="626" w:name="Tc_jUi4JCzHx0eyeADr2ksGpg_23_2"/>
      <w:bookmarkStart w:id="627" w:name="Tc_bIdQYsQa-Eyw0vPwqpPe0w_23_0"/>
      <w:bookmarkStart w:id="628" w:name="Tc_FWSg95qni0adz7hTz_eyHQ_22_18"/>
      <w:bookmarkStart w:id="629" w:name="Tc_4vWqBBxXFkOn6aX7Xh1QrQ_22_16"/>
      <w:bookmarkStart w:id="630" w:name="Tc_WNvtpM3yVkmoReystVmAkg_22_14"/>
      <w:bookmarkStart w:id="631" w:name="Tc_wOGAsrIUbUChNIJ-Mb5JRQ_22_12"/>
      <w:bookmarkStart w:id="632" w:name="Tc_DFnnSEeJs0-i_JKB5lQ00g_22_6"/>
      <w:bookmarkStart w:id="633" w:name="Tc_3nLPBSv7102DKz1bFKyW5A_22_4"/>
      <w:bookmarkStart w:id="634" w:name="Tc_68eqZxcg8k64Fv80r7SWJQ_22_2"/>
      <w:bookmarkStart w:id="635" w:name="Tc_wdJirf_WN0SZpy_fv0dTTw_22_0"/>
      <w:bookmarkStart w:id="636" w:name="Tc_6p3x2XPMLEq82WU4DvPObg_21_14"/>
      <w:bookmarkStart w:id="637" w:name="Tc_SLRE9_IjM0G6F_zEz_HlnA_21_12"/>
      <w:bookmarkStart w:id="638" w:name="Tc_hFWONgb_X0GUstj7Z31KzQ_21_10"/>
      <w:bookmarkStart w:id="639" w:name="Tc_drdceuPKzUyIBIIFcgHl6Q_21_8"/>
      <w:bookmarkStart w:id="640" w:name="Tc_g3aURl7IeUG1md8exSdehg_21_6"/>
      <w:bookmarkStart w:id="641" w:name="Tc_z38zD4kr_kqqitIZYVNiFw_21_4"/>
      <w:bookmarkStart w:id="642" w:name="Tc_Htysvdd8lkSi7H16LnjZfg_21_2"/>
      <w:bookmarkStart w:id="643" w:name="Tc_uQ3F0fdQg06dJe1wHSsDNA_21_0"/>
      <w:bookmarkStart w:id="644" w:name="Tc_zWa8aCnNwkGPtHxpK4aliQ_20_20"/>
      <w:bookmarkStart w:id="645" w:name="Tc_odZPPiAquEOHstNHVCkMmQ_20_18"/>
      <w:bookmarkStart w:id="646" w:name="Tc_fnAau9zH4E2nU3sbn7iZWw_20_14"/>
      <w:bookmarkStart w:id="647" w:name="Tc_iJbkWA7Yqky1Odzqd3jKDg_20_10"/>
      <w:bookmarkStart w:id="648" w:name="Tc_yKitTXGMH0yjVsYyym4MDQ_20_8"/>
      <w:bookmarkStart w:id="649" w:name="Tc_hX1cPD9OUUO4X7xKEwp8EQ_20_6"/>
      <w:bookmarkStart w:id="650" w:name="Tc_92wJJy-ghk-300jS0mcOQA_20_4"/>
      <w:bookmarkStart w:id="651" w:name="Tc_isTk4mO8UEiqlmUDGz5mBA_20_2"/>
      <w:bookmarkStart w:id="652" w:name="Tc_y6WV0B9L8UKE0VQ_MdPA7g_20_0"/>
      <w:bookmarkStart w:id="653" w:name="Tc_Vg6llGALT0qlIRcyD6tuKA_19_16"/>
      <w:bookmarkStart w:id="654" w:name="Tc_ZUN5b9eA506OBqh8dKdxAg_19_14"/>
      <w:bookmarkStart w:id="655" w:name="Tc_sqFQb_QfQ0ejsOYikSOWtw_19_12"/>
      <w:bookmarkStart w:id="656" w:name="Tc__VjiuD3z0EyQRD5Q0toJ3Q_19_10"/>
      <w:bookmarkStart w:id="657" w:name="Tc_3rUiHnT3BkuX1PDbbNdLdg_19_8"/>
      <w:bookmarkStart w:id="658" w:name="Tc_5U7bDmaZIUSG2ekTQZsjLg_19_4"/>
      <w:bookmarkStart w:id="659" w:name="Tc_XemKegVUVkWUt8LbyZuTdg_19_2"/>
      <w:bookmarkStart w:id="660" w:name="Tc_NBJW3s4wPkKmIIF1ygce3w_19_0"/>
      <w:bookmarkStart w:id="661" w:name="Tc_ONdMBhuU3kS_h8_wkCgsdw_18_20"/>
      <w:bookmarkStart w:id="662" w:name="Tc_ndgB3nydekKku_baystAhg_18_18"/>
      <w:bookmarkStart w:id="663" w:name="Tc_iByh43SwE0-uzXRUWip6nQ_18_16"/>
      <w:bookmarkStart w:id="664" w:name="Tc_Q3FP9aE4VkiEWX1S2dQ6rg_18_14"/>
      <w:bookmarkStart w:id="665" w:name="Tc_ACLM3G270kaIs02ffIfgSw_18_12"/>
      <w:bookmarkStart w:id="666" w:name="Tc_MQcDzlVAd0GLLaE7eySSyA_18_4"/>
      <w:bookmarkStart w:id="667" w:name="Tc_fym2P8_VnUOqcb9Go5S1cQ_18_2"/>
      <w:bookmarkStart w:id="668" w:name="Tc_R__16L-4bUW-ICC8bEkUHQ_18_0"/>
      <w:bookmarkStart w:id="669" w:name="Tc_L2S8_S6W9Ui6nXS4DtyEOw_17_0"/>
      <w:bookmarkStart w:id="670" w:name="Tc_5Cj1nJoU80q8VoMIxzMBlA_16_14"/>
      <w:bookmarkStart w:id="671" w:name="Tc_999pplHyvEWAd7OmJX-0Vw_16_12"/>
      <w:bookmarkStart w:id="672" w:name="Tc_sL7RlgCLN0mWQ_CQcnxn3A_16_10"/>
      <w:bookmarkStart w:id="673" w:name="Tc_ObvWGCuXtkqkp3IChM7cnw_16_8"/>
      <w:bookmarkStart w:id="674" w:name="Tc_MtI1CAgbHEOJa2NLAy4aow_16_6"/>
      <w:bookmarkStart w:id="675" w:name="Tc_RYgnLG9huUK3rT6J4AJzog_16_4"/>
      <w:bookmarkStart w:id="676" w:name="Tc_7eokD4JrlE2tPXQ2BQ6kIw_16_2"/>
      <w:bookmarkStart w:id="677" w:name="Tc_cVXYjjv_Tkup342z874yGw_16_0"/>
      <w:bookmarkStart w:id="678" w:name="Tc_-0Jt30bJCkmKRJ7T03v4GA_15_16"/>
      <w:bookmarkStart w:id="679" w:name="Tc_Pm4O-L5TC0K7-pZElxT8Dg_15_12"/>
      <w:bookmarkStart w:id="680" w:name="Tc_uhkVuZPGYUq6rOD32LCzcg_15_10"/>
      <w:bookmarkStart w:id="681" w:name="Tc_1kz6f2jYQk2n6a3fCVRqSA_15_8"/>
      <w:bookmarkStart w:id="682" w:name="Tc_OXUbam5R4E-wWWkbVYk__A_15_6"/>
      <w:bookmarkStart w:id="683" w:name="Tc_XGG56LC3s0un-Q3ZjHbcHg_15_4"/>
      <w:bookmarkStart w:id="684" w:name="Tc_rxbezMrFTEu2tj0ZAL7O7Q_15_2"/>
      <w:bookmarkStart w:id="685" w:name="Tc_FLmcUcwRIUe4NWBbDa4ofw_15_0"/>
      <w:bookmarkStart w:id="686" w:name="Tc_lnQvb8Fb4UGm6uhlzRjQlg_14_18"/>
      <w:bookmarkStart w:id="687" w:name="Tc_LESqwG6w7EOrJnNNo7NPTA_14_14"/>
      <w:bookmarkStart w:id="688" w:name="Tc_bd90gLrfmUaoitOA5Np-og_14_12"/>
      <w:bookmarkStart w:id="689" w:name="Tc_r9HKrqVF10al94FwxsJsHA_14_10"/>
      <w:bookmarkStart w:id="690" w:name="Tc_JfWtG-xG902y6crjAizQ1w_14_8"/>
      <w:bookmarkStart w:id="691" w:name="Tc_2Kb55cJkNEeckRJkjlBp7w_14_6"/>
      <w:bookmarkStart w:id="692" w:name="Tc_gMtNPmrmoEm6Yqm4P6xA3w_14_4"/>
      <w:bookmarkStart w:id="693" w:name="Tc_UwadV_aKKkGUh0oqb6jTIA_14_2"/>
      <w:bookmarkStart w:id="694" w:name="Tc_eBuTcWJ-LUmT-FHF9gtz9Q_14_0"/>
      <w:bookmarkStart w:id="695" w:name="Tc_q7FE4hjMtkq8jBCdJNqlWw_13_16"/>
      <w:bookmarkStart w:id="696" w:name="Tc_KHN78L2u0EGWsRlfbn5drA_13_14"/>
      <w:bookmarkStart w:id="697" w:name="Tc_tWYJstfNpkqqSUitr-kBFA_13_12"/>
      <w:bookmarkStart w:id="698" w:name="Tc__WY_5iD_iUy7uQoyo-_GFw_13_10"/>
      <w:bookmarkStart w:id="699" w:name="Tc_B53Byjp6MUmDzpgiwdzwOw_13_8"/>
      <w:bookmarkStart w:id="700" w:name="Tc_rrMULnXLek-nMx7mKp20fw_13_4"/>
      <w:bookmarkStart w:id="701" w:name="Tc_vr4f3_1cE0Sse5UIJypv6w_13_2"/>
      <w:bookmarkStart w:id="702" w:name="Tc_JheQPiByi0iDGIa-bmAFGg_13_0"/>
      <w:bookmarkStart w:id="703" w:name="Tc_cGGA_f-0a0a7yZwKl2jeeA_12_14"/>
      <w:bookmarkStart w:id="704" w:name="Tc_BjXc3LHdj0OQs-7E-L_r4w_12_12"/>
      <w:bookmarkStart w:id="705" w:name="Tc_54ziE-b8a065TaETlD2scQ_12_10"/>
      <w:bookmarkStart w:id="706" w:name="Tc_bURp_KkLBE67P9HC0vpkmg_12_8"/>
      <w:bookmarkStart w:id="707" w:name="Tc_XX0Wxt-n_kmgmA1ZaSMFUQ_12_4"/>
      <w:bookmarkStart w:id="708" w:name="Tc_mDlMlocNZk6cmGhK0H3ETA_12_2"/>
      <w:bookmarkStart w:id="709" w:name="Tc_-qZdfS3Ht0yPKDhK9DTyLQ_12_0"/>
      <w:bookmarkStart w:id="710" w:name="Tc_JRTWf-nVNUiNFAiAhrBYPA_11_18"/>
      <w:bookmarkStart w:id="711" w:name="Tc_kPxplDgp_0iiyddZ69QAhw_11_16"/>
      <w:bookmarkStart w:id="712" w:name="Tc_JXZYokvEp06bOErIQ6xLuQ_11_14"/>
      <w:bookmarkStart w:id="713" w:name="Tc_Sa9HVis7DECRafIQR9L18Q_11_12"/>
      <w:bookmarkStart w:id="714" w:name="Tc_vlyB2BiwT0qTT5Bvv68SOQ_11_6"/>
      <w:bookmarkStart w:id="715" w:name="Tc_nhX9v5iJZkK7P6ioTEZF5A_11_4"/>
      <w:bookmarkStart w:id="716" w:name="Tc_nqJMEOVx2UalFNq9FFsXEA_11_2"/>
      <w:bookmarkStart w:id="717" w:name="Tc_gaL9TMlfz0GOHFm1cYjHYw_11_0"/>
      <w:bookmarkStart w:id="718" w:name="Tc_l3XPvSXnPE6pNCw00NNK8Q_10_14"/>
      <w:bookmarkStart w:id="719" w:name="Tc_5Uln1N-f60Wc2maOIIPPXw_10_12"/>
      <w:bookmarkStart w:id="720" w:name="Tc_SNt7Yvu1IUG5Qyt-GStSDw_10_10"/>
      <w:bookmarkStart w:id="721" w:name="Tc_qDHPg4ehvECFQiDFmTGQ6g_10_8"/>
      <w:bookmarkStart w:id="722" w:name="Tc_hngSOlMKw0KY5i5l3pqWBw_10_6"/>
      <w:bookmarkStart w:id="723" w:name="Tc_pGN-f-iZcEiWb9kVYUVevQ_10_4"/>
      <w:bookmarkStart w:id="724" w:name="Tc_LIMqCmMyqUWVUBwASjRifg_10_2"/>
      <w:bookmarkStart w:id="725" w:name="Tc_Bs-RHIGOLUm6Js6sPGmviw_10_0"/>
      <w:bookmarkStart w:id="726" w:name="Tc_JGrTufTvlECWU9BT0wkizA_9_20"/>
      <w:bookmarkStart w:id="727" w:name="Tc_ePUioDTZTECvHy2bBGZSbw_9_18"/>
      <w:bookmarkStart w:id="728" w:name="Tc__BoLGJCN9E65K_huEYgPZg_9_14"/>
      <w:bookmarkStart w:id="729" w:name="Tc_VyDibYaafEiINIm9e8Ywow_9_10"/>
      <w:bookmarkStart w:id="730" w:name="Tc_7JzKUV0WnEeaVV7LfVuDlQ_9_8"/>
      <w:bookmarkStart w:id="731" w:name="Tc_tNS9z9hkH0qWqFFdopWoNQ_9_6"/>
      <w:bookmarkStart w:id="732" w:name="Tc_E6UXna2EZU2fKGPfKCnjzg_9_4"/>
      <w:bookmarkStart w:id="733" w:name="Tc_V9_j-RrTQ0mnWhDpAg5iOw_9_2"/>
      <w:bookmarkStart w:id="734" w:name="Tc_mMWUWUDIv0K8xUryjNTNxw_9_0"/>
      <w:bookmarkStart w:id="735" w:name="Tc_R8O-fJ-B4U6RrUWoT89ncA_8_16"/>
      <w:bookmarkStart w:id="736" w:name="Tc_uvSDjYhXwkyrH_J-Lp4sxw_8_14"/>
      <w:bookmarkStart w:id="737" w:name="Tc_ECv8TGdfpEqcoQuQjBKh-Q_8_12"/>
      <w:bookmarkStart w:id="738" w:name="Tc_znlFMHCg8E2OSuFAZCUqPQ_8_10"/>
      <w:bookmarkStart w:id="739" w:name="Tc_6ZZlIIBVx0SLmqrtpJb7xQ_8_8"/>
      <w:bookmarkStart w:id="740" w:name="Tc_3YPr9-3jskGk6PKkKWs4XA_8_4"/>
      <w:bookmarkStart w:id="741" w:name="Tc_itUXbWWImUip6cjgdmpoUQ_8_2"/>
      <w:bookmarkStart w:id="742" w:name="Tc_CaO-yoI-yEi4vUS7Z-3ePA_8_0"/>
      <w:bookmarkStart w:id="743" w:name="Tc_y337z0JP-Uy1AL1adFp45A_7_18"/>
      <w:bookmarkStart w:id="744" w:name="Tc_3-kiAIYhOUKhJxcg1px-5g_7_16"/>
      <w:bookmarkStart w:id="745" w:name="Tc_5hU3BKAYFkqtweKfGFcJ4g_7_14"/>
      <w:bookmarkStart w:id="746" w:name="Tc_UOl-0jNcDkK8nICxFtrz4Q_7_12"/>
      <w:bookmarkStart w:id="747" w:name="Tc_CegSTY1F1ESc66NgWJ0P7w_7_10"/>
      <w:bookmarkStart w:id="748" w:name="Tc_w1f37YNG1ka5mvpMwtiWLA_7_8"/>
      <w:bookmarkStart w:id="749" w:name="Tc_dQU4Vb-oZE-xLzaI9uBVxw_7_0"/>
      <w:bookmarkStart w:id="750" w:name="Tc_e_tbhWPS-UmFxpeWj-yuwQ_6_20"/>
      <w:bookmarkStart w:id="751" w:name="Tc_ZQLhPS5D3k-BCSWFImeGaw_6_18"/>
      <w:bookmarkStart w:id="752" w:name="Tc_ULZWA6oO8EqprsR5TTeuMQ_6_16"/>
      <w:bookmarkStart w:id="753" w:name="Tc_0tcDia4aTUyqjLM5tPI8WQ_6_14"/>
      <w:bookmarkStart w:id="754" w:name="Tc_-wMW7IZ6906lqlgAz-iOdg_6_12"/>
      <w:bookmarkStart w:id="755" w:name="Tc_-sZgEgcEaUWnX0mCCUeILQ_6_0"/>
      <w:bookmarkStart w:id="756" w:name="Tc_PEESkKMaGkSws0DzKpbblA_5_10"/>
      <w:bookmarkStart w:id="757" w:name="Tc_uoiSyGJ5xUucCWBOQhAEOQ_5_8"/>
      <w:bookmarkStart w:id="758" w:name="Tc_8vSeueGctU-kFW7ACQLWVQ_5_0"/>
      <w:bookmarkStart w:id="759" w:name="Tc_1lBCVXL1QkyVkoF8UaIO8A_4_20"/>
      <w:bookmarkStart w:id="760" w:name="Tc_EKnbhuy4hEqm_muk5nmGSA_4_18"/>
      <w:bookmarkStart w:id="761" w:name="Tc_bRykZm1DI0ODFOZwO6IfVQ_4_16"/>
      <w:bookmarkStart w:id="762" w:name="Tc_MqscIeKc50mZu4AFdTJh3w_4_14"/>
      <w:bookmarkStart w:id="763" w:name="Tc_kfGAxSz7CUKvMNVEcRI6qA_4_12"/>
      <w:bookmarkStart w:id="764" w:name="Tc_2G9dzIvm3keKwvcXlBKq1Q_4_10"/>
      <w:bookmarkStart w:id="765" w:name="Tc_bYdW6W074EOqch7C_NQfJg_4_6"/>
      <w:bookmarkStart w:id="766" w:name="Tc_3rlI_XFQd0O7iPKtGyHZ2w_4_4"/>
      <w:bookmarkStart w:id="767" w:name="Tc_TPxQRPebP0qSwPXjNRjTfQ_3_20"/>
      <w:bookmarkStart w:id="768" w:name="Tc_bsRs76Mo9UiuZXaQ0kqkuw_3_18"/>
      <w:bookmarkStart w:id="769" w:name="Tc_1_yUH9TcHE2Lh2dv4t6S2w_3_16"/>
      <w:bookmarkStart w:id="770" w:name="Tc_YP7kbxfelk6_6bneW9h91Q_3_14"/>
      <w:bookmarkStart w:id="771" w:name="Tc_peUNCHasW0eEszX6ZN5qOg_3_12"/>
      <w:bookmarkStart w:id="772" w:name="Tc_2EhFD_ujEkmTaZp3V6Wf4w_3_10"/>
      <w:bookmarkStart w:id="773" w:name="Tc_-XV_H0gesU25E-vkRGUHbw_3_8"/>
      <w:bookmarkStart w:id="774" w:name="Tc_PvsA272RbkyazEAqg_h0FA_3_6"/>
      <w:bookmarkStart w:id="775" w:name="Tc_6Cq8IBpkwkORdMfU6QRrWA_3_4"/>
      <w:bookmarkStart w:id="776" w:name="Tc_kBzTzWm12EuVZ353DAXicw_3_2"/>
      <w:bookmarkStart w:id="777" w:name="Tc_8I7m_A4zKESmtwUtETc60A_2_20"/>
      <w:bookmarkStart w:id="778" w:name="Tc_fVP8atfd5USApFAeAQc4vw_2_18"/>
      <w:bookmarkStart w:id="779" w:name="Tc_AgN6K36pQU-X4ufqGbr7wg_2_16"/>
      <w:bookmarkStart w:id="780" w:name="Tc_jpmg0iVEKkmKvvLqq9d6bg_2_14"/>
      <w:bookmarkStart w:id="781" w:name="Tc_SP0pLSdrCESGTryafKYK4Q_2_12"/>
      <w:bookmarkStart w:id="782" w:name="Tc_DMFtcygO6Ey3Yv1IitwVjA_2_8"/>
      <w:bookmarkStart w:id="783" w:name="Tc_TPtCCtsPXkiluXhp_gBIdw_2_6"/>
      <w:bookmarkStart w:id="784" w:name="Tc_AaF5GzU1eE2weBWzurJKEw_2_2"/>
      <w:bookmarkStart w:id="785" w:name="Tc_VMPoHGi4QkuzfzdX3B7gIg_1_14"/>
      <w:bookmarkStart w:id="786" w:name="_592736b0_6fbf_4c66_a210_18330dd04667"/>
      <w:bookmarkStart w:id="787" w:name="Tc_6JBNRu8dLUKseTMxofCO4w_42_0"/>
      <w:bookmarkStart w:id="788" w:name="Tc_eVRF-189t02YHhTEVK7-IQ_41_14"/>
      <w:bookmarkStart w:id="789" w:name="Tc__nYNZ41y8UCaa-e11ZTMNA_41_12"/>
      <w:bookmarkStart w:id="790" w:name="Tc_AIQNHCWJuE2yqxiOwwPuuA_41_10"/>
      <w:bookmarkStart w:id="791" w:name="Tc_111IE6aQb0uSoWNmorEPuQ_41_8"/>
      <w:bookmarkStart w:id="792" w:name="Tc_zsd1jyoIoUKsfRVHQenzdw_41_6"/>
      <w:bookmarkStart w:id="793" w:name="Tc_CMbJChLqSkKLIr0OuG2K9w_41_4"/>
      <w:bookmarkStart w:id="794" w:name="Tc_jd5Dcz0gt0uW_sVGk_Qh2Q_41_2"/>
      <w:bookmarkStart w:id="795" w:name="Tc_QODXx0BufEKqga6ByMVM1w_41_0"/>
      <w:bookmarkStart w:id="796" w:name="Tc_110ceIkVxkKsffyRWMueSw_40_16"/>
      <w:bookmarkStart w:id="797" w:name="Tc_kmT7YKtMtUqULQXRtUNnxA_40_12"/>
      <w:bookmarkStart w:id="798" w:name="Tc_TRCJugta9U-P9rvZogdPDA_40_10"/>
      <w:bookmarkStart w:id="799" w:name="Tc_lTNE3LVaMkm6AsfcveX5Cw_40_8"/>
      <w:bookmarkStart w:id="800" w:name="Tc_1dG1rMzVt0yZ7t6FVYraKA_40_6"/>
      <w:bookmarkStart w:id="801" w:name="Tc_W4W94Q05Ekm2DkzN1amb8A_40_4"/>
      <w:bookmarkStart w:id="802" w:name="Tc_yPS6HCAmJUWOg78MHmsjKQ_40_2"/>
      <w:bookmarkStart w:id="803" w:name="Tc_peVQmk3io0eLu_CL9YNXlg_40_0"/>
      <w:bookmarkStart w:id="804" w:name="Tc_sUwQgFmGJkuFREv-oe1p0Q_39_18"/>
      <w:bookmarkStart w:id="805" w:name="Tc_QU_rHmqN-0ewt42i2RESJQ_39_14"/>
      <w:bookmarkStart w:id="806" w:name="Tc_MT-BK_IZYEumK3WnMmvS8g_39_12"/>
      <w:bookmarkStart w:id="807" w:name="Tc_mRGEx3SMVUO_hPxS8uA5Bg_39_10"/>
      <w:bookmarkStart w:id="808" w:name="Tc_iJzzy4qbC0ys8UtC7_70VQ_39_8"/>
      <w:bookmarkStart w:id="809" w:name="Tc_yGt_YasWV0aGOryXz4gr3w_39_6"/>
      <w:bookmarkStart w:id="810" w:name="Tc_fomtrto74UWq5ueYutkNjw_39_4"/>
      <w:bookmarkStart w:id="811" w:name="Tc_yPDHZ45xEkOvCQ3l0ArahA_39_2"/>
      <w:bookmarkStart w:id="812" w:name="Tc_51LAdDcpxk-wiaD-TXX2Wg_39_0"/>
      <w:bookmarkStart w:id="813" w:name="Tc_fZ6AzwN9Qkyq96FX9jQZCw_38_16"/>
      <w:bookmarkStart w:id="814" w:name="Tc_IqRJtWHwe06BosxrxnOtzw_38_14"/>
      <w:bookmarkStart w:id="815" w:name="Tc_Q8Rj1449Z0qp2vLKKcPMng_38_12"/>
      <w:bookmarkStart w:id="816" w:name="Tc_oiZEiQblhESGQUkSr8F7rg_38_10"/>
      <w:bookmarkStart w:id="817" w:name="Tc_SP_sDZIhuEG-AxGN_LgpFA_38_8"/>
      <w:bookmarkStart w:id="818" w:name="Tc_XwQ7fBBcE0eBGcqNhUOfXg_38_4"/>
      <w:bookmarkStart w:id="819" w:name="Tc_u6TZv-8nNEOM-Z0e8UEC9w_38_2"/>
      <w:bookmarkStart w:id="820" w:name="Tc_9xhb75M4UEauuMmr0wUZrg_38_0"/>
      <w:bookmarkStart w:id="821" w:name="Tc_LAFTZF1-20y7v06GizYrTg_37_16"/>
      <w:bookmarkStart w:id="822" w:name="Tc_894AS-EGt0GlR7wLapVHfQ_37_14"/>
      <w:bookmarkStart w:id="823" w:name="Tc__05WuWkhokuN5rnwj7-ipg_37_12"/>
      <w:bookmarkStart w:id="824" w:name="Tc_eKzN55FbhEK6BfQYjU-AVg_37_10"/>
      <w:bookmarkStart w:id="825" w:name="Tc_-xQh1Erh3Ea5NeKmYBIdGg_37_8"/>
      <w:bookmarkStart w:id="826" w:name="Tc_dfueLjjirkqz2U_-1kFNiQ_37_4"/>
      <w:bookmarkStart w:id="827" w:name="Tc_x0ificSEqk-_YDdbLcQ6iw_37_2"/>
      <w:bookmarkStart w:id="828" w:name="Tc_TIaQNQ_trkaiT7SaKNsEMQ_37_0"/>
      <w:bookmarkStart w:id="829" w:name="Tc_9Ket07pRSEWlgKE73q1TYw_36_20"/>
      <w:bookmarkStart w:id="830" w:name="Tc_oHM17EkoHkWKnw4HPTOZoA_36_18"/>
      <w:bookmarkStart w:id="831" w:name="Tc_eqYwqP5dKUOTpBUab6Lnjw_36_16"/>
      <w:bookmarkStart w:id="832" w:name="Tc_RHOoUL8NvEempdqGl0SUjQ_36_14"/>
      <w:bookmarkStart w:id="833" w:name="Tc_b6IP6HG7GkuNCHnT8ECEEQ_36_12"/>
      <w:bookmarkStart w:id="834" w:name="Tc_aAmz3G6Yfk23joi6o2VFvA_36_0"/>
      <w:bookmarkStart w:id="835" w:name="Tc_PR2ujSIyBU-n09CH4iKRjQ_35_18"/>
      <w:bookmarkStart w:id="836" w:name="Tc_QDcmBM1DFkS0OccUoT19Vg_35_16"/>
      <w:bookmarkStart w:id="837" w:name="Tc_Mx1Ly5XTX0mGkh52zdBKHg_35_14"/>
      <w:bookmarkStart w:id="838" w:name="Tc_MufbTzQcL0OXCw3GQV2rog_35_12"/>
      <w:bookmarkStart w:id="839" w:name="Tc_iU2sB0XKh0i_bo-YsVplAg_35_6"/>
      <w:bookmarkStart w:id="840" w:name="Tc_anbDJfDSEkO2oCVw_I6RHA_35_4"/>
      <w:bookmarkStart w:id="841" w:name="Tc_j_D88TAhgk2Lj_lDLBNf2Q_35_2"/>
      <w:bookmarkStart w:id="842" w:name="Tc_OGcN6K4plUmg7UT9NdS8OA_35_0"/>
      <w:bookmarkStart w:id="843" w:name="Tc_3tmE2DwJXUaDS8nojDL04Q_34_14"/>
      <w:bookmarkStart w:id="844" w:name="Tc_d2f3e_WsD0G2hj9UMeOAww_34_12"/>
      <w:bookmarkStart w:id="845" w:name="Tc_ApuDZGOKbUSEMVzrsVcG0A_34_10"/>
      <w:bookmarkStart w:id="846" w:name="Tc_HaHyWjMjnUCbcI417bjyPw_34_8"/>
      <w:bookmarkStart w:id="847" w:name="Tc_Qvgy7Abl2ECEAQ0DjoELKA_34_6"/>
      <w:bookmarkStart w:id="848" w:name="Tc_zFLiCHbAvEuOUYnW_c_cbA_34_4"/>
      <w:bookmarkStart w:id="849" w:name="Tc_cO2zv8NEmkGiI-x7bJ_Obg_34_2"/>
      <w:bookmarkStart w:id="850" w:name="Tc_IL1V0cDKn0yYhe-IBaYG_Q_34_0"/>
      <w:bookmarkStart w:id="851" w:name="Tc_vHVnYd2hiUycws10kG-BLQ_33_20"/>
      <w:bookmarkStart w:id="852" w:name="Tc_it67fqspREyNp-BBVq5Snw_33_18"/>
      <w:bookmarkStart w:id="853" w:name="Tc_49m4kbqK8EKT8-z4ATFM6A_33_14"/>
      <w:bookmarkStart w:id="854" w:name="Tc_azMgR95fskeBWspSR8sw1g_33_10"/>
      <w:bookmarkStart w:id="855" w:name="Tc_cPPMg54kNUWsc1RrI-RAdA_33_8"/>
      <w:bookmarkStart w:id="856" w:name="Tc_0huY7ogW4EKvGhNmSEr0nw_33_6"/>
      <w:bookmarkStart w:id="857" w:name="Tc_UWNdnx96JUmNwUwHnMzsJA_33_4"/>
      <w:bookmarkStart w:id="858" w:name="Tc_vTTCft5PRkmVH5mdX1tItQ_33_2"/>
      <w:bookmarkStart w:id="859" w:name="Tc_2rh0x0nzykW_XW1poqzlQg_33_0"/>
      <w:bookmarkStart w:id="860" w:name="Tc_u0OJAJNiwU6sQVpX06CXPg_32_16"/>
      <w:bookmarkStart w:id="861" w:name="Tc_G5QpZFPbEkic6PEmA8G0yA_32_14"/>
      <w:bookmarkStart w:id="862" w:name="Tc_tP5uIU9cMEKugcq0LDW27Q_32_12"/>
      <w:bookmarkStart w:id="863" w:name="Tc_ocWc7RH7O0-Q-Ptp6Kkbfw_32_10"/>
      <w:bookmarkStart w:id="864" w:name="Tc_qR7dZuga00-tcuUBiSJFZg_32_8"/>
      <w:bookmarkStart w:id="865" w:name="Tc_3P4Pfc200EqPZPZBB2fn1w_32_4"/>
      <w:bookmarkStart w:id="866" w:name="Tc_jLQIaz9G4kG8d9R2m2gBvw_32_2"/>
      <w:bookmarkStart w:id="867" w:name="Tc_QLR_9JnMsUGEim04dnYxRQ_32_0"/>
      <w:bookmarkStart w:id="868" w:name="Tc_OQnMnNJQ-kqH5d8CWLXjiw_31_20"/>
      <w:bookmarkStart w:id="869" w:name="Tc_c2tfR5p1WEKydnaIIH0Erg_31_18"/>
      <w:bookmarkStart w:id="870" w:name="Tc__buu0Ut5ykukeDeS5HkV3Q_31_16"/>
      <w:bookmarkStart w:id="871" w:name="Tc_Mu-jB-c1_kmVslq5j0GGXg_31_14"/>
      <w:bookmarkStart w:id="872" w:name="Tc_NqN9mo99U06PKQNKBWpz-g_31_12"/>
      <w:bookmarkStart w:id="873" w:name="Tc_WShJELc2tUKbKIctFqWDFQ_31_4"/>
      <w:bookmarkStart w:id="874" w:name="Tc_XeICzgSf6k2dfhGfxY3x3w_31_0"/>
      <w:bookmarkStart w:id="875" w:name="Tc_m2lMw8DB006EaFoug02Xlg_30_0"/>
      <w:bookmarkStart w:id="876" w:name="Tc_vzUxeY1rTU-ndVcGcfKEtg_29_14"/>
      <w:bookmarkStart w:id="877" w:name="Tc_1gSIRtkXCU-MhmrAcyei1Q_29_12"/>
      <w:bookmarkStart w:id="878" w:name="Tc_Ee7Lrzc5rUSU9hhXWTE9hg_29_10"/>
      <w:bookmarkStart w:id="879" w:name="Tc_WeuP3PcN2EyTZ1Z4mgAxXQ_29_8"/>
      <w:bookmarkStart w:id="880" w:name="Tc_N0hXo0jUnUK7NQnsLjfECA_29_6"/>
      <w:bookmarkStart w:id="881" w:name="Tc_cuj6lxGt0kGAutukD3Nq2A_29_4"/>
      <w:bookmarkStart w:id="882" w:name="Tc_rxZpswYrakmxbMVFx84O_w_29_2"/>
      <w:bookmarkStart w:id="883" w:name="Tc_7RbNAJsQo0Ck0oaksq0LrA_29_0"/>
      <w:bookmarkStart w:id="884" w:name="Tc_w8izRiwjzkSERXDE7HwNfA_28_16"/>
      <w:bookmarkStart w:id="885" w:name="Tc_Z5cAX01CgkSmHdS52yx72w_28_12"/>
      <w:bookmarkStart w:id="886" w:name="Tc_cxWFSXPUDUaa8xyHjFVtbQ_28_10"/>
      <w:bookmarkStart w:id="887" w:name="Tc_DDqQ3bHPmEGd5_p_LiT0zQ_28_8"/>
      <w:bookmarkStart w:id="888" w:name="Tc_-59pOqRqRE-quEmM-USSyQ_28_6"/>
      <w:bookmarkStart w:id="889" w:name="Tc_76ENqwzrq0q5X6SwyZomnA_28_4"/>
      <w:bookmarkStart w:id="890" w:name="Tc_CuudMp-XbkaP4NniPtJZVg_28_2"/>
      <w:bookmarkStart w:id="891" w:name="Tc_8Kr0NMRALUyTzzYHi4iDpg_28_0"/>
      <w:bookmarkStart w:id="892" w:name="Tc_6XElyf_YX0iscxEnYBZJJg_27_16"/>
      <w:bookmarkStart w:id="893" w:name="Tc_cNFZgSq6RU6TQSTknCaOWQ_27_14"/>
      <w:bookmarkStart w:id="894" w:name="Tc_gf-wl05Gx0WFBa57uN2LyQ_27_12"/>
      <w:bookmarkStart w:id="895" w:name="Tc_ieDcONtlD0KpEKjsQZAbTg_27_10"/>
      <w:bookmarkStart w:id="896" w:name="Tc_At9Mu7rpQ0exA6Hrdzf3Yg_27_8"/>
      <w:bookmarkStart w:id="897" w:name="Tc_xuINKbhWOU-XITlF1RcwFg_27_6"/>
      <w:bookmarkStart w:id="898" w:name="Tc_Mvq9mgyF4E6xWUd30c6Q4Q_27_4"/>
      <w:bookmarkStart w:id="899" w:name="Tc_m4Wp_7REmk-1ZP9YkZFLzQ_27_2"/>
      <w:bookmarkStart w:id="900" w:name="Tc_513y0nt680CxkFX_aQezFw_27_0"/>
      <w:bookmarkStart w:id="901" w:name="Tc_mr0u7tGE7UebfIxd1wDvwQ_26_18"/>
      <w:bookmarkStart w:id="902" w:name="Tc_dUlEVIsNHkeGIb774uKB8Q_26_14"/>
      <w:bookmarkStart w:id="903" w:name="Tc_sE6ZxLnnik6yz7MYcPyxIQ_26_12"/>
      <w:bookmarkStart w:id="904" w:name="Tc_yY--U5wvz0CA4I80fHev9g_26_10"/>
      <w:bookmarkStart w:id="905" w:name="Tc_4BhTCOQT1UGOJFMhmcizaQ_26_8"/>
      <w:bookmarkStart w:id="906" w:name="Tc_32excLZUk0m1q4aV2WFUYA_26_6"/>
      <w:bookmarkStart w:id="907" w:name="Tc_GB22u268JkyrRsi2qTp4rw_26_4"/>
      <w:bookmarkStart w:id="908" w:name="Tc_vWrJ_xN7FE2NvJpdBSzUQg_26_2"/>
      <w:bookmarkStart w:id="909" w:name="Tc_bmvwkrr-EUmoN-Jd6Ds53g_26_0"/>
      <w:bookmarkStart w:id="910" w:name="Tc_nrRmLIk0OEaQ32KUL04aPw_25_16"/>
      <w:bookmarkStart w:id="911" w:name="Tc_m48CxucNLkq-2eXkT8Qf5A_25_14"/>
      <w:bookmarkStart w:id="912" w:name="Tc_p_fijd5VEUKM5kLFWdBTmA_25_12"/>
      <w:bookmarkStart w:id="913" w:name="Tc_D064Z91ShEOxHTNdWCXrPQ_25_10"/>
      <w:bookmarkStart w:id="914" w:name="Tc_MAAAB-GVSEWoj7Uyf6yqWQ_25_8"/>
      <w:bookmarkStart w:id="915" w:name="Tc_zpjqPvBAzUGM3SY62YoGKg_25_4"/>
      <w:bookmarkStart w:id="916" w:name="Tc_NhMdAlb5W0Gmpku6GoWd_g_25_2"/>
      <w:bookmarkStart w:id="917" w:name="Tc_Kq4LIn10B02TyiFhnVMZAg_25_0"/>
      <w:bookmarkStart w:id="918" w:name="Tc_zv0mdQ4alEa5V13W0NmYnw_24_16"/>
      <w:bookmarkStart w:id="919" w:name="Tc_qeG6JE9IUES8j9spJ0i2Rg_24_14"/>
      <w:bookmarkStart w:id="920" w:name="Tc_YGyASm6udkK_U2ekg4xlOA_24_12"/>
      <w:bookmarkStart w:id="921" w:name="Tc_eNgy3mKetEm9DjBaPydCYg_24_10"/>
      <w:bookmarkStart w:id="922" w:name="Tc_A-6os4xXmkSNrhTA7sa5xA_24_8"/>
      <w:bookmarkStart w:id="923" w:name="Tc_bDnqJM3C-Uul7nrLnJJR5A_24_4"/>
      <w:bookmarkStart w:id="924" w:name="Tc_E8QC-d8NWkqobjjdVxxUnA_24_2"/>
      <w:bookmarkStart w:id="925" w:name="Tc_m_JgKy6KQkaIVoxV7ThUug_24_0"/>
      <w:bookmarkStart w:id="926" w:name="Tc_T70Hs3gtNk2AoE8lG-Z9qA_23_16"/>
      <w:bookmarkStart w:id="927" w:name="Tc_rz95rV6bG0CmNYkMdVYn1A_23_14"/>
      <w:bookmarkStart w:id="928" w:name="Tc_xJF_ERFpLU6jQ9gJVz3dLA_23_12"/>
      <w:bookmarkStart w:id="929" w:name="Tc_qgPQ42ynKkapZe8eGXJFPQ_23_10"/>
      <w:bookmarkStart w:id="930" w:name="Tc_DolI9UV_s062s0C-JKzwOQ_23_8"/>
      <w:bookmarkStart w:id="931" w:name="Tc_vKcGqlNUWU-3octEp4GJCA_23_4"/>
      <w:bookmarkStart w:id="932" w:name="Tc_jUi4JCzHx0eyeADr2ksGpg_23_2"/>
      <w:bookmarkStart w:id="933" w:name="Tc_bIdQYsQa-Eyw0vPwqpPe0w_23_0"/>
      <w:bookmarkStart w:id="934" w:name="Tc_FWSg95qni0adz7hTz_eyHQ_22_18"/>
      <w:bookmarkStart w:id="935" w:name="Tc_4vWqBBxXFkOn6aX7Xh1QrQ_22_16"/>
      <w:bookmarkStart w:id="936" w:name="Tc_WNvtpM3yVkmoReystVmAkg_22_14"/>
      <w:bookmarkStart w:id="937" w:name="Tc_wOGAsrIUbUChNIJ-Mb5JRQ_22_12"/>
      <w:bookmarkStart w:id="938" w:name="Tc_DFnnSEeJs0-i_JKB5lQ00g_22_6"/>
      <w:bookmarkStart w:id="939" w:name="Tc_3nLPBSv7102DKz1bFKyW5A_22_4"/>
      <w:bookmarkStart w:id="940" w:name="Tc_68eqZxcg8k64Fv80r7SWJQ_22_2"/>
      <w:bookmarkStart w:id="941" w:name="Tc_wdJirf_WN0SZpy_fv0dTTw_22_0"/>
      <w:bookmarkStart w:id="942" w:name="Tc_6p3x2XPMLEq82WU4DvPObg_21_14"/>
      <w:bookmarkStart w:id="943" w:name="Tc_SLRE9_IjM0G6F_zEz_HlnA_21_12"/>
      <w:bookmarkStart w:id="944" w:name="Tc_hFWONgb_X0GUstj7Z31KzQ_21_10"/>
      <w:bookmarkStart w:id="945" w:name="Tc_drdceuPKzUyIBIIFcgHl6Q_21_8"/>
      <w:bookmarkStart w:id="946" w:name="Tc_g3aURl7IeUG1md8exSdehg_21_6"/>
      <w:bookmarkStart w:id="947" w:name="Tc_z38zD4kr_kqqitIZYVNiFw_21_4"/>
      <w:bookmarkStart w:id="948" w:name="Tc_Htysvdd8lkSi7H16LnjZfg_21_2"/>
      <w:bookmarkStart w:id="949" w:name="Tc_uQ3F0fdQg06dJe1wHSsDNA_21_0"/>
      <w:bookmarkStart w:id="950" w:name="Tc_zWa8aCnNwkGPtHxpK4aliQ_20_20"/>
      <w:bookmarkStart w:id="951" w:name="Tc_odZPPiAquEOHstNHVCkMmQ_20_18"/>
      <w:bookmarkStart w:id="952" w:name="Tc_fnAau9zH4E2nU3sbn7iZWw_20_14"/>
      <w:bookmarkStart w:id="953" w:name="Tc_iJbkWA7Yqky1Odzqd3jKDg_20_10"/>
      <w:bookmarkStart w:id="954" w:name="Tc_yKitTXGMH0yjVsYyym4MDQ_20_8"/>
      <w:bookmarkStart w:id="955" w:name="Tc_hX1cPD9OUUO4X7xKEwp8EQ_20_6"/>
      <w:bookmarkStart w:id="956" w:name="Tc_92wJJy-ghk-300jS0mcOQA_20_4"/>
      <w:bookmarkStart w:id="957" w:name="Tc_isTk4mO8UEiqlmUDGz5mBA_20_2"/>
      <w:bookmarkStart w:id="958" w:name="Tc_y6WV0B9L8UKE0VQ_MdPA7g_20_0"/>
      <w:bookmarkStart w:id="959" w:name="Tc_Vg6llGALT0qlIRcyD6tuKA_19_16"/>
      <w:bookmarkStart w:id="960" w:name="Tc_ZUN5b9eA506OBqh8dKdxAg_19_14"/>
      <w:bookmarkStart w:id="961" w:name="Tc_sqFQb_QfQ0ejsOYikSOWtw_19_12"/>
      <w:bookmarkStart w:id="962" w:name="Tc__VjiuD3z0EyQRD5Q0toJ3Q_19_10"/>
      <w:bookmarkStart w:id="963" w:name="Tc_3rUiHnT3BkuX1PDbbNdLdg_19_8"/>
      <w:bookmarkStart w:id="964" w:name="Tc_5U7bDmaZIUSG2ekTQZsjLg_19_4"/>
      <w:bookmarkStart w:id="965" w:name="Tc_XemKegVUVkWUt8LbyZuTdg_19_2"/>
      <w:bookmarkStart w:id="966" w:name="Tc_NBJW3s4wPkKmIIF1ygce3w_19_0"/>
      <w:bookmarkStart w:id="967" w:name="Tc_ONdMBhuU3kS_h8_wkCgsdw_18_20"/>
      <w:bookmarkStart w:id="968" w:name="Tc_ndgB3nydekKku_baystAhg_18_18"/>
      <w:bookmarkStart w:id="969" w:name="Tc_iByh43SwE0-uzXRUWip6nQ_18_16"/>
      <w:bookmarkStart w:id="970" w:name="Tc_Q3FP9aE4VkiEWX1S2dQ6rg_18_14"/>
      <w:bookmarkStart w:id="971" w:name="Tc_ACLM3G270kaIs02ffIfgSw_18_12"/>
      <w:bookmarkStart w:id="972" w:name="Tc_MQcDzlVAd0GLLaE7eySSyA_18_4"/>
      <w:bookmarkStart w:id="973" w:name="Tc_fym2P8_VnUOqcb9Go5S1cQ_18_2"/>
      <w:bookmarkStart w:id="974" w:name="Tc_R__16L-4bUW-ICC8bEkUHQ_18_0"/>
      <w:bookmarkStart w:id="975" w:name="Tc_L2S8_S6W9Ui6nXS4DtyEOw_17_0"/>
      <w:bookmarkStart w:id="976" w:name="Tc_5Cj1nJoU80q8VoMIxzMBlA_16_14"/>
      <w:bookmarkStart w:id="977" w:name="Tc_999pplHyvEWAd7OmJX-0Vw_16_12"/>
      <w:bookmarkStart w:id="978" w:name="Tc_sL7RlgCLN0mWQ_CQcnxn3A_16_10"/>
      <w:bookmarkStart w:id="979" w:name="Tc_ObvWGCuXtkqkp3IChM7cnw_16_8"/>
      <w:bookmarkStart w:id="980" w:name="Tc_MtI1CAgbHEOJa2NLAy4aow_16_6"/>
      <w:bookmarkStart w:id="981" w:name="Tc_RYgnLG9huUK3rT6J4AJzog_16_4"/>
      <w:bookmarkStart w:id="982" w:name="Tc_7eokD4JrlE2tPXQ2BQ6kIw_16_2"/>
      <w:bookmarkStart w:id="983" w:name="Tc_cVXYjjv_Tkup342z874yGw_16_0"/>
      <w:bookmarkStart w:id="984" w:name="Tc_-0Jt30bJCkmKRJ7T03v4GA_15_16"/>
      <w:bookmarkStart w:id="985" w:name="Tc_Pm4O-L5TC0K7-pZElxT8Dg_15_12"/>
      <w:bookmarkStart w:id="986" w:name="Tc_uhkVuZPGYUq6rOD32LCzcg_15_10"/>
      <w:bookmarkStart w:id="987" w:name="Tc_1kz6f2jYQk2n6a3fCVRqSA_15_8"/>
      <w:bookmarkStart w:id="988" w:name="Tc_OXUbam5R4E-wWWkbVYk__A_15_6"/>
      <w:bookmarkStart w:id="989" w:name="Tc_XGG56LC3s0un-Q3ZjHbcHg_15_4"/>
      <w:bookmarkStart w:id="990" w:name="Tc_rxbezMrFTEu2tj0ZAL7O7Q_15_2"/>
      <w:bookmarkStart w:id="991" w:name="Tc_FLmcUcwRIUe4NWBbDa4ofw_15_0"/>
      <w:bookmarkStart w:id="992" w:name="Tc_lnQvb8Fb4UGm6uhlzRjQlg_14_18"/>
      <w:bookmarkStart w:id="993" w:name="Tc_LESqwG6w7EOrJnNNo7NPTA_14_14"/>
      <w:bookmarkStart w:id="994" w:name="Tc_bd90gLrfmUaoitOA5Np-og_14_12"/>
      <w:bookmarkStart w:id="995" w:name="Tc_r9HKrqVF10al94FwxsJsHA_14_10"/>
      <w:bookmarkStart w:id="996" w:name="Tc_JfWtG-xG902y6crjAizQ1w_14_8"/>
      <w:bookmarkStart w:id="997" w:name="Tc_2Kb55cJkNEeckRJkjlBp7w_14_6"/>
      <w:bookmarkStart w:id="998" w:name="Tc_gMtNPmrmoEm6Yqm4P6xA3w_14_4"/>
      <w:bookmarkStart w:id="999" w:name="Tc_UwadV_aKKkGUh0oqb6jTIA_14_2"/>
      <w:bookmarkStart w:id="1000" w:name="Tc_eBuTcWJ-LUmT-FHF9gtz9Q_14_0"/>
      <w:bookmarkStart w:id="1001" w:name="Tc_q7FE4hjMtkq8jBCdJNqlWw_13_16"/>
      <w:bookmarkStart w:id="1002" w:name="Tc_KHN78L2u0EGWsRlfbn5drA_13_14"/>
      <w:bookmarkStart w:id="1003" w:name="Tc_tWYJstfNpkqqSUitr-kBFA_13_12"/>
      <w:bookmarkStart w:id="1004" w:name="Tc__WY_5iD_iUy7uQoyo-_GFw_13_10"/>
      <w:bookmarkStart w:id="1005" w:name="Tc_B53Byjp6MUmDzpgiwdzwOw_13_8"/>
      <w:bookmarkStart w:id="1006" w:name="Tc_rrMULnXLek-nMx7mKp20fw_13_4"/>
      <w:bookmarkStart w:id="1007" w:name="Tc_vr4f3_1cE0Sse5UIJypv6w_13_2"/>
      <w:bookmarkStart w:id="1008" w:name="Tc_JheQPiByi0iDGIa-bmAFGg_13_0"/>
      <w:bookmarkStart w:id="1009" w:name="Tc_cGGA_f-0a0a7yZwKl2jeeA_12_14"/>
      <w:bookmarkStart w:id="1010" w:name="Tc_BjXc3LHdj0OQs-7E-L_r4w_12_12"/>
      <w:bookmarkStart w:id="1011" w:name="Tc_54ziE-b8a065TaETlD2scQ_12_10"/>
      <w:bookmarkStart w:id="1012" w:name="Tc_bURp_KkLBE67P9HC0vpkmg_12_8"/>
      <w:bookmarkStart w:id="1013" w:name="Tc_XX0Wxt-n_kmgmA1ZaSMFUQ_12_4"/>
      <w:bookmarkStart w:id="1014" w:name="Tc_mDlMlocNZk6cmGhK0H3ETA_12_2"/>
      <w:bookmarkStart w:id="1015" w:name="Tc_-qZdfS3Ht0yPKDhK9DTyLQ_12_0"/>
      <w:bookmarkStart w:id="1016" w:name="Tc_JRTWf-nVNUiNFAiAhrBYPA_11_18"/>
      <w:bookmarkStart w:id="1017" w:name="Tc_kPxplDgp_0iiyddZ69QAhw_11_16"/>
      <w:bookmarkStart w:id="1018" w:name="Tc_JXZYokvEp06bOErIQ6xLuQ_11_14"/>
      <w:bookmarkStart w:id="1019" w:name="Tc_Sa9HVis7DECRafIQR9L18Q_11_12"/>
      <w:bookmarkStart w:id="1020" w:name="Tc_vlyB2BiwT0qTT5Bvv68SOQ_11_6"/>
      <w:bookmarkStart w:id="1021" w:name="Tc_nhX9v5iJZkK7P6ioTEZF5A_11_4"/>
      <w:bookmarkStart w:id="1022" w:name="Tc_nqJMEOVx2UalFNq9FFsXEA_11_2"/>
      <w:bookmarkStart w:id="1023" w:name="Tc_gaL9TMlfz0GOHFm1cYjHYw_11_0"/>
      <w:bookmarkStart w:id="1024" w:name="Tc_l3XPvSXnPE6pNCw00NNK8Q_10_14"/>
      <w:bookmarkStart w:id="1025" w:name="Tc_5Uln1N-f60Wc2maOIIPPXw_10_12"/>
      <w:bookmarkStart w:id="1026" w:name="Tc_SNt7Yvu1IUG5Qyt-GStSDw_10_10"/>
      <w:bookmarkStart w:id="1027" w:name="Tc_qDHPg4ehvECFQiDFmTGQ6g_10_8"/>
      <w:bookmarkStart w:id="1028" w:name="Tc_hngSOlMKw0KY5i5l3pqWBw_10_6"/>
      <w:bookmarkStart w:id="1029" w:name="Tc_pGN-f-iZcEiWb9kVYUVevQ_10_4"/>
      <w:bookmarkStart w:id="1030" w:name="Tc_LIMqCmMyqUWVUBwASjRifg_10_2"/>
      <w:bookmarkStart w:id="1031" w:name="Tc_Bs-RHIGOLUm6Js6sPGmviw_10_0"/>
      <w:bookmarkStart w:id="1032" w:name="Tc_JGrTufTvlECWU9BT0wkizA_9_20"/>
      <w:bookmarkStart w:id="1033" w:name="Tc_ePUioDTZTECvHy2bBGZSbw_9_18"/>
      <w:bookmarkStart w:id="1034" w:name="Tc__BoLGJCN9E65K_huEYgPZg_9_14"/>
      <w:bookmarkStart w:id="1035" w:name="Tc_VyDibYaafEiINIm9e8Ywow_9_10"/>
      <w:bookmarkStart w:id="1036" w:name="Tc_7JzKUV0WnEeaVV7LfVuDlQ_9_8"/>
      <w:bookmarkStart w:id="1037" w:name="Tc_tNS9z9hkH0qWqFFdopWoNQ_9_6"/>
      <w:bookmarkStart w:id="1038" w:name="Tc_E6UXna2EZU2fKGPfKCnjzg_9_4"/>
      <w:bookmarkStart w:id="1039" w:name="Tc_V9_j-RrTQ0mnWhDpAg5iOw_9_2"/>
      <w:bookmarkStart w:id="1040" w:name="Tc_mMWUWUDIv0K8xUryjNTNxw_9_0"/>
      <w:bookmarkStart w:id="1041" w:name="Tc_R8O-fJ-B4U6RrUWoT89ncA_8_16"/>
      <w:bookmarkStart w:id="1042" w:name="Tc_uvSDjYhXwkyrH_J-Lp4sxw_8_14"/>
      <w:bookmarkStart w:id="1043" w:name="Tc_ECv8TGdfpEqcoQuQjBKh-Q_8_12"/>
      <w:bookmarkStart w:id="1044" w:name="Tc_znlFMHCg8E2OSuFAZCUqPQ_8_10"/>
      <w:bookmarkStart w:id="1045" w:name="Tc_6ZZlIIBVx0SLmqrtpJb7xQ_8_8"/>
      <w:bookmarkStart w:id="1046" w:name="Tc_3YPr9-3jskGk6PKkKWs4XA_8_4"/>
      <w:bookmarkStart w:id="1047" w:name="Tc_itUXbWWImUip6cjgdmpoUQ_8_2"/>
      <w:bookmarkStart w:id="1048" w:name="Tc_CaO-yoI-yEi4vUS7Z-3ePA_8_0"/>
      <w:bookmarkStart w:id="1049" w:name="Tc_y337z0JP-Uy1AL1adFp45A_7_18"/>
      <w:bookmarkStart w:id="1050" w:name="Tc_3-kiAIYhOUKhJxcg1px-5g_7_16"/>
      <w:bookmarkStart w:id="1051" w:name="Tc_5hU3BKAYFkqtweKfGFcJ4g_7_14"/>
      <w:bookmarkStart w:id="1052" w:name="Tc_UOl-0jNcDkK8nICxFtrz4Q_7_12"/>
      <w:bookmarkStart w:id="1053" w:name="Tc_CegSTY1F1ESc66NgWJ0P7w_7_10"/>
      <w:bookmarkStart w:id="1054" w:name="Tc_w1f37YNG1ka5mvpMwtiWLA_7_8"/>
      <w:bookmarkStart w:id="1055" w:name="Tc_dQU4Vb-oZE-xLzaI9uBVxw_7_0"/>
      <w:bookmarkStart w:id="1056" w:name="Tc_e_tbhWPS-UmFxpeWj-yuwQ_6_20"/>
      <w:bookmarkStart w:id="1057" w:name="Tc_ZQLhPS5D3k-BCSWFImeGaw_6_18"/>
      <w:bookmarkStart w:id="1058" w:name="Tc_ULZWA6oO8EqprsR5TTeuMQ_6_16"/>
      <w:bookmarkStart w:id="1059" w:name="Tc_0tcDia4aTUyqjLM5tPI8WQ_6_14"/>
      <w:bookmarkStart w:id="1060" w:name="Tc_-wMW7IZ6906lqlgAz-iOdg_6_12"/>
      <w:bookmarkStart w:id="1061" w:name="Tc_-sZgEgcEaUWnX0mCCUeILQ_6_0"/>
      <w:bookmarkStart w:id="1062" w:name="Tc_PEESkKMaGkSws0DzKpbblA_5_10"/>
      <w:bookmarkStart w:id="1063" w:name="Tc_uoiSyGJ5xUucCWBOQhAEOQ_5_8"/>
      <w:bookmarkStart w:id="1064" w:name="Tc_8vSeueGctU-kFW7ACQLWVQ_5_0"/>
      <w:bookmarkStart w:id="1065" w:name="Tc_1lBCVXL1QkyVkoF8UaIO8A_4_20"/>
      <w:bookmarkStart w:id="1066" w:name="Tc_EKnbhuy4hEqm_muk5nmGSA_4_18"/>
      <w:bookmarkStart w:id="1067" w:name="Tc_bRykZm1DI0ODFOZwO6IfVQ_4_16"/>
      <w:bookmarkStart w:id="1068" w:name="Tc_MqscIeKc50mZu4AFdTJh3w_4_14"/>
      <w:bookmarkStart w:id="1069" w:name="Tc_kfGAxSz7CUKvMNVEcRI6qA_4_12"/>
      <w:bookmarkStart w:id="1070" w:name="Tc_2G9dzIvm3keKwvcXlBKq1Q_4_10"/>
      <w:bookmarkStart w:id="1071" w:name="Tc_bYdW6W074EOqch7C_NQfJg_4_6"/>
      <w:bookmarkStart w:id="1072" w:name="Tc_3rlI_XFQd0O7iPKtGyHZ2w_4_4"/>
      <w:bookmarkStart w:id="1073" w:name="Tc_TPxQRPebP0qSwPXjNRjTfQ_3_20"/>
      <w:bookmarkStart w:id="1074" w:name="Tc_bsRs76Mo9UiuZXaQ0kqkuw_3_18"/>
      <w:bookmarkStart w:id="1075" w:name="Tc_1_yUH9TcHE2Lh2dv4t6S2w_3_16"/>
      <w:bookmarkStart w:id="1076" w:name="Tc_YP7kbxfelk6_6bneW9h91Q_3_14"/>
      <w:bookmarkStart w:id="1077" w:name="Tc_peUNCHasW0eEszX6ZN5qOg_3_12"/>
      <w:bookmarkStart w:id="1078" w:name="Tc_2EhFD_ujEkmTaZp3V6Wf4w_3_10"/>
      <w:bookmarkStart w:id="1079" w:name="Tc_-XV_H0gesU25E-vkRGUHbw_3_8"/>
      <w:bookmarkStart w:id="1080" w:name="Tc_PvsA272RbkyazEAqg_h0FA_3_6"/>
      <w:bookmarkStart w:id="1081" w:name="Tc_6Cq8IBpkwkORdMfU6QRrWA_3_4"/>
      <w:bookmarkStart w:id="1082" w:name="Tc_kBzTzWm12EuVZ353DAXicw_3_2"/>
      <w:bookmarkStart w:id="1083" w:name="Tc_8I7m_A4zKESmtwUtETc60A_2_20"/>
      <w:bookmarkStart w:id="1084" w:name="Tc_fVP8atfd5USApFAeAQc4vw_2_18"/>
      <w:bookmarkStart w:id="1085" w:name="Tc_AgN6K36pQU-X4ufqGbr7wg_2_16"/>
      <w:bookmarkStart w:id="1086" w:name="Tc_jpmg0iVEKkmKvvLqq9d6bg_2_14"/>
      <w:bookmarkStart w:id="1087" w:name="Tc_SP0pLSdrCESGTryafKYK4Q_2_12"/>
      <w:bookmarkStart w:id="1088" w:name="Tc_DMFtcygO6Ey3Yv1IitwVjA_2_8"/>
      <w:bookmarkStart w:id="1089" w:name="Tc_TPtCCtsPXkiluXhp_gBIdw_2_6"/>
      <w:bookmarkStart w:id="1090" w:name="Tc_AaF5GzU1eE2weBWzurJKEw_2_2"/>
      <w:bookmarkStart w:id="1091" w:name="Tc_VMPoHGi4QkuzfzdX3B7gIg_1_14"/>
      <w:bookmarkStart w:id="1092" w:name="_592736b0_6fbf_4c66_a210_18330dd04667"/>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tbl>
      <w:tblPr>
        <w:tblW w:w="11686" w:type="dxa"/>
        <w:jc w:val="left"/>
        <w:tblInd w:w="0" w:type="dxa"/>
        <w:tblCellMar>
          <w:top w:w="0" w:type="dxa"/>
          <w:left w:w="0" w:type="dxa"/>
          <w:bottom w:w="0" w:type="dxa"/>
          <w:right w:w="0" w:type="dxa"/>
        </w:tblCellMar>
      </w:tblPr>
      <w:tblGrid>
        <w:gridCol w:w="1096"/>
        <w:gridCol w:w="326"/>
        <w:gridCol w:w="586"/>
        <w:gridCol w:w="326"/>
        <w:gridCol w:w="526"/>
        <w:gridCol w:w="326"/>
        <w:gridCol w:w="871"/>
        <w:gridCol w:w="326"/>
        <w:gridCol w:w="541"/>
        <w:gridCol w:w="326"/>
        <w:gridCol w:w="691"/>
        <w:gridCol w:w="326"/>
        <w:gridCol w:w="601"/>
        <w:gridCol w:w="326"/>
        <w:gridCol w:w="1201"/>
        <w:gridCol w:w="326"/>
        <w:gridCol w:w="646"/>
        <w:gridCol w:w="326"/>
        <w:gridCol w:w="871"/>
        <w:gridCol w:w="326"/>
        <w:gridCol w:w="796"/>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5960" cy="175260"/>
                      <wp:effectExtent l="0" t="0" r="0" b="0"/>
                      <wp:wrapNone/>
                      <wp:docPr id="317" name="Frame316"/>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8"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72110" cy="175260"/>
                      <wp:effectExtent l="0" t="0" r="0" b="0"/>
                      <wp:wrapNone/>
                      <wp:docPr id="319" name="Frame31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34010" cy="175260"/>
                      <wp:effectExtent l="0" t="0" r="0" b="0"/>
                      <wp:wrapNone/>
                      <wp:docPr id="321" name="Frame320"/>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2"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53085" cy="175260"/>
                      <wp:effectExtent l="0" t="0" r="0" b="0"/>
                      <wp:wrapNone/>
                      <wp:docPr id="323" name="Frame322"/>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4"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43535" cy="175260"/>
                      <wp:effectExtent l="0" t="0" r="0" b="0"/>
                      <wp:wrapNone/>
                      <wp:docPr id="325" name="Frame32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38785" cy="175260"/>
                      <wp:effectExtent l="0" t="0" r="0" b="0"/>
                      <wp:wrapNone/>
                      <wp:docPr id="327" name="Frame32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8"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81635" cy="175260"/>
                      <wp:effectExtent l="0" t="0" r="0" b="0"/>
                      <wp:wrapNone/>
                      <wp:docPr id="329" name="Frame328"/>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62635" cy="175260"/>
                      <wp:effectExtent l="0" t="0" r="0" b="0"/>
                      <wp:wrapNone/>
                      <wp:docPr id="331" name="Frame330"/>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10210" cy="175260"/>
                      <wp:effectExtent l="0" t="0" r="0" b="0"/>
                      <wp:wrapNone/>
                      <wp:docPr id="333" name="Frame332"/>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53085" cy="175260"/>
                      <wp:effectExtent l="0" t="0" r="0" b="0"/>
                      <wp:wrapNone/>
                      <wp:docPr id="335" name="Frame334"/>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05460" cy="175260"/>
                      <wp:effectExtent l="0" t="0" r="0" b="0"/>
                      <wp:wrapNone/>
                      <wp:docPr id="337" name="Frame33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r>
      <w:tr>
        <w:trPr/>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 paid-</w:t>
            </w:r>
          </w:p>
        </w:tc>
        <w:tc>
          <w:tcPr>
            <w:tcW w:w="326" w:type="dxa"/>
            <w:tcBorders/>
            <w:shd w:fill="auto" w:val="clear"/>
            <w:vAlign w:val="center"/>
          </w:tcPr>
          <w:p>
            <w:pPr>
              <w:pStyle w:val="TableContents"/>
              <w:spacing w:before="0" w:after="0"/>
              <w:ind w:left="0" w:right="0" w:hanging="0"/>
              <w:rPr/>
            </w:pPr>
            <w:r>
              <w:rPr/>
              <w:t>​</w:t>
            </w:r>
          </w:p>
        </w:tc>
        <w:tc>
          <w:tcPr>
            <w:tcW w:w="15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Statutory</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other comprehensive</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Retained</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26" w:type="dxa"/>
            <w:tcBorders/>
            <w:shd w:fill="auto" w:val="clear"/>
            <w:vAlign w:val="center"/>
          </w:tcPr>
          <w:p>
            <w:pPr>
              <w:pStyle w:val="TableContents"/>
              <w:spacing w:before="0" w:after="0"/>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in capital</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reserves</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(loss)/ income</w:t>
            </w:r>
          </w:p>
        </w:tc>
        <w:tc>
          <w:tcPr>
            <w:tcW w:w="326" w:type="dxa"/>
            <w:tcBorders/>
            <w:shd w:fill="auto" w:val="clear"/>
            <w:vAlign w:val="center"/>
          </w:tcPr>
          <w:p>
            <w:pPr>
              <w:pStyle w:val="TableContents"/>
              <w:spacing w:before="0" w:after="0"/>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earnings</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interests</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Balance as of December 31, 2019</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3,228,531</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2,640</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3,913,656</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1,215,208</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(71,445)</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56,393,640</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1,139,156</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62,592,855</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20,578</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(827,722)</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8,582</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827,707</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Issuance of shares in Hong Kong, net of issuance costs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197,202</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139</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21,883,804</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21,883,943</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2,543,435</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71,943</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2,615,378</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13,240</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(13,240)</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Net income/(loss) attributable to the Company and noncontrolling interest shareholders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12,849,783</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(519,548)</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12,330,235</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shares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(105,558)</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(11,273,814)</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(11,273,814)</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noncontrolling interest and redeemable noncontrolling interests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(18,852)</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(204,705)</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(2,496)</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(226,053)</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Change of capital from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335,110</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214,203</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549,313</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Dividends to shareholders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(4,280,465)</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(4,280,465)</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(579,012)</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(19,096)</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(598,108)</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(582,324)</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(13,156)</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(595,480)</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Balance as of December 31, 2020</w:t>
            </w:r>
          </w:p>
        </w:tc>
        <w:tc>
          <w:tcPr>
            <w:tcW w:w="326" w:type="dxa"/>
            <w:tcBorders/>
            <w:shd w:fill="CCEEFF" w:val="clear"/>
            <w:vAlign w:val="center"/>
          </w:tcPr>
          <w:p>
            <w:pPr>
              <w:pStyle w:val="TableContents"/>
              <w:spacing w:before="0" w:after="0"/>
              <w:ind w:left="0" w:right="0" w:hanging="0"/>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3,446,311</w:t>
            </w:r>
          </w:p>
        </w:tc>
        <w:tc>
          <w:tcPr>
            <w:tcW w:w="326" w:type="dxa"/>
            <w:tcBorders/>
            <w:shd w:fill="CCEEFF" w:val="clear"/>
            <w:vAlign w:val="center"/>
          </w:tcPr>
          <w:p>
            <w:pPr>
              <w:pStyle w:val="TableContents"/>
              <w:spacing w:before="0" w:after="0"/>
              <w:ind w:left="0" w:right="0" w:hanging="0"/>
              <w:rPr/>
            </w:pPr>
            <w:r>
              <w:rPr/>
              <w:t>​</w:t>
            </w:r>
          </w:p>
        </w:tc>
        <w:tc>
          <w:tcPr>
            <w:tcW w:w="52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2,794</w:t>
            </w:r>
          </w:p>
        </w:tc>
        <w:tc>
          <w:tcPr>
            <w:tcW w:w="326" w:type="dxa"/>
            <w:tcBorders/>
            <w:shd w:fill="CCEEFF" w:val="clear"/>
            <w:vAlign w:val="center"/>
          </w:tcPr>
          <w:p>
            <w:pPr>
              <w:pStyle w:val="TableContents"/>
              <w:spacing w:before="0" w:after="0"/>
              <w:ind w:left="0" w:right="0" w:hanging="0"/>
              <w:rPr/>
            </w:pPr>
            <w:r>
              <w:rPr/>
              <w:t>​</w:t>
            </w:r>
          </w:p>
        </w:tc>
        <w:tc>
          <w:tcPr>
            <w:tcW w:w="87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27,829,431</w:t>
            </w:r>
          </w:p>
        </w:tc>
        <w:tc>
          <w:tcPr>
            <w:tcW w:w="326" w:type="dxa"/>
            <w:tcBorders/>
            <w:shd w:fill="CCEEFF" w:val="clear"/>
            <w:vAlign w:val="center"/>
          </w:tcPr>
          <w:p>
            <w:pPr>
              <w:pStyle w:val="TableContents"/>
              <w:spacing w:before="0" w:after="0"/>
              <w:ind w:left="0" w:right="0" w:hanging="0"/>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(96,976)</w:t>
            </w:r>
          </w:p>
        </w:tc>
        <w:tc>
          <w:tcPr>
            <w:tcW w:w="326" w:type="dxa"/>
            <w:tcBorders/>
            <w:shd w:fill="CCEEFF" w:val="clear"/>
            <w:vAlign w:val="center"/>
          </w:tcPr>
          <w:p>
            <w:pPr>
              <w:pStyle w:val="TableContents"/>
              <w:spacing w:before="0" w:after="0"/>
              <w:ind w:left="0" w:right="0" w:hanging="0"/>
              <w:rPr/>
            </w:pPr>
            <w:r>
              <w:rPr/>
              <w:t>​</w:t>
            </w:r>
          </w:p>
        </w:tc>
        <w:tc>
          <w:tcPr>
            <w:tcW w:w="69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(10,446,107)</w:t>
            </w:r>
          </w:p>
        </w:tc>
        <w:tc>
          <w:tcPr>
            <w:tcW w:w="326" w:type="dxa"/>
            <w:tcBorders/>
            <w:shd w:fill="CCEEFF" w:val="clear"/>
            <w:vAlign w:val="center"/>
          </w:tcPr>
          <w:p>
            <w:pPr>
              <w:pStyle w:val="TableContents"/>
              <w:spacing w:before="0" w:after="0"/>
              <w:ind w:left="0" w:right="0" w:hanging="0"/>
              <w:rPr/>
            </w:pPr>
            <w:r>
              <w:rPr/>
              <w:t>​</w:t>
            </w:r>
          </w:p>
        </w:tc>
        <w:tc>
          <w:tcPr>
            <w:tcW w:w="60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1,228,448</w:t>
            </w:r>
          </w:p>
        </w:tc>
        <w:tc>
          <w:tcPr>
            <w:tcW w:w="326" w:type="dxa"/>
            <w:tcBorders/>
            <w:shd w:fill="CCEEFF" w:val="clear"/>
            <w:vAlign w:val="center"/>
          </w:tcPr>
          <w:p>
            <w:pPr>
              <w:pStyle w:val="TableContents"/>
              <w:spacing w:before="0" w:after="0"/>
              <w:ind w:left="0" w:right="0" w:hanging="0"/>
              <w:rPr/>
            </w:pPr>
            <w:r>
              <w:rPr/>
              <w:t>​</w:t>
            </w:r>
          </w:p>
        </w:tc>
        <w:tc>
          <w:tcPr>
            <w:tcW w:w="120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(650,457)</w:t>
            </w:r>
          </w:p>
        </w:tc>
        <w:tc>
          <w:tcPr>
            <w:tcW w:w="326" w:type="dxa"/>
            <w:tcBorders/>
            <w:shd w:fill="CCEEFF" w:val="clear"/>
            <w:vAlign w:val="center"/>
          </w:tcPr>
          <w:p>
            <w:pPr>
              <w:pStyle w:val="TableContents"/>
              <w:spacing w:before="0" w:after="0"/>
              <w:ind w:left="0" w:right="0" w:hanging="0"/>
              <w:rPr/>
            </w:pPr>
            <w:r>
              <w:rPr/>
              <w:t>​</w:t>
            </w:r>
          </w:p>
        </w:tc>
        <w:tc>
          <w:tcPr>
            <w:tcW w:w="64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64,162,689</w:t>
            </w:r>
          </w:p>
        </w:tc>
        <w:tc>
          <w:tcPr>
            <w:tcW w:w="326" w:type="dxa"/>
            <w:tcBorders/>
            <w:shd w:fill="CCEEFF" w:val="clear"/>
            <w:vAlign w:val="center"/>
          </w:tcPr>
          <w:p>
            <w:pPr>
              <w:pStyle w:val="TableContents"/>
              <w:spacing w:before="0" w:after="0"/>
              <w:ind w:left="0" w:right="0" w:hanging="0"/>
              <w:rPr/>
            </w:pPr>
            <w:r>
              <w:rPr/>
              <w:t>​</w:t>
            </w:r>
          </w:p>
        </w:tc>
        <w:tc>
          <w:tcPr>
            <w:tcW w:w="87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871,006</w:t>
            </w:r>
          </w:p>
        </w:tc>
        <w:tc>
          <w:tcPr>
            <w:tcW w:w="326" w:type="dxa"/>
            <w:tcBorders/>
            <w:shd w:fill="CCEEFF" w:val="clear"/>
            <w:vAlign w:val="center"/>
          </w:tcPr>
          <w:p>
            <w:pPr>
              <w:pStyle w:val="TableContents"/>
              <w:spacing w:before="0" w:after="0"/>
              <w:ind w:left="0" w:right="0" w:hanging="0"/>
              <w:rPr/>
            </w:pPr>
            <w:r>
              <w:rPr/>
              <w:t>​</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82,997,804</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(2,714,220)</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25,335</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2,714,220</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2,354,851</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601,183</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2,956,034</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16,677</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(16,677)</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Net income/(loss) attributable to the Company, noncontrolling and redeemable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17,393,823</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(389,857)</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17,003,966</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shares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(100,835)</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(12,770,301)</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(12,770,301)</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noncontrolling interest and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(53,743)</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1,514</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(52,229)</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Change of capital from noncontrolling interest shareholders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1,694,471</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1,142,239</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2,836,710</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Conversion of Cloud Music’s preferred shares recognized as redeemable noncontrolling interests to ordinary shares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8,805,149</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2,473,352</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11,278,501</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Dividends to shareholders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(3,508,379)</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(3,508,379)</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Dividends to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(731,250)</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(731,250)</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(177,608)</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(5,582)</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(183,190)</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(536,981)</w:t>
            </w:r>
          </w:p>
        </w:tc>
        <w:tc>
          <w:tcPr>
            <w:tcW w:w="326" w:type="dxa"/>
            <w:tcBorders/>
            <w:shd w:fill="CCEEFF" w:val="cle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(12,047)</w:t>
            </w:r>
          </w:p>
        </w:tc>
        <w:tc>
          <w:tcPr>
            <w:tcW w:w="326" w:type="dxa"/>
            <w:tcBorders/>
            <w:shd w:fill="CCEEFF" w:val="cle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(549,028)</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Balance as of December 31, 2021</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3,446,311</w:t>
            </w:r>
          </w:p>
        </w:tc>
        <w:tc>
          <w:tcPr>
            <w:tcW w:w="326" w:type="dxa"/>
            <w:tcBorders/>
            <w:shd w:fill="auto" w:val="cle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2,794</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37,915,939</w:t>
            </w:r>
          </w:p>
        </w:tc>
        <w:tc>
          <w:tcPr>
            <w:tcW w:w="326"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(172,476)</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(20,502,188)</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1,245,125</w:t>
            </w:r>
          </w:p>
        </w:tc>
        <w:tc>
          <w:tcPr>
            <w:tcW w:w="326" w:type="dxa"/>
            <w:tcBorders/>
            <w:shd w:fill="auto" w:val="cle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(828,065)</w:t>
            </w:r>
          </w:p>
        </w:tc>
        <w:tc>
          <w:tcPr>
            <w:tcW w:w="326" w:type="dxa"/>
            <w:tcBorders/>
            <w:shd w:fill="auto" w:val="cle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77,494,475</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3,950,558</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99,278,638</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518</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(2,569,917)</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22,632</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2,569,917</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2,763,611</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277,999</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3,041,610</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33,541</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(33,541)</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Net income/ (loss) attributable to the Company, noncontrolling and redeemable noncontrolling interest shareholders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20,340,578</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(483,268)</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19,857,310</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shares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(73,361)</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(8,006,226)</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(8,006,226)</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Cancellation of repurchased shares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(125,553)</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(84)</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(15,027,659)</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125,553</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15,027,743</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Repurchase of noncontrolling interest and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(273,319)</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(35,259)</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(308,578)</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Change of capital from noncontrolling interest shareholders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45,579</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116,374</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161,953</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Dividends to shareholders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(6,723,859)</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(6,723,859)</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1,259,851</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181,563</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1,441,414</w:t>
            </w:r>
          </w:p>
        </w:tc>
      </w:tr>
      <w:tr>
        <w:trPr/>
        <w:tc>
          <w:tcPr>
            <w:tcW w:w="10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(2,978)</w:t>
            </w:r>
          </w:p>
        </w:tc>
        <w:tc>
          <w:tcPr>
            <w:tcW w:w="326" w:type="dxa"/>
            <w:tcBorders/>
            <w:shd w:fill="CCEEFF" w:val="cle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(2,244)</w:t>
            </w:r>
          </w:p>
        </w:tc>
        <w:tc>
          <w:tcPr>
            <w:tcW w:w="326" w:type="dxa"/>
            <w:tcBorders/>
            <w:shd w:fill="CCEEFF" w:val="cle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(5,222)</w:t>
            </w:r>
          </w:p>
        </w:tc>
      </w:tr>
      <w:tr>
        <w:trPr/>
        <w:tc>
          <w:tcPr>
            <w:tcW w:w="10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Balance as of December 31, 2022</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3,321,276</w:t>
            </w:r>
          </w:p>
        </w:tc>
        <w:tc>
          <w:tcPr>
            <w:tcW w:w="326" w:type="dxa"/>
            <w:tcBorders/>
            <w:shd w:fill="auto" w:val="clear"/>
            <w:vAlign w:val="center"/>
          </w:tcPr>
          <w:p>
            <w:pPr>
              <w:pStyle w:val="TableContents"/>
              <w:spacing w:before="0" w:after="0"/>
              <w:ind w:left="0" w:right="0" w:hanging="0"/>
              <w:rPr/>
            </w:pPr>
            <w:r>
              <w:rPr/>
              <w:t>​</w:t>
            </w:r>
          </w:p>
        </w:tc>
        <w:tc>
          <w:tcPr>
            <w:tcW w:w="5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2,710</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22,854,234</w:t>
            </w:r>
          </w:p>
        </w:tc>
        <w:tc>
          <w:tcPr>
            <w:tcW w:w="326" w:type="dxa"/>
            <w:tcBorders/>
            <w:shd w:fill="auto" w:val="clear"/>
            <w:vAlign w:val="center"/>
          </w:tcPr>
          <w:p>
            <w:pPr>
              <w:pStyle w:val="TableContents"/>
              <w:spacing w:before="0" w:after="0"/>
              <w:ind w:left="0" w:right="0" w:hanging="0"/>
              <w:rPr/>
            </w:pPr>
            <w:r>
              <w:rPr/>
              <w:t>​</w:t>
            </w:r>
          </w:p>
        </w:tc>
        <w:tc>
          <w:tcPr>
            <w:tcW w:w="5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(97,652)</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(10,910,754)</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1,278,666</w:t>
            </w:r>
          </w:p>
        </w:tc>
        <w:tc>
          <w:tcPr>
            <w:tcW w:w="326" w:type="dxa"/>
            <w:tcBorders/>
            <w:shd w:fill="auto" w:val="clear"/>
            <w:vAlign w:val="center"/>
          </w:tcPr>
          <w:p>
            <w:pPr>
              <w:pStyle w:val="TableContents"/>
              <w:spacing w:before="0" w:after="0"/>
              <w:ind w:left="0" w:right="0" w:hanging="0"/>
              <w:rPr/>
            </w:pPr>
            <w:r>
              <w:rPr/>
              <w:t>​</w:t>
            </w:r>
          </w:p>
        </w:tc>
        <w:tc>
          <w:tcPr>
            <w:tcW w:w="12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431,786</w:t>
            </w:r>
          </w:p>
        </w:tc>
        <w:tc>
          <w:tcPr>
            <w:tcW w:w="326" w:type="dxa"/>
            <w:tcBorders/>
            <w:shd w:fill="auto" w:val="clear"/>
            <w:vAlign w:val="center"/>
          </w:tcPr>
          <w:p>
            <w:pPr>
              <w:pStyle w:val="TableContents"/>
              <w:spacing w:before="0" w:after="0"/>
              <w:ind w:left="0" w:right="0" w:hanging="0"/>
              <w:rPr/>
            </w:pPr>
            <w:r>
              <w:rPr/>
              <w:t>​</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91,074,675</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4,005,723</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sz w:val="12"/>
              </w:rPr>
            </w:pPr>
            <w:r>
              <w:rPr>
                <w:rFonts w:ascii="Times New Roman;Times;serif" w:hAnsi="Times New Roman;Times;serif"/>
                <w:sz w:val="12"/>
              </w:rPr>
              <w:t>108,737,040</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18"/>
        </w:rPr>
      </w:pPr>
      <w:bookmarkStart w:id="1093" w:name="_860d7f8a_0822_4f50_9c9c_0fa5bde66c29"/>
      <w:bookmarkEnd w:id="1093"/>
      <w:r>
        <w:rPr>
          <w:rFonts w:ascii="Times New Roman;Times;serif" w:hAnsi="Times New Roman;Times;serif"/>
          <w:b/>
          <w:sz w:val="18"/>
        </w:rPr>
        <w:t>NetEase, Inc.</w:t>
      </w:r>
    </w:p>
    <w:p>
      <w:pPr>
        <w:pStyle w:val="TextBody"/>
        <w:spacing w:before="0" w:after="0"/>
        <w:ind w:left="0" w:right="0" w:hanging="0"/>
        <w:jc w:val="both"/>
        <w:rPr>
          <w:rFonts w:ascii="Times New Roman;Times;serif" w:hAnsi="Times New Roman;Times;serif"/>
          <w:b/>
          <w:sz w:val="18"/>
        </w:rPr>
      </w:pPr>
      <w:bookmarkStart w:id="1094" w:name="CashFlows_216956"/>
      <w:bookmarkEnd w:id="1094"/>
      <w:r>
        <w:rPr>
          <w:rFonts w:ascii="Times New Roman;Times;serif" w:hAnsi="Times New Roman;Times;serif"/>
          <w:b/>
          <w:sz w:val="18"/>
        </w:rPr>
        <w:t>Consolidated Statements of Cash Flows</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(in thousands)</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095" w:name="Tc_zLYx9_hFTkW_eK9Comv2mQ_66_0"/>
      <w:bookmarkStart w:id="1096" w:name="Tc_5YAI4kCETkCIt5yUp-Mkww_65_0"/>
      <w:bookmarkStart w:id="1097" w:name="Tc_jLycsiGVv0ClX7p2Ud-ntQ_64_0"/>
      <w:bookmarkStart w:id="1098" w:name="Tc_FeK4zDvzbUeVp70Qil_m4g_63_0"/>
      <w:bookmarkStart w:id="1099" w:name="Tc_UnOnCsfm4U-SRguvuD9Giw_62_0"/>
      <w:bookmarkStart w:id="1100" w:name="Tc_lKm4RhJGYEmnNSF12JoQBw_61_0"/>
      <w:bookmarkStart w:id="1101" w:name="Tc_ubgrv6G6MUSHR1pMlIwx0g_60_0"/>
      <w:bookmarkStart w:id="1102" w:name="Tc_LmlxMgPPbkWfOkmQR2rGyQ_59_0"/>
      <w:bookmarkStart w:id="1103" w:name="Tc_ICBduQ_Ow0aUSrMtycL7MA_57_0"/>
      <w:bookmarkStart w:id="1104" w:name="Tc_zwxXjvBF2EysBJ3-TqrTdg_55_0"/>
      <w:bookmarkStart w:id="1105" w:name="Tc_IlvRkfPPZk2wVpduVBOyCA_54_0"/>
      <w:bookmarkStart w:id="1106" w:name="Tc_k140eYSUWk2adVUq7hynIw_53_8"/>
      <w:bookmarkStart w:id="1107" w:name="Tc_bXjZqX-7qkWq9h3bo1VVgw_53_6"/>
      <w:bookmarkStart w:id="1108" w:name="Tc_NNWyO07m1EiYxNIRCcGuuw_53_2"/>
      <w:bookmarkStart w:id="1109" w:name="Tc_Lnm1LLmla0ulYoPWPft2jA_53_0"/>
      <w:bookmarkStart w:id="1110" w:name="Tc_SHXf_Twfw0GcWScBF6PGZg_52_0"/>
      <w:bookmarkStart w:id="1111" w:name="Tc_LdCQWZ9bkEmmtPIOUKeaVQ_51_8"/>
      <w:bookmarkStart w:id="1112" w:name="Tc_CqVoGpiFI0uzECr_cCqhdA_51_6"/>
      <w:bookmarkStart w:id="1113" w:name="Tc_ju23kS5AikS9fMBZg8PWLA_51_4"/>
      <w:bookmarkStart w:id="1114" w:name="Tc__PrCqfLtaEWkH6F7L4KySw_51_0"/>
      <w:bookmarkStart w:id="1115" w:name="Tc_2mHWy-m-l0-VR4MMF35zzg_50_8"/>
      <w:bookmarkStart w:id="1116" w:name="Tc_EWalLlUJrkCZIBaC_iUacA_50_6"/>
      <w:bookmarkStart w:id="1117" w:name="Tc_1R4l466dvUeR6H9elmda1Q_50_0"/>
      <w:bookmarkStart w:id="1118" w:name="Tc_UKAixakiwEeqJHU81r7PyA_49_0"/>
      <w:bookmarkStart w:id="1119" w:name="Tc_8nOzVu9zAUOoACro8iIqaA_48_0"/>
      <w:bookmarkStart w:id="1120" w:name="Tc_h5xmlYF9uE-JqROVAjfl5Q_47_0"/>
      <w:bookmarkStart w:id="1121" w:name="Tc_k9Yr8WuV10e-NJPGcDQ3JQ_46_0"/>
      <w:bookmarkStart w:id="1122" w:name="Tc_hv8VWz8zNE2b90lTQQDxWA_45_0"/>
      <w:bookmarkStart w:id="1123" w:name="Tc_lypv7qh5xkqUVc8CpfNBtA_44_0"/>
      <w:bookmarkStart w:id="1124" w:name="Tc_rPMmqiT-O0SXECoc5o2tFg_43_0"/>
      <w:bookmarkStart w:id="1125" w:name="Tc_9tJCjjcDjkapqoDWvqELtw_42_0"/>
      <w:bookmarkStart w:id="1126" w:name="Tc_voVVU96-dkiXV6n5Whx8jA_41_0"/>
      <w:bookmarkStart w:id="1127" w:name="Tc_WiAbQQP59kyzijDErjuQsQ_40_0"/>
      <w:bookmarkStart w:id="1128" w:name="Tc_Dcy3awke5EK7FU5mXQQXbA_39_0"/>
      <w:bookmarkStart w:id="1129" w:name="Tc__NS7-6kEuEmHaD32E6Q1gQ_38_0"/>
      <w:bookmarkStart w:id="1130" w:name="Tc_1NF4XYNar0-CG9zNuYrI6w_37_0"/>
      <w:bookmarkStart w:id="1131" w:name="Tc__KZ1d63NB0y1I2NmIni9Ow_36_0"/>
      <w:bookmarkStart w:id="1132" w:name="Tc_xt4RJcZj6EmTRzo1qv6vSg_35_0"/>
      <w:bookmarkStart w:id="1133" w:name="Tc_TuLUrXczA0uVwKg3PidpkQ_34_0"/>
      <w:bookmarkStart w:id="1134" w:name="Tc_Tpt_PWd47EqgzyxtxG_2mw_33_0"/>
      <w:bookmarkStart w:id="1135" w:name="Tc_5D6SVYaLtE2EzJlYx9MmZg_32_0"/>
      <w:bookmarkStart w:id="1136" w:name="Tc_2mL6-8aMj0qQMIhKXnL4nQ_31_0"/>
      <w:bookmarkStart w:id="1137" w:name="Tc_K-mVKOo3AUmXYRVFnakTNw_29_0"/>
      <w:bookmarkStart w:id="1138" w:name="Tc_2OkGSwnbXU-ZFhHPeWgidg_28_0"/>
      <w:bookmarkStart w:id="1139" w:name="Tc_J3IL556piEiZCWmAVWwRug_27_0"/>
      <w:bookmarkStart w:id="1140" w:name="Tc_QXo1Fj6Zzkq4c3DLi3TK9Q_26_0"/>
      <w:bookmarkStart w:id="1141" w:name="Tc_xR-vxdVpj0GaezvoRyHiHw_25_0"/>
      <w:bookmarkStart w:id="1142" w:name="Tc_nvhX-KrzIUWijje_496G3A_24_0"/>
      <w:bookmarkStart w:id="1143" w:name="Tc_9x2stpZBg0qXytc3RLYYkQ_23_0"/>
      <w:bookmarkStart w:id="1144" w:name="Tc_L2lxI0afjEiNtAleclUuVg_22_0"/>
      <w:bookmarkStart w:id="1145" w:name="Tc_rkGNyssO8Uidz-k8phqicw_21_0"/>
      <w:bookmarkStart w:id="1146" w:name="Tc_eot9E5crlUevTTli2oRaKw_20_0"/>
      <w:bookmarkStart w:id="1147" w:name="Tc_LfwnUgnYLEafsaT0OfC8Rg_19_0"/>
      <w:bookmarkStart w:id="1148" w:name="Tc_iOkflwqfKkK90ur7SZ0KFw_18_0"/>
      <w:bookmarkStart w:id="1149" w:name="Tc_5BUtHsgtJkOI_y8IiS924Q_17_0"/>
      <w:bookmarkStart w:id="1150" w:name="Tc_gCz16xw-8keD_Gl8J0WtJQ_16_0"/>
      <w:bookmarkStart w:id="1151" w:name="Tc_BcLIesWf6UicZE7tNo_8XQ_15_0"/>
      <w:bookmarkStart w:id="1152" w:name="Tc_bi7jG5Wur0C7Mqi0oDUUVQ_14_0"/>
      <w:bookmarkStart w:id="1153" w:name="Tc_3_x0L3lFt0CfH-xMWt6-bg_13_0"/>
      <w:bookmarkStart w:id="1154" w:name="Tc_0H16hMISK02IvfDWcJSHog_12_0"/>
      <w:bookmarkStart w:id="1155" w:name="Tc_7QsSVzgZfk-kJp_frOqD-g_11_0"/>
      <w:bookmarkStart w:id="1156" w:name="Tc_I0tCgih58kWdLmJ57uVc3Q_10_0"/>
      <w:bookmarkStart w:id="1157" w:name="Tc_ykl48iXdJk-8ZbQhJVHxPg_9_0"/>
      <w:bookmarkStart w:id="1158" w:name="Tc_2OiJLQAE-kC0X1QJwRHfCQ_8_0"/>
      <w:bookmarkStart w:id="1159" w:name="Tc_bML8qhQb406NVOwmiqxIdw_7_4"/>
      <w:bookmarkStart w:id="1160" w:name="Tc_DF5GfdTOk0qwGBabpAb1gg_7_2"/>
      <w:bookmarkStart w:id="1161" w:name="Tc_IZflwiDgWEyUR-c1_FrUhg_7_0"/>
      <w:bookmarkStart w:id="1162" w:name="Tc_O8-Cx6A2qEOOf9MJ80n99g_6_0"/>
      <w:bookmarkStart w:id="1163" w:name="Tc_Zl90qfWrs0OGiCks8BgmDQ_5_0"/>
      <w:bookmarkStart w:id="1164" w:name="Tc_vLrNg-LWMEurk95CYZFMPw_4_8"/>
      <w:bookmarkStart w:id="1165" w:name="Tc_IeU4fuvPwkSwlsllCSxDrA_3_8"/>
      <w:bookmarkStart w:id="1166" w:name="Tc_dczkX6ttKkiH5yRczLZKJA_3_6"/>
      <w:bookmarkStart w:id="1167" w:name="Tc_Hab53CpRLEmijKv6-LBZ5Q_3_4"/>
      <w:bookmarkStart w:id="1168" w:name="Tc_MyNN4XJFiEGOhVn20OPvBg_3_2"/>
      <w:bookmarkStart w:id="1169" w:name="Tc_1D_O1DJd0kSevkphTN4CUQ_2_8"/>
      <w:bookmarkStart w:id="1170" w:name="Tc_gMiCuxWLz02IG4jVF5ZnKw_2_6"/>
      <w:bookmarkStart w:id="1171" w:name="Tc_QrxisX-1wkm6Q6W7x9cvBw_2_4"/>
      <w:bookmarkStart w:id="1172" w:name="Tc_JJ956ZWcikaPkTpKYrBfeg_2_2"/>
      <w:bookmarkStart w:id="1173" w:name="Tc_TA_iRzlepU2YHKF6XYO6Xw_1_2"/>
      <w:bookmarkStart w:id="1174" w:name="_53f820f6_ec31_4a9b_8a7c_b04b0532c814"/>
      <w:bookmarkStart w:id="1175" w:name="Tc_zLYx9_hFTkW_eK9Comv2mQ_66_0"/>
      <w:bookmarkStart w:id="1176" w:name="Tc_5YAI4kCETkCIt5yUp-Mkww_65_0"/>
      <w:bookmarkStart w:id="1177" w:name="Tc_jLycsiGVv0ClX7p2Ud-ntQ_64_0"/>
      <w:bookmarkStart w:id="1178" w:name="Tc_FeK4zDvzbUeVp70Qil_m4g_63_0"/>
      <w:bookmarkStart w:id="1179" w:name="Tc_UnOnCsfm4U-SRguvuD9Giw_62_0"/>
      <w:bookmarkStart w:id="1180" w:name="Tc_lKm4RhJGYEmnNSF12JoQBw_61_0"/>
      <w:bookmarkStart w:id="1181" w:name="Tc_ubgrv6G6MUSHR1pMlIwx0g_60_0"/>
      <w:bookmarkStart w:id="1182" w:name="Tc_LmlxMgPPbkWfOkmQR2rGyQ_59_0"/>
      <w:bookmarkStart w:id="1183" w:name="Tc_ICBduQ_Ow0aUSrMtycL7MA_57_0"/>
      <w:bookmarkStart w:id="1184" w:name="Tc_zwxXjvBF2EysBJ3-TqrTdg_55_0"/>
      <w:bookmarkStart w:id="1185" w:name="Tc_IlvRkfPPZk2wVpduVBOyCA_54_0"/>
      <w:bookmarkStart w:id="1186" w:name="Tc_k140eYSUWk2adVUq7hynIw_53_8"/>
      <w:bookmarkStart w:id="1187" w:name="Tc_bXjZqX-7qkWq9h3bo1VVgw_53_6"/>
      <w:bookmarkStart w:id="1188" w:name="Tc_NNWyO07m1EiYxNIRCcGuuw_53_2"/>
      <w:bookmarkStart w:id="1189" w:name="Tc_Lnm1LLmla0ulYoPWPft2jA_53_0"/>
      <w:bookmarkStart w:id="1190" w:name="Tc_SHXf_Twfw0GcWScBF6PGZg_52_0"/>
      <w:bookmarkStart w:id="1191" w:name="Tc_LdCQWZ9bkEmmtPIOUKeaVQ_51_8"/>
      <w:bookmarkStart w:id="1192" w:name="Tc_CqVoGpiFI0uzECr_cCqhdA_51_6"/>
      <w:bookmarkStart w:id="1193" w:name="Tc_ju23kS5AikS9fMBZg8PWLA_51_4"/>
      <w:bookmarkStart w:id="1194" w:name="Tc__PrCqfLtaEWkH6F7L4KySw_51_0"/>
      <w:bookmarkStart w:id="1195" w:name="Tc_2mHWy-m-l0-VR4MMF35zzg_50_8"/>
      <w:bookmarkStart w:id="1196" w:name="Tc_EWalLlUJrkCZIBaC_iUacA_50_6"/>
      <w:bookmarkStart w:id="1197" w:name="Tc_1R4l466dvUeR6H9elmda1Q_50_0"/>
      <w:bookmarkStart w:id="1198" w:name="Tc_UKAixakiwEeqJHU81r7PyA_49_0"/>
      <w:bookmarkStart w:id="1199" w:name="Tc_8nOzVu9zAUOoACro8iIqaA_48_0"/>
      <w:bookmarkStart w:id="1200" w:name="Tc_h5xmlYF9uE-JqROVAjfl5Q_47_0"/>
      <w:bookmarkStart w:id="1201" w:name="Tc_k9Yr8WuV10e-NJPGcDQ3JQ_46_0"/>
      <w:bookmarkStart w:id="1202" w:name="Tc_hv8VWz8zNE2b90lTQQDxWA_45_0"/>
      <w:bookmarkStart w:id="1203" w:name="Tc_lypv7qh5xkqUVc8CpfNBtA_44_0"/>
      <w:bookmarkStart w:id="1204" w:name="Tc_rPMmqiT-O0SXECoc5o2tFg_43_0"/>
      <w:bookmarkStart w:id="1205" w:name="Tc_9tJCjjcDjkapqoDWvqELtw_42_0"/>
      <w:bookmarkStart w:id="1206" w:name="Tc_voVVU96-dkiXV6n5Whx8jA_41_0"/>
      <w:bookmarkStart w:id="1207" w:name="Tc_WiAbQQP59kyzijDErjuQsQ_40_0"/>
      <w:bookmarkStart w:id="1208" w:name="Tc_Dcy3awke5EK7FU5mXQQXbA_39_0"/>
      <w:bookmarkStart w:id="1209" w:name="Tc__NS7-6kEuEmHaD32E6Q1gQ_38_0"/>
      <w:bookmarkStart w:id="1210" w:name="Tc_1NF4XYNar0-CG9zNuYrI6w_37_0"/>
      <w:bookmarkStart w:id="1211" w:name="Tc__KZ1d63NB0y1I2NmIni9Ow_36_0"/>
      <w:bookmarkStart w:id="1212" w:name="Tc_xt4RJcZj6EmTRzo1qv6vSg_35_0"/>
      <w:bookmarkStart w:id="1213" w:name="Tc_TuLUrXczA0uVwKg3PidpkQ_34_0"/>
      <w:bookmarkStart w:id="1214" w:name="Tc_Tpt_PWd47EqgzyxtxG_2mw_33_0"/>
      <w:bookmarkStart w:id="1215" w:name="Tc_5D6SVYaLtE2EzJlYx9MmZg_32_0"/>
      <w:bookmarkStart w:id="1216" w:name="Tc_2mL6-8aMj0qQMIhKXnL4nQ_31_0"/>
      <w:bookmarkStart w:id="1217" w:name="Tc_K-mVKOo3AUmXYRVFnakTNw_29_0"/>
      <w:bookmarkStart w:id="1218" w:name="Tc_2OkGSwnbXU-ZFhHPeWgidg_28_0"/>
      <w:bookmarkStart w:id="1219" w:name="Tc_J3IL556piEiZCWmAVWwRug_27_0"/>
      <w:bookmarkStart w:id="1220" w:name="Tc_QXo1Fj6Zzkq4c3DLi3TK9Q_26_0"/>
      <w:bookmarkStart w:id="1221" w:name="Tc_xR-vxdVpj0GaezvoRyHiHw_25_0"/>
      <w:bookmarkStart w:id="1222" w:name="Tc_nvhX-KrzIUWijje_496G3A_24_0"/>
      <w:bookmarkStart w:id="1223" w:name="Tc_9x2stpZBg0qXytc3RLYYkQ_23_0"/>
      <w:bookmarkStart w:id="1224" w:name="Tc_L2lxI0afjEiNtAleclUuVg_22_0"/>
      <w:bookmarkStart w:id="1225" w:name="Tc_rkGNyssO8Uidz-k8phqicw_21_0"/>
      <w:bookmarkStart w:id="1226" w:name="Tc_eot9E5crlUevTTli2oRaKw_20_0"/>
      <w:bookmarkStart w:id="1227" w:name="Tc_LfwnUgnYLEafsaT0OfC8Rg_19_0"/>
      <w:bookmarkStart w:id="1228" w:name="Tc_iOkflwqfKkK90ur7SZ0KFw_18_0"/>
      <w:bookmarkStart w:id="1229" w:name="Tc_5BUtHsgtJkOI_y8IiS924Q_17_0"/>
      <w:bookmarkStart w:id="1230" w:name="Tc_gCz16xw-8keD_Gl8J0WtJQ_16_0"/>
      <w:bookmarkStart w:id="1231" w:name="Tc_BcLIesWf6UicZE7tNo_8XQ_15_0"/>
      <w:bookmarkStart w:id="1232" w:name="Tc_bi7jG5Wur0C7Mqi0oDUUVQ_14_0"/>
      <w:bookmarkStart w:id="1233" w:name="Tc_3_x0L3lFt0CfH-xMWt6-bg_13_0"/>
      <w:bookmarkStart w:id="1234" w:name="Tc_0H16hMISK02IvfDWcJSHog_12_0"/>
      <w:bookmarkStart w:id="1235" w:name="Tc_7QsSVzgZfk-kJp_frOqD-g_11_0"/>
      <w:bookmarkStart w:id="1236" w:name="Tc_I0tCgih58kWdLmJ57uVc3Q_10_0"/>
      <w:bookmarkStart w:id="1237" w:name="Tc_ykl48iXdJk-8ZbQhJVHxPg_9_0"/>
      <w:bookmarkStart w:id="1238" w:name="Tc_2OiJLQAE-kC0X1QJwRHfCQ_8_0"/>
      <w:bookmarkStart w:id="1239" w:name="Tc_bML8qhQb406NVOwmiqxIdw_7_4"/>
      <w:bookmarkStart w:id="1240" w:name="Tc_DF5GfdTOk0qwGBabpAb1gg_7_2"/>
      <w:bookmarkStart w:id="1241" w:name="Tc_IZflwiDgWEyUR-c1_FrUhg_7_0"/>
      <w:bookmarkStart w:id="1242" w:name="Tc_O8-Cx6A2qEOOf9MJ80n99g_6_0"/>
      <w:bookmarkStart w:id="1243" w:name="Tc_Zl90qfWrs0OGiCks8BgmDQ_5_0"/>
      <w:bookmarkStart w:id="1244" w:name="Tc_vLrNg-LWMEurk95CYZFMPw_4_8"/>
      <w:bookmarkStart w:id="1245" w:name="Tc_IeU4fuvPwkSwlsllCSxDrA_3_8"/>
      <w:bookmarkStart w:id="1246" w:name="Tc_dczkX6ttKkiH5yRczLZKJA_3_6"/>
      <w:bookmarkStart w:id="1247" w:name="Tc_Hab53CpRLEmijKv6-LBZ5Q_3_4"/>
      <w:bookmarkStart w:id="1248" w:name="Tc_MyNN4XJFiEGOhVn20OPvBg_3_2"/>
      <w:bookmarkStart w:id="1249" w:name="Tc_1D_O1DJd0kSevkphTN4CUQ_2_8"/>
      <w:bookmarkStart w:id="1250" w:name="Tc_gMiCuxWLz02IG4jVF5ZnKw_2_6"/>
      <w:bookmarkStart w:id="1251" w:name="Tc_QrxisX-1wkm6Q6W7x9cvBw_2_4"/>
      <w:bookmarkStart w:id="1252" w:name="Tc_JJ956ZWcikaPkTpKYrBfeg_2_2"/>
      <w:bookmarkStart w:id="1253" w:name="Tc_TA_iRzlepU2YHKF6XYO6Xw_1_2"/>
      <w:bookmarkStart w:id="1254" w:name="_53f820f6_ec31_4a9b_8a7c_b04b0532c81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p>
    <w:tbl>
      <w:tblPr>
        <w:tblW w:w="10205" w:type="dxa"/>
        <w:jc w:val="left"/>
        <w:tblInd w:w="0" w:type="dxa"/>
        <w:tblCellMar>
          <w:top w:w="0" w:type="dxa"/>
          <w:left w:w="0" w:type="dxa"/>
          <w:bottom w:w="0" w:type="dxa"/>
          <w:right w:w="0" w:type="dxa"/>
        </w:tblCellMar>
      </w:tblPr>
      <w:tblGrid>
        <w:gridCol w:w="5514"/>
        <w:gridCol w:w="326"/>
        <w:gridCol w:w="835"/>
        <w:gridCol w:w="326"/>
        <w:gridCol w:w="835"/>
        <w:gridCol w:w="326"/>
        <w:gridCol w:w="835"/>
        <w:gridCol w:w="326"/>
        <w:gridCol w:w="882"/>
      </w:tblGrid>
      <w:tr>
        <w:trPr/>
        <w:tc>
          <w:tcPr>
            <w:tcW w:w="55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501390" cy="175260"/>
                      <wp:effectExtent l="0" t="0" r="0" b="0"/>
                      <wp:wrapNone/>
                      <wp:docPr id="338" name="Frame337"/>
                      <a:graphic xmlns:a="http://schemas.openxmlformats.org/drawingml/2006/main">
                        <a:graphicData uri="http://schemas.microsoft.com/office/word/2010/wordprocessingShape">
                          <wps:wsp>
                            <wps:cNvSpPr txBox="1"/>
                            <wps:spPr>
                              <a:xfrm>
                                <a:off x="0" y="0"/>
                                <a:ext cx="350139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30225" cy="175260"/>
                      <wp:effectExtent l="0" t="0" r="0" b="0"/>
                      <wp:wrapNone/>
                      <wp:docPr id="340" name="Frame339"/>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1"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30225" cy="175260"/>
                      <wp:effectExtent l="0" t="0" r="0" b="0"/>
                      <wp:wrapNone/>
                      <wp:docPr id="342" name="Frame341"/>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30225" cy="175260"/>
                      <wp:effectExtent l="0" t="0" r="0" b="0"/>
                      <wp:wrapNone/>
                      <wp:docPr id="344" name="Frame343"/>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60070" cy="175260"/>
                      <wp:effectExtent l="0" t="0" r="0" b="0"/>
                      <wp:wrapNone/>
                      <wp:docPr id="346" name="Frame345"/>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436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 ended December 31,</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shd w:fill="auto" w:val="clear"/>
            <w:vAlign w:val="center"/>
          </w:tcPr>
          <w:p>
            <w:pPr>
              <w:pStyle w:val="TableContents"/>
              <w:spacing w:before="0" w:after="0"/>
              <w:ind w:left="0" w:right="0" w:hanging="0"/>
              <w:jc w:val="both"/>
              <w:rPr/>
            </w:pPr>
            <w:r>
              <w:rPr/>
              <w:t>    </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jc w:val="both"/>
              <w:rPr/>
            </w:pPr>
            <w:r>
              <w:rPr/>
              <w:t>​</w:t>
            </w:r>
          </w:p>
        </w:tc>
        <w:tc>
          <w:tcPr>
            <w:tcW w:w="882"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82"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2(q)</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882" w:type="dxa"/>
            <w:tcBorders/>
            <w:shd w:fill="CCEEFF" w:val="clear"/>
            <w:vAlign w:val="center"/>
          </w:tcPr>
          <w:p>
            <w:pPr>
              <w:pStyle w:val="TableContents"/>
              <w:spacing w:before="0" w:after="0"/>
              <w:ind w:left="0" w:right="0" w:hanging="0"/>
              <w:jc w:val="both"/>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income</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12,330,235</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16,976,190</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19,843,290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2,877,007</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income from discontinued operations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(624,864)</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(90,597)</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Adjustments to reconcile net income to net cash provided by operating activities: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3,457,782</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3,275,727</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2,858,209</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414,401</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Fair value change of equity security investments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(720,565)</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(471,880)</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3,104,336</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450,086</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Impairment losses on investments and other intangible assets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58,395</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100,424</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300,249</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43,532</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Share-based compensation cost</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2,663,489</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3,041,492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3,174,160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460,211</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Allowance for expected credit losses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40,600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265,930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61,393</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8,901</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Losses on disposal of property, equipment and software</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6,482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54,052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3,620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525</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Unrealized exchange losses/ (gains)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3,102,492</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488,604</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(1,604,260)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(232,596)</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Gains on disposal of long-term investments, business and subsidiaries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(27,063)</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(186,920)</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(1,791,355)</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(259,722)</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Deferred income taxes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88,179</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407,948</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489,670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70,995</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Share of results on equity method investees and revaluation results from previously held equity interest</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(302,602)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(1,573,068)</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(1,259,941)</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(182,674)</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Fair value changes of short-term investments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(580,732)</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(639,757)</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(342,642)</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(49,678)</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Accounts receivable</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(530,413)</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(1,186,586)</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554,340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80,372</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Inventories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29,699</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(343,587)</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(27,613)</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(4,004)</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Prepayments and other assets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(13,554)</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640,349</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731,100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106,000</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Accounts payable</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(86,352)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(155,262)</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447,666</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64,905</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Salary and welfare payables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528,927</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505,334</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424,513</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61,549</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Taxes payable</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1,126,648</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255,060</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(917,614)</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(133,042)</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Contract liabilities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2,342,916</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1,351,261</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385,396</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55,877</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Accrued liabilities and other payables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1,373,608</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2,121,416</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1,899,580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275,413</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cash provided by operating activities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24,888,171</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24,926,727</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27,709,233</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4,017,461</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Purchase of property, equipment and software</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(1,055,572)</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(1,601,830)</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(2,100,264)</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(304,510)</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Proceeds from sale of property, equipment and software</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17,540</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71,524</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41,467</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6,012</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Purchase of intangible assets, content and licensed copyrights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(2,234,915)</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(1,508,179)</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(543,220)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(78,759)</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change of short-term investments with terms of three months or less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(1,655,930)</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3,694,890</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776,357</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112,561</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Purchase of short-term investments with terms over three months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(19,905,000)</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(15,285,000)</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(5,950,000)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(862,669)</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Proceeds from maturities of short-term investments with terms over three months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24,126,210</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13,235,845</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10,175,160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1,475,260</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Investment in equity method investees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(345,662)</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(1,124,429)</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(705,907)</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(102,347)</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Investment in other equity investments and acquisition of subsidiaries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(2,062,030)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(5,417,138)</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(4,423,773)</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(641,387)</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Proceeds from disposal of long-term investments, businesses and subsidiaries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722,076</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1,115,457</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2,411,070</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349,572</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Placement/rollover of matured time deposits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(91,518,767)</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(81,298,080)</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(98,973,884)</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(14,349,864)</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Proceeds from maturities of time deposits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64,880,317</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81,307,297</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92,247,046</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13,374,564</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Change in other long-term assets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(160,674)</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(268,651)</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(323,779)</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(46,944)</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(29,192,407)</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(7,078,294)</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(7,369,727)</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(1,068,511)</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changes from short-term loans with terms of three months or less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3,723,109</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(442,207)</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(1,274,043)</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(184,719)</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Proceed of loans with terms over three months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1,136,495</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4,447,586</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6,392,695</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926,854</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Payment of loans with terms over three months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(818,539)</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(2,297,135)</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(273,639)</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(39,674)</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Dividends paid to shareholders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(4,280,462)</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(3,508,377)</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(6,723,667)</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(974,840)</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amounts received from/(paid for) NetEase’s issuance of shares in Hong Kong</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21,911,815</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(13,800)</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Repurchase of redeemable noncontrolling interests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(462,650)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amounts received/ (paid) related to capital contribution from or repurchase of noncontrolling interests and redeemable noncontrolling interests shareholders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194,307</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2,870,147</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(30,921)</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(4,483)</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Dividends paid to noncontrolling interest shareholders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(731,250)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Cash paid for repurchase of NetEase’s ADSs/purchase of subsidiaries’ ADSs and shares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(11,490,988)</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(12,910,533)</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(8,328,124)</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(1,207,464)</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Net cash provided by/(used in) financing activities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9,913,087</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(12,585,569)</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(10,237,699)</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(1,484,326)</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Effect of exchange rate changes on cash, cash equivalents and restricted cash held in foreign currencies</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161,894</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(55,354)</w:t>
            </w:r>
          </w:p>
        </w:tc>
        <w:tc>
          <w:tcPr>
            <w:tcW w:w="326" w:type="dxa"/>
            <w:tcBorders/>
            <w:shd w:fill="CCEEFF" w:val="clear"/>
            <w:vAlign w:val="center"/>
          </w:tcPr>
          <w:p>
            <w:pPr>
              <w:pStyle w:val="TableContents"/>
              <w:spacing w:before="0" w:after="0"/>
              <w:ind w:left="0" w:right="0" w:hanging="0"/>
              <w:jc w:val="right"/>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110,403</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16,007</w:t>
            </w:r>
          </w:p>
        </w:tc>
      </w:tr>
      <w:tr>
        <w:trPr/>
        <w:tc>
          <w:tcPr>
            <w:tcW w:w="551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Net increase in cash, cash equivalents and restricted cash</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5,770,745</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5,207,510</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10,212,210</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1,480,631</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Cash, cash equivalents and restricted cash, at the beginning of the year</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6,397,860</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12,168,605</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17,376,115</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2,519,300</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Cash, cash equivalents and restricted cash, at end of the year</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12,168,605</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17,376,115</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27,588,325</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3,999,931</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Supplemental disclosures of cash flow information:</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Cash paid for income taxes, net</w:t>
            </w:r>
          </w:p>
        </w:tc>
        <w:tc>
          <w:tcPr>
            <w:tcW w:w="326" w:type="dxa"/>
            <w:tcBorders/>
            <w:shd w:fill="CCEEFF" w:val="clear"/>
            <w:vAlign w:val="center"/>
          </w:tcPr>
          <w:p>
            <w:pPr>
              <w:pStyle w:val="TableContents"/>
              <w:spacing w:before="0" w:after="0"/>
              <w:ind w:left="0" w:right="0" w:hanging="0"/>
              <w:jc w:val="both"/>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2,046,119</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3,547,299</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5,092,391</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738,327</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Cash paid for interest expenses</w:t>
            </w:r>
          </w:p>
        </w:tc>
        <w:tc>
          <w:tcPr>
            <w:tcW w:w="326" w:type="dxa"/>
            <w:tcBorders/>
            <w:shd w:fill="auto" w:val="clear"/>
            <w:vAlign w:val="center"/>
          </w:tcPr>
          <w:p>
            <w:pPr>
              <w:pStyle w:val="TableContents"/>
              <w:spacing w:before="0" w:after="0"/>
              <w:ind w:left="0" w:right="0" w:hanging="0"/>
              <w:jc w:val="both"/>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246,051</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187,628</w:t>
            </w:r>
          </w:p>
        </w:tc>
        <w:tc>
          <w:tcPr>
            <w:tcW w:w="326" w:type="dxa"/>
            <w:tcBorders/>
            <w:shd w:fill="auto" w:val="clear"/>
            <w:vAlign w:val="center"/>
          </w:tcPr>
          <w:p>
            <w:pPr>
              <w:pStyle w:val="TableContents"/>
              <w:spacing w:before="0" w:after="0"/>
              <w:ind w:left="0" w:right="0" w:hanging="0"/>
              <w:jc w:val="right"/>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588,381</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85,307</w:t>
            </w:r>
          </w:p>
        </w:tc>
      </w:tr>
      <w:tr>
        <w:trPr/>
        <w:tc>
          <w:tcPr>
            <w:tcW w:w="5514"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Supplemental schedule of non-cash investing and financing activities:</w:t>
            </w:r>
          </w:p>
        </w:tc>
        <w:tc>
          <w:tcPr>
            <w:tcW w:w="326" w:type="dxa"/>
            <w:tcBorders/>
            <w:shd w:fill="CCEEFF" w:val="clear"/>
            <w:vAlign w:val="center"/>
          </w:tcPr>
          <w:p>
            <w:pPr>
              <w:pStyle w:val="TableContents"/>
              <w:spacing w:before="0" w:after="0"/>
              <w:ind w:left="0" w:right="0" w:hanging="0"/>
              <w:jc w:val="both"/>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2" w:type="dxa"/>
            <w:tcBorders/>
            <w:shd w:fill="CCEEFF" w:val="clear"/>
            <w:vAlign w:val="center"/>
          </w:tcPr>
          <w:p>
            <w:pPr>
              <w:pStyle w:val="TableContents"/>
              <w:spacing w:before="0" w:after="0"/>
              <w:ind w:left="0" w:right="0" w:hanging="0"/>
              <w:jc w:val="right"/>
              <w:rPr/>
            </w:pPr>
            <w:r>
              <w:rPr/>
              <w:t>​</w:t>
            </w:r>
          </w:p>
        </w:tc>
      </w:tr>
      <w:tr>
        <w:trPr/>
        <w:tc>
          <w:tcPr>
            <w:tcW w:w="5514" w:type="dxa"/>
            <w:tcBorders/>
            <w:shd w:fill="auto" w:val="clear"/>
            <w:vAlign w:val="center"/>
          </w:tcPr>
          <w:p>
            <w:pPr>
              <w:pStyle w:val="TableContents"/>
              <w:pBdr/>
              <w:spacing w:before="0" w:after="0"/>
              <w:ind w:left="0" w:right="0" w:hanging="0"/>
              <w:jc w:val="both"/>
              <w:rPr>
                <w:rFonts w:ascii="Times New Roman;Times;serif" w:hAnsi="Times New Roman;Times;serif"/>
                <w:sz w:val="14"/>
              </w:rPr>
            </w:pPr>
            <w:r>
              <w:rPr>
                <w:rFonts w:ascii="Times New Roman;Times;serif" w:hAnsi="Times New Roman;Times;serif"/>
                <w:sz w:val="14"/>
              </w:rPr>
              <w:t>Fixed asset purchases financed by accounts payable and accrued liabilities</w:t>
            </w:r>
          </w:p>
        </w:tc>
        <w:tc>
          <w:tcPr>
            <w:tcW w:w="326" w:type="dxa"/>
            <w:tcBorders/>
            <w:shd w:fill="auto" w:val="clear"/>
            <w:vAlign w:val="center"/>
          </w:tcPr>
          <w:p>
            <w:pPr>
              <w:pStyle w:val="TableContents"/>
              <w:spacing w:before="0" w:after="0"/>
              <w:ind w:left="0" w:right="0" w:hanging="0"/>
              <w:jc w:val="both"/>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337,333</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698,192</w:t>
            </w:r>
          </w:p>
        </w:tc>
        <w:tc>
          <w:tcPr>
            <w:tcW w:w="326" w:type="dxa"/>
            <w:tcBorders/>
            <w:shd w:fill="auto" w:val="clear"/>
            <w:vAlign w:val="center"/>
          </w:tcPr>
          <w:p>
            <w:pPr>
              <w:pStyle w:val="TableContents"/>
              <w:spacing w:before="0" w:after="0"/>
              <w:ind w:left="0" w:right="0" w:hanging="0"/>
              <w:jc w:val="right"/>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689,093</w:t>
            </w:r>
          </w:p>
        </w:tc>
        <w:tc>
          <w:tcPr>
            <w:tcW w:w="326" w:type="dxa"/>
            <w:tcBorders/>
            <w:shd w:fill="auto" w:val="clear"/>
            <w:vAlign w:val="center"/>
          </w:tcPr>
          <w:p>
            <w:pPr>
              <w:pStyle w:val="TableContents"/>
              <w:spacing w:before="0" w:after="0"/>
              <w:ind w:left="0" w:right="0" w:hanging="0"/>
              <w:jc w:val="right"/>
              <w:rPr/>
            </w:pPr>
            <w:r>
              <w:rPr/>
              <w:t>​</w:t>
            </w:r>
          </w:p>
        </w:tc>
        <w:tc>
          <w:tcPr>
            <w:tcW w:w="882" w:type="dxa"/>
            <w:tcBorders/>
            <w:shd w:fill="auto" w:val="cle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99,909</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1255" w:name="NotestotheConsolidatedFinancialStatement"/>
      <w:bookmarkEnd w:id="1255"/>
      <w:r>
        <w:rPr>
          <w:rFonts w:ascii="Times New Roman;Times;serif" w:hAnsi="Times New Roman;Times;serif"/>
          <w:b/>
          <w:sz w:val="20"/>
        </w:rPr>
        <w:t>Notes to the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(Amounts expressed in Renminbi (“RMB”), unless otherwise stated)</w:t>
      </w:r>
    </w:p>
    <w:p>
      <w:pPr>
        <w:pStyle w:val="Normal"/>
        <w:spacing w:before="0" w:after="0"/>
        <w:rPr>
          <w:sz w:val="4"/>
          <w:szCs w:val="4"/>
        </w:rPr>
      </w:pPr>
      <w:r>
        <w:rPr>
          <w:sz w:val="4"/>
          <w:szCs w:val="4"/>
        </w:rPr>
      </w:r>
      <w:bookmarkStart w:id="1256" w:name="_Hlk127822491"/>
      <w:bookmarkStart w:id="1257" w:name="_Hlk127822491"/>
      <w:bookmarkEnd w:id="1257"/>
    </w:p>
    <w:tbl>
      <w:tblPr>
        <w:tblW w:w="3752" w:type="dxa"/>
        <w:jc w:val="left"/>
        <w:tblInd w:w="0" w:type="dxa"/>
        <w:tblCellMar>
          <w:top w:w="0" w:type="dxa"/>
          <w:left w:w="0" w:type="dxa"/>
          <w:bottom w:w="0" w:type="dxa"/>
          <w:right w:w="0" w:type="dxa"/>
        </w:tblCellMar>
      </w:tblPr>
      <w:tblGrid>
        <w:gridCol w:w="271"/>
        <w:gridCol w:w="3481"/>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w:t>
            </w:r>
          </w:p>
        </w:tc>
        <w:tc>
          <w:tcPr>
            <w:tcW w:w="34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Organization and Nature of Operations</w:t>
            </w:r>
          </w:p>
        </w:tc>
      </w:tr>
    </w:tbl>
    <w:tbl>
      <w:tblPr>
        <w:tblW w:w="1427" w:type="dxa"/>
        <w:jc w:val="left"/>
        <w:tblInd w:w="0" w:type="dxa"/>
        <w:tblCellMar>
          <w:top w:w="0" w:type="dxa"/>
          <w:left w:w="0" w:type="dxa"/>
          <w:bottom w:w="0" w:type="dxa"/>
          <w:right w:w="0" w:type="dxa"/>
        </w:tblCellMar>
      </w:tblPr>
      <w:tblGrid>
        <w:gridCol w:w="346"/>
        <w:gridCol w:w="108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0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The Group</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NetEase.com, Inc. was incorporated in the Cayman Islands on July 6, 1999 and changed its name to “NetEase, Inc.” (“the Company”) with effect from March 29, 2012. The Company completed its initial public offering (“IPO”) in July 2000 in connection with its listing on the Nasdaq National Market (now the Nasdaq Global Select Market) in the United States of America. In June 2020, the Company successfully listed its ordinary shares on the main board of the Hong Kong Stock Exchange with a global offering of 197,202,000 ordinary shares at a price of HK$123.00 per share. Gross proceeds from the global offering, before any underwriting fees and other offering expenses, were approximately HK$24,255.8 million.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The Company is also the primary beneficiary of a number of variable interest entities (“VIEs”) and consolidate the VIEs for financial reporting. The Company, its subsidiaries and the VIEs are hereinafter collectively referred to as the “Group”.</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26, 2019, Youdao, Inc. (“Youdao”), one of the Company’s majority-controlled subsidiaries completed its IPO on the New York Stock Exchange. In February 2021, Youdao completed a follow-on public offering in the New York Stock Exchange. After Youdao’s offerings, the Company continues to control Youdao and consolidates Youdao as its controlling shareholder.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 2021, Cloud Village, Inc. (“Cloud Music”), one of the Company’s majority-controlled subsidiaries completed its IPO on the Hong Kong Stock Exchange. After Cloud Music’s offering, the Company continues to control Cloud Music and consolidates Cloud Music as its controlling shareholder.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major subsidiaries and the VIEs through which the Company conducts its business operations as of December 31, 2022 are described below: </w:t>
      </w:r>
    </w:p>
    <w:p>
      <w:pPr>
        <w:pStyle w:val="TextBody"/>
        <w:spacing w:before="0" w:after="0"/>
        <w:ind w:left="0" w:right="0" w:hanging="0"/>
        <w:jc w:val="both"/>
        <w:rPr/>
      </w:pPr>
      <w:r>
        <w:rPr/>
        <w:t>​</w:t>
      </w:r>
    </w:p>
    <w:tbl>
      <w:tblPr>
        <w:tblW w:w="8683" w:type="dxa"/>
        <w:jc w:val="left"/>
        <w:tblInd w:w="0" w:type="dxa"/>
        <w:tblCellMar>
          <w:top w:w="0" w:type="dxa"/>
          <w:left w:w="0" w:type="dxa"/>
          <w:bottom w:w="0" w:type="dxa"/>
          <w:right w:w="0" w:type="dxa"/>
        </w:tblCellMar>
      </w:tblPr>
      <w:tblGrid>
        <w:gridCol w:w="6211"/>
        <w:gridCol w:w="326"/>
        <w:gridCol w:w="2146"/>
      </w:tblGrid>
      <w:tr>
        <w:trPr/>
        <w:tc>
          <w:tcPr>
            <w:tcW w:w="6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943985" cy="175260"/>
                      <wp:effectExtent l="0" t="0" r="0" b="0"/>
                      <wp:wrapNone/>
                      <wp:docPr id="347" name="Frame346"/>
                      <a:graphic xmlns:a="http://schemas.openxmlformats.org/drawingml/2006/main">
                        <a:graphicData uri="http://schemas.microsoft.com/office/word/2010/wordprocessingShape">
                          <wps:wsp>
                            <wps:cNvSpPr txBox="1"/>
                            <wps:spPr>
                              <a:xfrm>
                                <a:off x="0" y="0"/>
                                <a:ext cx="394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8"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62710" cy="175260"/>
                      <wp:effectExtent l="0" t="0" r="0" b="0"/>
                      <wp:wrapNone/>
                      <wp:docPr id="349" name="Frame348"/>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62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r>
      <w:tr>
        <w:trPr/>
        <w:tc>
          <w:tcPr>
            <w:tcW w:w="62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Major Subsidiaries</w:t>
            </w:r>
          </w:p>
        </w:tc>
        <w:tc>
          <w:tcPr>
            <w:tcW w:w="326" w:type="dxa"/>
            <w:tcBorders/>
            <w:shd w:fill="auto" w:val="clear"/>
            <w:vAlign w:val="center"/>
          </w:tcPr>
          <w:p>
            <w:pPr>
              <w:pStyle w:val="TableContents"/>
              <w:spacing w:before="0" w:after="0"/>
              <w:ind w:left="0" w:right="0" w:hanging="0"/>
              <w:jc w:val="both"/>
              <w:rPr/>
            </w:pPr>
            <w:r>
              <w:rPr/>
              <w:t>​</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r>
      <w:tr>
        <w:trPr/>
        <w:tc>
          <w:tcPr>
            <w:tcW w:w="62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Guangzhou Boguan Telecommunication Technology Co., Ltd. (“Boguan”)</w:t>
            </w:r>
          </w:p>
        </w:tc>
        <w:tc>
          <w:tcPr>
            <w:tcW w:w="326" w:type="dxa"/>
            <w:tcBorders/>
            <w:shd w:fill="CCEEFF" w:val="clear"/>
            <w:vAlign w:val="center"/>
          </w:tcPr>
          <w:p>
            <w:pPr>
              <w:pStyle w:val="TableContents"/>
              <w:spacing w:before="0" w:after="0"/>
              <w:ind w:left="0" w:right="0" w:hanging="0"/>
              <w:jc w:val="both"/>
              <w:rPr/>
            </w:pPr>
            <w:r>
              <w:rPr/>
              <w:t> </w:t>
            </w:r>
          </w:p>
        </w:tc>
        <w:tc>
          <w:tcPr>
            <w:tcW w:w="214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Guangzhou, China 2003</w:t>
            </w:r>
          </w:p>
        </w:tc>
      </w:tr>
      <w:tr>
        <w:trPr/>
        <w:tc>
          <w:tcPr>
            <w:tcW w:w="62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NetEase (Hangzhou) Network Co., Ltd. (“NetEase Hangzhou”)</w:t>
            </w:r>
          </w:p>
        </w:tc>
        <w:tc>
          <w:tcPr>
            <w:tcW w:w="326" w:type="dxa"/>
            <w:tcBorders/>
            <w:shd w:fill="auto" w:val="clear"/>
            <w:vAlign w:val="center"/>
          </w:tcPr>
          <w:p>
            <w:pPr>
              <w:pStyle w:val="TableContents"/>
              <w:spacing w:before="0" w:after="0"/>
              <w:ind w:left="0" w:right="0" w:hanging="0"/>
              <w:jc w:val="both"/>
              <w:rPr/>
            </w:pPr>
            <w:r>
              <w:rPr/>
              <w:t> </w:t>
            </w:r>
          </w:p>
        </w:tc>
        <w:tc>
          <w:tcPr>
            <w:tcW w:w="21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Hangzhou, China 2006</w:t>
            </w:r>
          </w:p>
        </w:tc>
      </w:tr>
      <w:tr>
        <w:trPr/>
        <w:tc>
          <w:tcPr>
            <w:tcW w:w="62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Hong Kong NetEase Interactive Entertainment Limited</w:t>
            </w:r>
          </w:p>
        </w:tc>
        <w:tc>
          <w:tcPr>
            <w:tcW w:w="326" w:type="dxa"/>
            <w:tcBorders/>
            <w:shd w:fill="CCEEFF" w:val="clear"/>
            <w:vAlign w:val="center"/>
          </w:tcPr>
          <w:p>
            <w:pPr>
              <w:pStyle w:val="TableContents"/>
              <w:spacing w:before="0" w:after="0"/>
              <w:ind w:left="0" w:right="0" w:hanging="0"/>
              <w:jc w:val="both"/>
              <w:rPr/>
            </w:pPr>
            <w:r>
              <w:rPr/>
              <w:t>​</w:t>
            </w:r>
          </w:p>
        </w:tc>
        <w:tc>
          <w:tcPr>
            <w:tcW w:w="214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 2007</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7970"/>
        <w:gridCol w:w="326"/>
        <w:gridCol w:w="1909"/>
      </w:tblGrid>
      <w:tr>
        <w:trPr/>
        <w:tc>
          <w:tcPr>
            <w:tcW w:w="7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060950" cy="175260"/>
                      <wp:effectExtent l="0" t="0" r="0" b="0"/>
                      <wp:wrapNone/>
                      <wp:docPr id="350" name="Frame349"/>
                      <a:graphic xmlns:a="http://schemas.openxmlformats.org/drawingml/2006/main">
                        <a:graphicData uri="http://schemas.microsoft.com/office/word/2010/wordprocessingShape">
                          <wps:wsp>
                            <wps:cNvSpPr txBox="1"/>
                            <wps:spPr>
                              <a:xfrm>
                                <a:off x="0" y="0"/>
                                <a:ext cx="506095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1"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9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12215" cy="175260"/>
                      <wp:effectExtent l="0" t="0" r="0" b="0"/>
                      <wp:wrapNone/>
                      <wp:docPr id="352" name="Frame351"/>
                      <a:graphic xmlns:a="http://schemas.openxmlformats.org/drawingml/2006/main">
                        <a:graphicData uri="http://schemas.microsoft.com/office/word/2010/wordprocessingShape">
                          <wps:wsp>
                            <wps:cNvSpPr txBox="1"/>
                            <wps:spPr>
                              <a:xfrm>
                                <a:off x="0" y="0"/>
                                <a:ext cx="121221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7970"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90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r>
      <w:tr>
        <w:trPr/>
        <w:tc>
          <w:tcPr>
            <w:tcW w:w="7970" w:type="dxa"/>
            <w:tcBorders>
              <w:bottom w:val="single" w:sz="2" w:space="0" w:color="000000"/>
            </w:tcBorders>
            <w:shd w:fill="auto" w:val="clear"/>
            <w:tcMar>
              <w:bottom w:w="28" w:type="dxa"/>
            </w:tcMar>
            <w:vAlign w:val="center"/>
          </w:tcPr>
          <w:p>
            <w:pPr>
              <w:pStyle w:val="TableContents"/>
              <w:pBdr/>
              <w:spacing w:before="0" w:after="0"/>
              <w:ind w:left="0" w:right="0" w:hanging="0"/>
              <w:jc w:val="both"/>
              <w:rPr>
                <w:rFonts w:ascii="Times New Roman;Times;serif" w:hAnsi="Times New Roman;Times;serif"/>
                <w:b/>
                <w:sz w:val="16"/>
              </w:rPr>
            </w:pPr>
            <w:r>
              <w:rPr>
                <w:rFonts w:ascii="Times New Roman;Times;serif" w:hAnsi="Times New Roman;Times;serif"/>
                <w:b/>
                <w:sz w:val="16"/>
              </w:rPr>
              <w:t>Major VIEs and VIEs’ subsidiaries</w:t>
            </w:r>
          </w:p>
        </w:tc>
        <w:tc>
          <w:tcPr>
            <w:tcW w:w="326" w:type="dxa"/>
            <w:tcBorders/>
            <w:shd w:fill="auto" w:val="clear"/>
            <w:vAlign w:val="center"/>
          </w:tcPr>
          <w:p>
            <w:pPr>
              <w:pStyle w:val="TableContents"/>
              <w:spacing w:before="0" w:after="0"/>
              <w:ind w:left="0" w:right="0" w:hanging="0"/>
              <w:jc w:val="both"/>
              <w:rPr/>
            </w:pPr>
            <w:r>
              <w:rPr/>
              <w:t>​</w:t>
            </w:r>
          </w:p>
        </w:tc>
        <w:tc>
          <w:tcPr>
            <w:tcW w:w="190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r>
      <w:tr>
        <w:trPr/>
        <w:tc>
          <w:tcPr>
            <w:tcW w:w="7970"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Guangzhou NetEase Computer System Co., Ltd. (“Guangzhou NetEase”)</w:t>
            </w:r>
          </w:p>
        </w:tc>
        <w:tc>
          <w:tcPr>
            <w:tcW w:w="326" w:type="dxa"/>
            <w:tcBorders/>
            <w:shd w:fill="CCEEFF" w:val="clear"/>
            <w:vAlign w:val="center"/>
          </w:tcPr>
          <w:p>
            <w:pPr>
              <w:pStyle w:val="TableContents"/>
              <w:spacing w:before="0" w:after="0"/>
              <w:ind w:left="0" w:right="0" w:hanging="0"/>
              <w:jc w:val="both"/>
              <w:rPr/>
            </w:pPr>
            <w:r>
              <w:rPr/>
              <w:t> </w:t>
            </w:r>
          </w:p>
        </w:tc>
        <w:tc>
          <w:tcPr>
            <w:tcW w:w="190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Guangzhou, China 1997</w:t>
            </w:r>
          </w:p>
        </w:tc>
      </w:tr>
      <w:tr>
        <w:trPr/>
        <w:tc>
          <w:tcPr>
            <w:tcW w:w="7970"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Hangzhou NetEase Leihuo Technology Co., Ltd. (“HZ Leihuo”, formerly known as Hangzhou NetEase Leihuo Network Co., Ltd.)</w:t>
            </w:r>
          </w:p>
        </w:tc>
        <w:tc>
          <w:tcPr>
            <w:tcW w:w="326" w:type="dxa"/>
            <w:tcBorders/>
            <w:shd w:fill="auto" w:val="clear"/>
            <w:vAlign w:val="center"/>
          </w:tcPr>
          <w:p>
            <w:pPr>
              <w:pStyle w:val="TableContents"/>
              <w:spacing w:before="0" w:after="0"/>
              <w:ind w:left="0" w:right="0" w:hanging="0"/>
              <w:jc w:val="both"/>
              <w:rPr/>
            </w:pPr>
            <w:r>
              <w:rPr/>
              <w:t> </w:t>
            </w:r>
          </w:p>
        </w:tc>
        <w:tc>
          <w:tcPr>
            <w:tcW w:w="190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Hangzhou, China 2009</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Guangzhou NetEase was incorporated in June 1997 in China and owned by William Lei Ding, or Mr. Ding, the Company’s Chief Executive Officer, director and major shareholder, and another Chinese employee of the Group. It is responsible for providing online game and other value-added telecommunication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HZ Leihuo was incorporated in April 2009 in China by two Chinese employees of the Group and currently operates the Company’s mobile game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258" w:name="Tc_jPNJ8VtPeUu4tXl3KmFN1A_39_0"/>
      <w:bookmarkStart w:id="1259" w:name="Tc__CwaCnjqtUiKBConqiPVJQ_37_0"/>
      <w:bookmarkStart w:id="1260" w:name="Tc_t8d9E5P_KUixxKAkprtn6Q_36_0"/>
      <w:bookmarkStart w:id="1261" w:name="Tc_ixrWgO1vUUuOvUEYSOoEeA_35_0"/>
      <w:bookmarkStart w:id="1262" w:name="Tc_KF-L-yU_x0K3qzQIDW5zBA_33_0"/>
      <w:bookmarkStart w:id="1263" w:name="Tc_tNfjWXYcokuKcF9sS6YxMA_32_0"/>
      <w:bookmarkStart w:id="1264" w:name="Tc_dVymyDXyc0uKERE7A89mtg_31_0"/>
      <w:bookmarkStart w:id="1265" w:name="Tc_pgbQN2vu_EiGRwZtnj7OMQ_30_0"/>
      <w:bookmarkStart w:id="1266" w:name="Tc_qU5jrmtvWEyaw6XuOQN_7g_29_0"/>
      <w:bookmarkStart w:id="1267" w:name="Tc_8NRTY9f0pUucLrt-AFqfeQ_28_0"/>
      <w:bookmarkStart w:id="1268" w:name="Tc_6EWwDS9XdEuLXHVp4_it3Q_27_0"/>
      <w:bookmarkStart w:id="1269" w:name="Tc_TuDSbDlemEW4qy19YaQM8g_26_0"/>
      <w:bookmarkStart w:id="1270" w:name="Tc_1evDPEBgFEWflapOnAqhRw_25_0"/>
      <w:bookmarkStart w:id="1271" w:name="Tc_iPZKb8SIZ0emNndY-Hvmug_23_0"/>
      <w:bookmarkStart w:id="1272" w:name="Tc_-bZCi30soEu9SY4iuha5tA_21_0"/>
      <w:bookmarkStart w:id="1273" w:name="Tc_7k04sKMzX0msUiOBdw-58A_20_0"/>
      <w:bookmarkStart w:id="1274" w:name="Tc_sJyW-HP07k2IRQAMCUgVMQ_19_0"/>
      <w:bookmarkStart w:id="1275" w:name="Tc_JGNPz7aNgkeDeVsbmOCqvA_18_0"/>
      <w:bookmarkStart w:id="1276" w:name="Tc_IveCoDVDpUaEqfF_AH80uw_17_0"/>
      <w:bookmarkStart w:id="1277" w:name="Tc_6ix6l1lSAEivGR4fcZZocQ_16_0"/>
      <w:bookmarkStart w:id="1278" w:name="Tc_IopkATU0HE2vIvj6W5gqzw_15_0"/>
      <w:bookmarkStart w:id="1279" w:name="Tc_DuZv7rRerUSpD6OAidAi1A_13_0"/>
      <w:bookmarkStart w:id="1280" w:name="Tc_mYjkoRwjv0KFhqPznKaC3g_12_4"/>
      <w:bookmarkStart w:id="1281" w:name="Tc_x1ciH0hom06uR4tXHfTU3g_12_0"/>
      <w:bookmarkStart w:id="1282" w:name="Tc_KLjXE1fSGkuDI5g1zd4x8A_11_0"/>
      <w:bookmarkStart w:id="1283" w:name="Tc_hGTFU6F870ux0X2epTykuw_10_0"/>
      <w:bookmarkStart w:id="1284" w:name="Tc_uLOLd6A4TEi0r7-4DNs65A_9_0"/>
      <w:bookmarkStart w:id="1285" w:name="Tc_dEosWr0fq0WuWb-aaDsaDg_8_0"/>
      <w:bookmarkStart w:id="1286" w:name="Tc_6tRgDz_wKUerndN6EEY_FQ_7_0"/>
      <w:bookmarkStart w:id="1287" w:name="Tc_2L3sQ7t6YEi-_w_qfwtVkQ_6_0"/>
      <w:bookmarkStart w:id="1288" w:name="Tc_62DTVPoy0UGCesa2pUbblQ_5_0"/>
      <w:bookmarkStart w:id="1289" w:name="Tc_1IOxbWNFQk2dm6_S8mJvwA_4_0"/>
      <w:bookmarkStart w:id="1290" w:name="Tc_hCR7qsP9qk238sXdhQppcw_3_4"/>
      <w:bookmarkStart w:id="1291" w:name="Tc_ZMvaUKlfb0aVviFCf_QBgQ_3_2"/>
      <w:bookmarkStart w:id="1292" w:name="Tc_FZJ3DecuoUS0jbwtalk2jw_2_4"/>
      <w:bookmarkStart w:id="1293" w:name="Tc_2dLL_QWg1UO31AmdFnY1gg_2_2"/>
      <w:bookmarkStart w:id="1294" w:name="Tc_mdM_UHYsdUGw9rRMYCJeVw_1_4"/>
      <w:bookmarkStart w:id="1295" w:name="Tc_ROpaks4VVkSaODFMZpBQ5Q_1_2"/>
      <w:bookmarkStart w:id="1296" w:name="_3deab9fe_8821_49a9_bc00_bd859b8be436"/>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rFonts w:ascii="Times New Roman;Times;serif" w:hAnsi="Times New Roman;Times;serif"/>
          <w:sz w:val="20"/>
        </w:rPr>
        <w:t>The following combined financial information of the VIEs was included in the accompanying consolidated financial statements of the Group as follows (in thousands):</w:t>
      </w:r>
    </w:p>
    <w:p>
      <w:pPr>
        <w:pStyle w:val="TextBody"/>
        <w:spacing w:before="0" w:after="0"/>
        <w:ind w:left="0" w:right="0" w:hanging="0"/>
        <w:jc w:val="both"/>
        <w:rPr/>
      </w:pPr>
      <w:r>
        <w:rPr/>
        <w:t>​</w:t>
      </w:r>
    </w:p>
    <w:tbl>
      <w:tblPr>
        <w:tblW w:w="6415" w:type="dxa"/>
        <w:jc w:val="left"/>
        <w:tblInd w:w="0" w:type="dxa"/>
        <w:tblCellMar>
          <w:top w:w="0" w:type="dxa"/>
          <w:left w:w="0" w:type="dxa"/>
          <w:bottom w:w="0" w:type="dxa"/>
          <w:right w:w="0" w:type="dxa"/>
        </w:tblCellMar>
      </w:tblPr>
      <w:tblGrid>
        <w:gridCol w:w="3436"/>
        <w:gridCol w:w="326"/>
        <w:gridCol w:w="1141"/>
        <w:gridCol w:w="326"/>
        <w:gridCol w:w="118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81860" cy="175260"/>
                      <wp:effectExtent l="0" t="0" r="0" b="0"/>
                      <wp:wrapNone/>
                      <wp:docPr id="353" name="Frame352"/>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724535" cy="175260"/>
                      <wp:effectExtent l="0" t="0" r="0" b="0"/>
                      <wp:wrapNone/>
                      <wp:docPr id="355" name="Frame35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753110" cy="175260"/>
                      <wp:effectExtent l="0" t="0" r="0" b="0"/>
                      <wp:wrapNone/>
                      <wp:docPr id="357" name="Frame356"/>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1,541,763</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2,303,280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71,000</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2,846,372</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2,654,971</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3,924,446</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3,542,272</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83,672</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67,572</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Prepayments and other current assets, net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2,522,572</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1,867,110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618,000</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73,984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from Group companies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7,581,649</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9,917,091</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 held for sale</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spacing w:before="0" w:after="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19,189,678</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20,826,280</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equipment and software, net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61,343</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78,666</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58,872</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54,653</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124,738</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155,595</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862,839</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885,372</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385,231</w:t>
            </w:r>
          </w:p>
        </w:tc>
        <w:tc>
          <w:tcPr>
            <w:tcW w:w="326" w:type="dxa"/>
            <w:tcBorders/>
            <w:shd w:fill="CCEEFF" w:val="clear"/>
            <w:vAlign w:val="center"/>
          </w:tcPr>
          <w:p>
            <w:pPr>
              <w:pStyle w:val="TableContents"/>
              <w:spacing w:before="0" w:after="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164,968</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non-current assets</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1,493,502</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1,339,454</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20,683,180</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22,165,734</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Accounts payable </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463,601</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802,717</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Salary and welfare payables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115,707</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155,478</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Taxes payable</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157,137</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41,352</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loans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52,963</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10,751,917</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11,465,101</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 and other payables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2,945,930</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3,809,049</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24,991</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to Group companies</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3,904,328</w:t>
            </w:r>
          </w:p>
        </w:tc>
        <w:tc>
          <w:tcPr>
            <w:tcW w:w="326" w:type="dxa"/>
            <w:tcBorders/>
            <w:shd w:fill="CCEEFF" w:val="clear"/>
            <w:vAlign w:val="center"/>
          </w:tcPr>
          <w:p>
            <w:pPr>
              <w:pStyle w:val="TableContents"/>
              <w:spacing w:before="0" w:after="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3,937,784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18,416,574</w:t>
            </w:r>
          </w:p>
        </w:tc>
        <w:tc>
          <w:tcPr>
            <w:tcW w:w="326" w:type="dxa"/>
            <w:tcBorders/>
            <w:shd w:fill="auto" w:val="clear"/>
            <w:vAlign w:val="center"/>
          </w:tcPr>
          <w:p>
            <w:pPr>
              <w:pStyle w:val="TableContents"/>
              <w:spacing w:before="0" w:after="0"/>
              <w:ind w:left="0" w:right="0" w:hanging="0"/>
              <w:rPr/>
            </w:pPr>
            <w:r>
              <w:rPr/>
              <w:t>​</w:t>
            </w:r>
          </w:p>
        </w:tc>
        <w:tc>
          <w:tcPr>
            <w:tcW w:w="118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20,232,593</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34,077</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34,291</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payable</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257,874</w:t>
            </w:r>
          </w:p>
        </w:tc>
        <w:tc>
          <w:tcPr>
            <w:tcW w:w="326" w:type="dxa"/>
            <w:tcBorders/>
            <w:shd w:fill="CCEEFF" w:val="clear"/>
            <w:vAlign w:val="center"/>
          </w:tcPr>
          <w:p>
            <w:pPr>
              <w:pStyle w:val="TableContents"/>
              <w:spacing w:before="0" w:after="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263,373</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291,951</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297,664</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18,708,525</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20,530,257</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297" w:name="_Hlk127822522"/>
      <w:bookmarkStart w:id="1298" w:name="Tc_8PGrl9YCq0ea_ZdmEGwUAA_17_0"/>
      <w:bookmarkStart w:id="1299" w:name="Tc_LFXjQLigFkSjaEtuTKGRMg_16_2"/>
      <w:bookmarkStart w:id="1300" w:name="Tc_KX-D0Dp3tEuHV5Qz1AWo-w_16_0"/>
      <w:bookmarkStart w:id="1301" w:name="Tc_KCGf_SxtLk6xJVIEzhUBxg_15_0"/>
      <w:bookmarkStart w:id="1302" w:name="Tc_kXD-S_DJCUq4KLai5wC_Qg_14_0"/>
      <w:bookmarkStart w:id="1303" w:name="Tc_WbB7j72ba02odDypIt2hOA_12_0"/>
      <w:bookmarkStart w:id="1304" w:name="Tc_wTn46icG-kmeRLc2hHHaMg_11_0"/>
      <w:bookmarkStart w:id="1305" w:name="Tc_otI10vDI3UyOnKAyfmVn3A_10_0"/>
      <w:bookmarkStart w:id="1306" w:name="Tc_gZgKL_r30kydmaE6lQSCfQ_8_0"/>
      <w:bookmarkStart w:id="1307" w:name="Tc_x4nXDfjgsU6qXwFewi9JTw_7_0"/>
      <w:bookmarkStart w:id="1308" w:name="Tc_lGZWoM_86UuwedCIBB_KPw_6_0"/>
      <w:bookmarkStart w:id="1309" w:name="Tc_nnS6wo6tsUqqFcAk_3zxyA_5_0"/>
      <w:bookmarkStart w:id="1310" w:name="Tc_rWQv6q2K8EK76roBPVKV0g_4_0"/>
      <w:bookmarkStart w:id="1311" w:name="Tc_tjlNGUa6R06OMfHWEnuwsQ_3_6"/>
      <w:bookmarkStart w:id="1312" w:name="Tc_6yk7Z1TpI0iDveEyHElIDw_3_4"/>
      <w:bookmarkStart w:id="1313" w:name="Tc_qTyQ4sJwBUarpmOF3bxnLQ_3_2"/>
      <w:bookmarkStart w:id="1314" w:name="Tc_jv--p9ihL0ytpKide8UbnQ_2_6"/>
      <w:bookmarkStart w:id="1315" w:name="Tc_1aeUIQD0q0C6xcsyppxaRg_2_4"/>
      <w:bookmarkStart w:id="1316" w:name="Tc_AIQ6aDCLDka0ABdI2jvhMQ_2_2"/>
      <w:bookmarkStart w:id="1317" w:name="Tc_s0oi1GYi50a8LvlmPOlyVw_1_2"/>
      <w:bookmarkStart w:id="1318" w:name="_447eeff4_b9ad_46ac_a5aa_9a0f0f38673e"/>
      <w:bookmarkStart w:id="1319" w:name="Tc_sH5e-cuNe0Wwt79bPEnolA_15_0"/>
      <w:bookmarkStart w:id="1320" w:name="Tc_xSpB2uMM_kGWyCpaTJztlw_13_0"/>
      <w:bookmarkStart w:id="1321" w:name="Tc_TQimjz2RUk2q1ZCLFq_Jnw_12_0"/>
      <w:bookmarkStart w:id="1322" w:name="Tc_kOtoSunIsUuSvb4ubRzS1g_11_0"/>
      <w:bookmarkStart w:id="1323" w:name="Tc_PW4VP6FzwU6yVmh94NfiWw_10_0"/>
      <w:bookmarkStart w:id="1324" w:name="Tc_kYRaTmSpQEOXluBoWWGjLA_9_0"/>
      <w:bookmarkStart w:id="1325" w:name="Tc_77z85mmzSUiYzEqNAsotiw_7_0"/>
      <w:bookmarkStart w:id="1326" w:name="Tc_ch7drAFOgU6PMVPZeLKs_g_6_0"/>
      <w:bookmarkStart w:id="1327" w:name="Tc_tt0k_SHPlUCaB9a0mTACfQ_5_0"/>
      <w:bookmarkStart w:id="1328" w:name="Tc_tM0AddZvnkm-Nwt54696rQ_4_0"/>
      <w:bookmarkStart w:id="1329" w:name="Tc_M6p3TayWsECnAIobBGga4A_3_6"/>
      <w:bookmarkStart w:id="1330" w:name="Tc_03rgyDDUUUCovqA9-KYQpA_3_4"/>
      <w:bookmarkStart w:id="1331" w:name="Tc_on0Fpo5Z7E2A_LRweRRCmQ_3_2"/>
      <w:bookmarkStart w:id="1332" w:name="Tc_Lha7FwJyq0Swucv_lgZzZA_2_6"/>
      <w:bookmarkStart w:id="1333" w:name="Tc_8z-Sg81IgUmkur5Lz5uQJQ_2_4"/>
      <w:bookmarkStart w:id="1334" w:name="Tc_jZbNU6m7Xk-PjBqcBmgZKA_2_2"/>
      <w:bookmarkStart w:id="1335" w:name="Tc_YM8QpRjzU0igU-eKox6hDA_1_2"/>
      <w:bookmarkStart w:id="1336" w:name="_0b81c1b2_7ff5_41fc_8653_ad3e5450fd50"/>
      <w:bookmarkStart w:id="1337" w:name="_Hlk127822522"/>
      <w:bookmarkStart w:id="1338" w:name="Tc_8PGrl9YCq0ea_ZdmEGwUAA_17_0"/>
      <w:bookmarkStart w:id="1339" w:name="Tc_LFXjQLigFkSjaEtuTKGRMg_16_2"/>
      <w:bookmarkStart w:id="1340" w:name="Tc_KX-D0Dp3tEuHV5Qz1AWo-w_16_0"/>
      <w:bookmarkStart w:id="1341" w:name="Tc_KCGf_SxtLk6xJVIEzhUBxg_15_0"/>
      <w:bookmarkStart w:id="1342" w:name="Tc_kXD-S_DJCUq4KLai5wC_Qg_14_0"/>
      <w:bookmarkStart w:id="1343" w:name="Tc_WbB7j72ba02odDypIt2hOA_12_0"/>
      <w:bookmarkStart w:id="1344" w:name="Tc_wTn46icG-kmeRLc2hHHaMg_11_0"/>
      <w:bookmarkStart w:id="1345" w:name="Tc_otI10vDI3UyOnKAyfmVn3A_10_0"/>
      <w:bookmarkStart w:id="1346" w:name="Tc_gZgKL_r30kydmaE6lQSCfQ_8_0"/>
      <w:bookmarkStart w:id="1347" w:name="Tc_x4nXDfjgsU6qXwFewi9JTw_7_0"/>
      <w:bookmarkStart w:id="1348" w:name="Tc_lGZWoM_86UuwedCIBB_KPw_6_0"/>
      <w:bookmarkStart w:id="1349" w:name="Tc_nnS6wo6tsUqqFcAk_3zxyA_5_0"/>
      <w:bookmarkStart w:id="1350" w:name="Tc_rWQv6q2K8EK76roBPVKV0g_4_0"/>
      <w:bookmarkStart w:id="1351" w:name="Tc_tjlNGUa6R06OMfHWEnuwsQ_3_6"/>
      <w:bookmarkStart w:id="1352" w:name="Tc_6yk7Z1TpI0iDveEyHElIDw_3_4"/>
      <w:bookmarkStart w:id="1353" w:name="Tc_qTyQ4sJwBUarpmOF3bxnLQ_3_2"/>
      <w:bookmarkStart w:id="1354" w:name="Tc_jv--p9ihL0ytpKide8UbnQ_2_6"/>
      <w:bookmarkStart w:id="1355" w:name="Tc_1aeUIQD0q0C6xcsyppxaRg_2_4"/>
      <w:bookmarkStart w:id="1356" w:name="Tc_AIQ6aDCLDka0ABdI2jvhMQ_2_2"/>
      <w:bookmarkStart w:id="1357" w:name="Tc_s0oi1GYi50a8LvlmPOlyVw_1_2"/>
      <w:bookmarkStart w:id="1358" w:name="_447eeff4_b9ad_46ac_a5aa_9a0f0f38673e"/>
      <w:bookmarkStart w:id="1359" w:name="Tc_sH5e-cuNe0Wwt79bPEnolA_15_0"/>
      <w:bookmarkStart w:id="1360" w:name="Tc_xSpB2uMM_kGWyCpaTJztlw_13_0"/>
      <w:bookmarkStart w:id="1361" w:name="Tc_TQimjz2RUk2q1ZCLFq_Jnw_12_0"/>
      <w:bookmarkStart w:id="1362" w:name="Tc_kOtoSunIsUuSvb4ubRzS1g_11_0"/>
      <w:bookmarkStart w:id="1363" w:name="Tc_PW4VP6FzwU6yVmh94NfiWw_10_0"/>
      <w:bookmarkStart w:id="1364" w:name="Tc_kYRaTmSpQEOXluBoWWGjLA_9_0"/>
      <w:bookmarkStart w:id="1365" w:name="Tc_77z85mmzSUiYzEqNAsotiw_7_0"/>
      <w:bookmarkStart w:id="1366" w:name="Tc_ch7drAFOgU6PMVPZeLKs_g_6_0"/>
      <w:bookmarkStart w:id="1367" w:name="Tc_tt0k_SHPlUCaB9a0mTACfQ_5_0"/>
      <w:bookmarkStart w:id="1368" w:name="Tc_tM0AddZvnkm-Nwt54696rQ_4_0"/>
      <w:bookmarkStart w:id="1369" w:name="Tc_M6p3TayWsECnAIobBGga4A_3_6"/>
      <w:bookmarkStart w:id="1370" w:name="Tc_03rgyDDUUUCovqA9-KYQpA_3_4"/>
      <w:bookmarkStart w:id="1371" w:name="Tc_on0Fpo5Z7E2A_LRweRRCmQ_3_2"/>
      <w:bookmarkStart w:id="1372" w:name="Tc_Lha7FwJyq0Swucv_lgZzZA_2_6"/>
      <w:bookmarkStart w:id="1373" w:name="Tc_8z-Sg81IgUmkur5Lz5uQJQ_2_4"/>
      <w:bookmarkStart w:id="1374" w:name="Tc_jZbNU6m7Xk-PjBqcBmgZKA_2_2"/>
      <w:bookmarkStart w:id="1375" w:name="Tc_YM8QpRjzU0igU-eKox6hDA_1_2"/>
      <w:bookmarkStart w:id="1376" w:name="_0b81c1b2_7ff5_41fc_8653_ad3e5450fd50"/>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tbl>
      <w:tblPr>
        <w:tblW w:w="10205" w:type="dxa"/>
        <w:jc w:val="left"/>
        <w:tblInd w:w="0" w:type="dxa"/>
        <w:tblCellMar>
          <w:top w:w="0" w:type="dxa"/>
          <w:left w:w="0" w:type="dxa"/>
          <w:bottom w:w="0" w:type="dxa"/>
          <w:right w:w="0" w:type="dxa"/>
        </w:tblCellMar>
      </w:tblPr>
      <w:tblGrid>
        <w:gridCol w:w="5779"/>
        <w:gridCol w:w="326"/>
        <w:gridCol w:w="1134"/>
        <w:gridCol w:w="326"/>
        <w:gridCol w:w="1134"/>
        <w:gridCol w:w="326"/>
        <w:gridCol w:w="1180"/>
      </w:tblGrid>
      <w:tr>
        <w:trPr/>
        <w:tc>
          <w:tcPr>
            <w:tcW w:w="5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669665" cy="175260"/>
                      <wp:effectExtent l="0" t="0" r="0" b="0"/>
                      <wp:wrapNone/>
                      <wp:docPr id="358" name="Frame357"/>
                      <a:graphic xmlns:a="http://schemas.openxmlformats.org/drawingml/2006/main">
                        <a:graphicData uri="http://schemas.microsoft.com/office/word/2010/wordprocessingShape">
                          <wps:wsp>
                            <wps:cNvSpPr txBox="1"/>
                            <wps:spPr>
                              <a:xfrm>
                                <a:off x="0" y="0"/>
                                <a:ext cx="3669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9" name="Frame3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20090" cy="175260"/>
                      <wp:effectExtent l="0" t="0" r="0" b="0"/>
                      <wp:wrapNone/>
                      <wp:docPr id="360" name="Frame359"/>
                      <a:graphic xmlns:a="http://schemas.openxmlformats.org/drawingml/2006/main">
                        <a:graphicData uri="http://schemas.microsoft.com/office/word/2010/wordprocessingShape">
                          <wps:wsp>
                            <wps:cNvSpPr txBox="1"/>
                            <wps:spPr>
                              <a:xfrm>
                                <a:off x="0" y="0"/>
                                <a:ext cx="720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20090" cy="175260"/>
                      <wp:effectExtent l="0" t="0" r="0" b="0"/>
                      <wp:wrapNone/>
                      <wp:docPr id="362" name="Frame361"/>
                      <a:graphic xmlns:a="http://schemas.openxmlformats.org/drawingml/2006/main">
                        <a:graphicData uri="http://schemas.microsoft.com/office/word/2010/wordprocessingShape">
                          <wps:wsp>
                            <wps:cNvSpPr txBox="1"/>
                            <wps:spPr>
                              <a:xfrm>
                                <a:off x="0" y="0"/>
                                <a:ext cx="720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3" name="Frame3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49300" cy="175260"/>
                      <wp:effectExtent l="0" t="0" r="0" b="0"/>
                      <wp:wrapNone/>
                      <wp:docPr id="364" name="Frame363"/>
                      <a:graphic xmlns:a="http://schemas.openxmlformats.org/drawingml/2006/main">
                        <a:graphicData uri="http://schemas.microsoft.com/office/word/2010/wordprocessingShape">
                          <wps:wsp>
                            <wps:cNvSpPr txBox="1"/>
                            <wps:spPr>
                              <a:xfrm>
                                <a:off x="0" y="0"/>
                                <a:ext cx="749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8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8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 </w:t>
            </w:r>
          </w:p>
        </w:tc>
        <w:tc>
          <w:tcPr>
            <w:tcW w:w="113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13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180" w:type="dxa"/>
            <w:tcBorders/>
            <w:shd w:fill="CCEEFF" w:val="clear"/>
            <w:vAlign w:val="center"/>
          </w:tcPr>
          <w:p>
            <w:pPr>
              <w:pStyle w:val="TableContents"/>
              <w:spacing w:before="0" w:after="0"/>
              <w:ind w:left="0" w:right="0" w:hanging="0"/>
              <w:rPr/>
            </w:pPr>
            <w:r>
              <w:rPr/>
              <w:t>​</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Third-party revenues</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61,470,764</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74,406,521</w:t>
            </w:r>
          </w:p>
        </w:tc>
        <w:tc>
          <w:tcPr>
            <w:tcW w:w="326" w:type="dxa"/>
            <w:tcBorders/>
            <w:shd w:fill="auto" w:val="clear"/>
            <w:vAlign w:val="center"/>
          </w:tcPr>
          <w:p>
            <w:pPr>
              <w:pStyle w:val="TableContents"/>
              <w:spacing w:before="0" w:after="0"/>
              <w:ind w:left="0" w:right="0" w:hanging="0"/>
              <w:rPr/>
            </w:pPr>
            <w:r>
              <w:rPr/>
              <w:t>​</w:t>
            </w:r>
          </w:p>
        </w:tc>
        <w:tc>
          <w:tcPr>
            <w:tcW w:w="11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82,549,444</w:t>
            </w:r>
          </w:p>
        </w:tc>
      </w:tr>
      <w:tr>
        <w:trPr/>
        <w:tc>
          <w:tcPr>
            <w:tcW w:w="57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Intra-Group revenues</w:t>
            </w:r>
          </w:p>
        </w:tc>
        <w:tc>
          <w:tcPr>
            <w:tcW w:w="326" w:type="dxa"/>
            <w:tcBorders/>
            <w:shd w:fill="CCEEFF" w:val="clear"/>
            <w:vAlign w:val="center"/>
          </w:tcPr>
          <w:p>
            <w:pPr>
              <w:pStyle w:val="TableContents"/>
              <w:spacing w:before="0" w:after="0"/>
              <w:ind w:left="0" w:right="0" w:hanging="0"/>
              <w:rPr/>
            </w:pPr>
            <w:r>
              <w:rPr/>
              <w:t>​</w:t>
            </w:r>
          </w:p>
        </w:tc>
        <w:tc>
          <w:tcPr>
            <w:tcW w:w="11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720,398</w:t>
            </w:r>
          </w:p>
        </w:tc>
        <w:tc>
          <w:tcPr>
            <w:tcW w:w="326" w:type="dxa"/>
            <w:tcBorders/>
            <w:shd w:fill="CCEEFF" w:val="clear"/>
            <w:vAlign w:val="center"/>
          </w:tcPr>
          <w:p>
            <w:pPr>
              <w:pStyle w:val="TableContents"/>
              <w:spacing w:before="0" w:after="0"/>
              <w:ind w:left="0" w:right="0" w:hanging="0"/>
              <w:rPr/>
            </w:pPr>
            <w:r>
              <w:rPr/>
              <w:t>​</w:t>
            </w:r>
          </w:p>
        </w:tc>
        <w:tc>
          <w:tcPr>
            <w:tcW w:w="11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808,648</w:t>
            </w:r>
          </w:p>
        </w:tc>
        <w:tc>
          <w:tcPr>
            <w:tcW w:w="326" w:type="dxa"/>
            <w:tcBorders/>
            <w:shd w:fill="CCEEFF" w:val="clear"/>
            <w:vAlign w:val="center"/>
          </w:tcPr>
          <w:p>
            <w:pPr>
              <w:pStyle w:val="TableContents"/>
              <w:spacing w:before="0" w:after="0"/>
              <w:ind w:left="0" w:right="0" w:hanging="0"/>
              <w:rPr/>
            </w:pPr>
            <w:r>
              <w:rPr/>
              <w:t>​</w:t>
            </w:r>
          </w:p>
        </w:tc>
        <w:tc>
          <w:tcPr>
            <w:tcW w:w="11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817,962</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revenues</w:t>
            </w:r>
          </w:p>
        </w:tc>
        <w:tc>
          <w:tcPr>
            <w:tcW w:w="326" w:type="dxa"/>
            <w:tcBorders/>
            <w:shd w:fill="auto" w:val="clear"/>
            <w:vAlign w:val="center"/>
          </w:tcPr>
          <w:p>
            <w:pPr>
              <w:pStyle w:val="TableContents"/>
              <w:spacing w:before="0" w:after="0"/>
              <w:ind w:left="0" w:right="0" w:hanging="0"/>
              <w:rPr/>
            </w:pPr>
            <w:r>
              <w:rPr/>
              <w:t>​</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62,191,162</w:t>
            </w:r>
          </w:p>
        </w:tc>
        <w:tc>
          <w:tcPr>
            <w:tcW w:w="326" w:type="dxa"/>
            <w:tcBorders/>
            <w:shd w:fill="auto" w:val="clear"/>
            <w:vAlign w:val="center"/>
          </w:tcPr>
          <w:p>
            <w:pPr>
              <w:pStyle w:val="TableContents"/>
              <w:spacing w:before="0" w:after="0"/>
              <w:ind w:left="0" w:right="0" w:hanging="0"/>
              <w:rPr/>
            </w:pPr>
            <w:r>
              <w:rPr/>
              <w:t>​</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75,215,169</w:t>
            </w:r>
          </w:p>
        </w:tc>
        <w:tc>
          <w:tcPr>
            <w:tcW w:w="326" w:type="dxa"/>
            <w:tcBorders/>
            <w:shd w:fill="auto" w:val="clear"/>
            <w:vAlign w:val="center"/>
          </w:tcPr>
          <w:p>
            <w:pPr>
              <w:pStyle w:val="TableContents"/>
              <w:spacing w:before="0" w:after="0"/>
              <w:ind w:left="0" w:right="0" w:hanging="0"/>
              <w:rPr/>
            </w:pPr>
            <w:r>
              <w:rPr/>
              <w:t>​</w:t>
            </w:r>
          </w:p>
        </w:tc>
        <w:tc>
          <w:tcPr>
            <w:tcW w:w="11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83,367,406</w:t>
            </w:r>
          </w:p>
        </w:tc>
      </w:tr>
      <w:tr>
        <w:trPr/>
        <w:tc>
          <w:tcPr>
            <w:tcW w:w="577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0" w:type="dxa"/>
            <w:tcBorders/>
            <w:shd w:fill="CCEEFF" w:val="clear"/>
            <w:vAlign w:val="center"/>
          </w:tcPr>
          <w:p>
            <w:pPr>
              <w:pStyle w:val="TableContents"/>
              <w:spacing w:before="0" w:after="0"/>
              <w:ind w:left="0" w:right="0" w:hanging="0"/>
              <w:jc w:val="right"/>
              <w:rPr/>
            </w:pPr>
            <w:r>
              <w:rPr/>
              <w:t>​</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0" w:type="dxa"/>
            <w:tcBorders/>
            <w:shd w:fill="auto" w:val="clear"/>
            <w:vAlign w:val="center"/>
          </w:tcPr>
          <w:p>
            <w:pPr>
              <w:pStyle w:val="TableContents"/>
              <w:spacing w:before="0" w:after="0"/>
              <w:ind w:left="0" w:right="0" w:hanging="0"/>
              <w:jc w:val="right"/>
              <w:rPr/>
            </w:pPr>
            <w:r>
              <w:rPr/>
              <w:t>​</w:t>
            </w:r>
          </w:p>
        </w:tc>
      </w:tr>
      <w:tr>
        <w:trPr/>
        <w:tc>
          <w:tcPr>
            <w:tcW w:w="57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Third-party cost of revenues and operating expenses</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(15,430,950)</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(17,651,675)</w:t>
            </w:r>
          </w:p>
        </w:tc>
        <w:tc>
          <w:tcPr>
            <w:tcW w:w="326" w:type="dxa"/>
            <w:tcBorders/>
            <w:shd w:fill="CCEEFF" w:val="clear"/>
            <w:vAlign w:val="center"/>
          </w:tcPr>
          <w:p>
            <w:pPr>
              <w:pStyle w:val="TableContents"/>
              <w:spacing w:before="0" w:after="0"/>
              <w:ind w:left="0" w:right="0" w:hanging="0"/>
              <w:rPr/>
            </w:pPr>
            <w:r>
              <w:rPr/>
              <w:t>​</w:t>
            </w:r>
          </w:p>
        </w:tc>
        <w:tc>
          <w:tcPr>
            <w:tcW w:w="11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(18,358,287)</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Intra-Group cost of revenues and operating expenses related to technical consulting and related service</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(45,835,734)</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(56,822,482)</w:t>
            </w:r>
          </w:p>
        </w:tc>
        <w:tc>
          <w:tcPr>
            <w:tcW w:w="326" w:type="dxa"/>
            <w:tcBorders/>
            <w:shd w:fill="auto" w:val="clear"/>
            <w:vAlign w:val="center"/>
          </w:tcPr>
          <w:p>
            <w:pPr>
              <w:pStyle w:val="TableContents"/>
              <w:spacing w:before="0" w:after="0"/>
              <w:ind w:left="0" w:right="0" w:hanging="0"/>
              <w:rPr/>
            </w:pPr>
            <w:r>
              <w:rPr/>
              <w:t>​</w:t>
            </w:r>
          </w:p>
        </w:tc>
        <w:tc>
          <w:tcPr>
            <w:tcW w:w="11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(64,777,586)</w:t>
            </w:r>
          </w:p>
        </w:tc>
      </w:tr>
      <w:tr>
        <w:trPr/>
        <w:tc>
          <w:tcPr>
            <w:tcW w:w="57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intra-Group cost of revenues and operating expenses</w:t>
            </w:r>
          </w:p>
        </w:tc>
        <w:tc>
          <w:tcPr>
            <w:tcW w:w="326" w:type="dxa"/>
            <w:tcBorders/>
            <w:shd w:fill="CCEEFF" w:val="clear"/>
            <w:vAlign w:val="center"/>
          </w:tcPr>
          <w:p>
            <w:pPr>
              <w:pStyle w:val="TableContents"/>
              <w:spacing w:before="0" w:after="0"/>
              <w:ind w:left="0" w:right="0" w:hanging="0"/>
              <w:rPr/>
            </w:pPr>
            <w:r>
              <w:rPr/>
              <w:t>​</w:t>
            </w:r>
          </w:p>
        </w:tc>
        <w:tc>
          <w:tcPr>
            <w:tcW w:w="11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(217,463)</w:t>
            </w:r>
          </w:p>
        </w:tc>
        <w:tc>
          <w:tcPr>
            <w:tcW w:w="326" w:type="dxa"/>
            <w:tcBorders/>
            <w:shd w:fill="CCEEFF" w:val="clear"/>
            <w:vAlign w:val="center"/>
          </w:tcPr>
          <w:p>
            <w:pPr>
              <w:pStyle w:val="TableContents"/>
              <w:spacing w:before="0" w:after="0"/>
              <w:ind w:left="0" w:right="0" w:hanging="0"/>
              <w:rPr/>
            </w:pPr>
            <w:r>
              <w:rPr/>
              <w:t>​</w:t>
            </w:r>
          </w:p>
        </w:tc>
        <w:tc>
          <w:tcPr>
            <w:tcW w:w="11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(168,850)</w:t>
            </w:r>
          </w:p>
        </w:tc>
        <w:tc>
          <w:tcPr>
            <w:tcW w:w="326" w:type="dxa"/>
            <w:tcBorders/>
            <w:shd w:fill="CCEEFF" w:val="clear"/>
            <w:vAlign w:val="center"/>
          </w:tcPr>
          <w:p>
            <w:pPr>
              <w:pStyle w:val="TableContents"/>
              <w:spacing w:before="0" w:after="0"/>
              <w:ind w:left="0" w:right="0" w:hanging="0"/>
              <w:rPr/>
            </w:pPr>
            <w:r>
              <w:rPr/>
              <w:t>​</w:t>
            </w:r>
          </w:p>
        </w:tc>
        <w:tc>
          <w:tcPr>
            <w:tcW w:w="11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(185,608)</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 and operating expenses</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(61,484,147)</w:t>
            </w:r>
          </w:p>
        </w:tc>
        <w:tc>
          <w:tcPr>
            <w:tcW w:w="32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(74,643,007)</w:t>
            </w:r>
          </w:p>
        </w:tc>
        <w:tc>
          <w:tcPr>
            <w:tcW w:w="326" w:type="dxa"/>
            <w:tcBorders/>
            <w:shd w:fill="auto" w:val="clear"/>
            <w:vAlign w:val="center"/>
          </w:tcPr>
          <w:p>
            <w:pPr>
              <w:pStyle w:val="TableContents"/>
              <w:spacing w:before="0" w:after="0"/>
              <w:ind w:left="0" w:right="0" w:hanging="0"/>
              <w:rPr/>
            </w:pPr>
            <w:r>
              <w:rPr/>
              <w:t>​</w:t>
            </w:r>
          </w:p>
        </w:tc>
        <w:tc>
          <w:tcPr>
            <w:tcW w:w="1180"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(83,321,481)</w:t>
            </w:r>
          </w:p>
        </w:tc>
      </w:tr>
      <w:tr>
        <w:trPr/>
        <w:tc>
          <w:tcPr>
            <w:tcW w:w="577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0" w:type="dxa"/>
            <w:tcBorders/>
            <w:shd w:fill="CCEEFF" w:val="clear"/>
            <w:vAlign w:val="center"/>
          </w:tcPr>
          <w:p>
            <w:pPr>
              <w:pStyle w:val="TableContents"/>
              <w:spacing w:before="0" w:after="0"/>
              <w:ind w:left="0" w:right="0" w:hanging="0"/>
              <w:jc w:val="right"/>
              <w:rPr/>
            </w:pPr>
            <w:r>
              <w:rPr/>
              <w:t>​</w:t>
            </w:r>
          </w:p>
        </w:tc>
      </w:tr>
      <w:tr>
        <w:trPr/>
        <w:tc>
          <w:tcPr>
            <w:tcW w:w="57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 </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712,015</w:t>
            </w:r>
          </w:p>
        </w:tc>
        <w:tc>
          <w:tcPr>
            <w:tcW w:w="326" w:type="dxa"/>
            <w:tcBorders/>
            <w:shd w:fill="auto" w:val="clear"/>
            <w:vAlign w:val="center"/>
          </w:tcPr>
          <w:p>
            <w:pPr>
              <w:pStyle w:val="TableContents"/>
              <w:spacing w:before="0" w:after="0"/>
              <w:ind w:left="0" w:right="0" w:hanging="0"/>
              <w:rPr/>
            </w:pPr>
            <w:r>
              <w:rPr/>
              <w:t> </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624,299</w:t>
            </w:r>
          </w:p>
        </w:tc>
        <w:tc>
          <w:tcPr>
            <w:tcW w:w="326" w:type="dxa"/>
            <w:tcBorders/>
            <w:shd w:fill="auto" w:val="clear"/>
            <w:vAlign w:val="center"/>
          </w:tcPr>
          <w:p>
            <w:pPr>
              <w:pStyle w:val="TableContents"/>
              <w:spacing w:before="0" w:after="0"/>
              <w:ind w:left="0" w:right="0" w:hanging="0"/>
              <w:rPr/>
            </w:pPr>
            <w:r>
              <w:rPr/>
              <w:t> </w:t>
            </w:r>
          </w:p>
        </w:tc>
        <w:tc>
          <w:tcPr>
            <w:tcW w:w="1180"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(81,329)</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5785"/>
        <w:gridCol w:w="326"/>
        <w:gridCol w:w="1132"/>
        <w:gridCol w:w="326"/>
        <w:gridCol w:w="1132"/>
        <w:gridCol w:w="326"/>
        <w:gridCol w:w="1178"/>
      </w:tblGrid>
      <w:tr>
        <w:trPr/>
        <w:tc>
          <w:tcPr>
            <w:tcW w:w="5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673475" cy="175260"/>
                      <wp:effectExtent l="0" t="0" r="0" b="0"/>
                      <wp:wrapNone/>
                      <wp:docPr id="365" name="Frame364"/>
                      <a:graphic xmlns:a="http://schemas.openxmlformats.org/drawingml/2006/main">
                        <a:graphicData uri="http://schemas.microsoft.com/office/word/2010/wordprocessingShape">
                          <wps:wsp>
                            <wps:cNvSpPr txBox="1"/>
                            <wps:spPr>
                              <a:xfrm>
                                <a:off x="0" y="0"/>
                                <a:ext cx="3673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18820" cy="175260"/>
                      <wp:effectExtent l="0" t="0" r="0" b="0"/>
                      <wp:wrapNone/>
                      <wp:docPr id="367" name="Frame366"/>
                      <a:graphic xmlns:a="http://schemas.openxmlformats.org/drawingml/2006/main">
                        <a:graphicData uri="http://schemas.microsoft.com/office/word/2010/wordprocessingShape">
                          <wps:wsp>
                            <wps:cNvSpPr txBox="1"/>
                            <wps:spPr>
                              <a:xfrm>
                                <a:off x="0" y="0"/>
                                <a:ext cx="718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18820" cy="175260"/>
                      <wp:effectExtent l="0" t="0" r="0" b="0"/>
                      <wp:wrapNone/>
                      <wp:docPr id="369" name="Frame368"/>
                      <a:graphic xmlns:a="http://schemas.openxmlformats.org/drawingml/2006/main">
                        <a:graphicData uri="http://schemas.microsoft.com/office/word/2010/wordprocessingShape">
                          <wps:wsp>
                            <wps:cNvSpPr txBox="1"/>
                            <wps:spPr>
                              <a:xfrm>
                                <a:off x="0" y="0"/>
                                <a:ext cx="718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748030" cy="175260"/>
                      <wp:effectExtent l="0" t="0" r="0" b="0"/>
                      <wp:wrapNone/>
                      <wp:docPr id="371" name="Frame370"/>
                      <a:graphic xmlns:a="http://schemas.openxmlformats.org/drawingml/2006/main">
                        <a:graphicData uri="http://schemas.microsoft.com/office/word/2010/wordprocessingShape">
                          <wps:wsp>
                            <wps:cNvSpPr txBox="1"/>
                            <wps:spPr>
                              <a:xfrm>
                                <a:off x="0" y="0"/>
                                <a:ext cx="748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9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7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7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78" w:type="dxa"/>
            <w:tcBorders/>
            <w:shd w:fill="CCEEFF" w:val="clear"/>
            <w:vAlign w:val="center"/>
          </w:tcPr>
          <w:p>
            <w:pPr>
              <w:pStyle w:val="TableContents"/>
              <w:spacing w:before="0" w:after="0"/>
              <w:ind w:left="0" w:right="0" w:hanging="0"/>
              <w:jc w:val="center"/>
              <w:rPr/>
            </w:pPr>
            <w:r>
              <w:rPr/>
              <w:t>​</w:t>
            </w:r>
          </w:p>
        </w:tc>
      </w:tr>
      <w:tr>
        <w:trPr/>
        <w:tc>
          <w:tcPr>
            <w:tcW w:w="5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transactions with third-parties</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51,605,737</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61,272,031</w:t>
            </w:r>
          </w:p>
        </w:tc>
        <w:tc>
          <w:tcPr>
            <w:tcW w:w="326" w:type="dxa"/>
            <w:tcBorders/>
            <w:shd w:fill="auto" w:val="clear"/>
            <w:vAlign w:val="center"/>
          </w:tcPr>
          <w:p>
            <w:pPr>
              <w:pStyle w:val="TableContents"/>
              <w:spacing w:before="0" w:after="0"/>
              <w:ind w:left="0" w:right="0" w:hanging="0"/>
              <w:rPr/>
            </w:pPr>
            <w:r>
              <w:rPr/>
              <w:t>​</w:t>
            </w:r>
          </w:p>
        </w:tc>
        <w:tc>
          <w:tcPr>
            <w:tcW w:w="11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67,459,864</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transactions with intra-Group companies related to technical consulting and related service</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(49,435,342)</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(59,439,552)</w:t>
            </w:r>
          </w:p>
        </w:tc>
        <w:tc>
          <w:tcPr>
            <w:tcW w:w="326" w:type="dxa"/>
            <w:tcBorders/>
            <w:shd w:fill="CCEEFF" w:val="clear"/>
            <w:vAlign w:val="center"/>
          </w:tcPr>
          <w:p>
            <w:pPr>
              <w:pStyle w:val="TableContents"/>
              <w:spacing w:before="0" w:after="0"/>
              <w:ind w:left="0" w:right="0" w:hanging="0"/>
              <w:rPr/>
            </w:pPr>
            <w:r>
              <w:rPr/>
              <w:t>​</w:t>
            </w:r>
          </w:p>
        </w:tc>
        <w:tc>
          <w:tcPr>
            <w:tcW w:w="11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(66,970,818)</w:t>
            </w:r>
          </w:p>
        </w:tc>
      </w:tr>
      <w:tr>
        <w:trPr/>
        <w:tc>
          <w:tcPr>
            <w:tcW w:w="5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other transactions with intra-Group companies</w:t>
            </w:r>
          </w:p>
        </w:tc>
        <w:tc>
          <w:tcPr>
            <w:tcW w:w="326" w:type="dxa"/>
            <w:tcBorders/>
            <w:shd w:fill="auto" w:val="clear"/>
            <w:vAlign w:val="center"/>
          </w:tcPr>
          <w:p>
            <w:pPr>
              <w:pStyle w:val="TableContents"/>
              <w:spacing w:before="0" w:after="0"/>
              <w:ind w:left="0" w:right="0" w:hanging="0"/>
              <w:rPr/>
            </w:pPr>
            <w:r>
              <w:rPr/>
              <w:t>​</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(498,938)</w:t>
            </w:r>
          </w:p>
        </w:tc>
        <w:tc>
          <w:tcPr>
            <w:tcW w:w="326" w:type="dxa"/>
            <w:tcBorders/>
            <w:shd w:fill="auto" w:val="clear"/>
            <w:vAlign w:val="center"/>
          </w:tcPr>
          <w:p>
            <w:pPr>
              <w:pStyle w:val="TableContents"/>
              <w:spacing w:before="0" w:after="0"/>
              <w:ind w:left="0" w:right="0" w:hanging="0"/>
              <w:rPr/>
            </w:pPr>
            <w:r>
              <w:rPr/>
              <w:t>​</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(283,621)</w:t>
            </w:r>
          </w:p>
        </w:tc>
        <w:tc>
          <w:tcPr>
            <w:tcW w:w="326" w:type="dxa"/>
            <w:tcBorders/>
            <w:shd w:fill="auto" w:val="clear"/>
            <w:vAlign w:val="center"/>
          </w:tcPr>
          <w:p>
            <w:pPr>
              <w:pStyle w:val="TableContents"/>
              <w:spacing w:before="0" w:after="0"/>
              <w:ind w:left="0" w:right="0" w:hanging="0"/>
              <w:rPr/>
            </w:pPr>
            <w:r>
              <w:rPr/>
              <w:t>​</w:t>
            </w:r>
          </w:p>
        </w:tc>
        <w:tc>
          <w:tcPr>
            <w:tcW w:w="11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299,452</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1,671,457</w:t>
            </w:r>
          </w:p>
        </w:tc>
        <w:tc>
          <w:tcPr>
            <w:tcW w:w="326"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1,548,858</w:t>
            </w:r>
          </w:p>
        </w:tc>
        <w:tc>
          <w:tcPr>
            <w:tcW w:w="326" w:type="dxa"/>
            <w:tcBorders/>
            <w:shd w:fill="CCEEFF" w:val="clear"/>
            <w:vAlign w:val="center"/>
          </w:tcPr>
          <w:p>
            <w:pPr>
              <w:pStyle w:val="TableContents"/>
              <w:spacing w:before="0" w:after="0"/>
              <w:ind w:left="0" w:right="0" w:hanging="0"/>
              <w:rPr/>
            </w:pPr>
            <w:r>
              <w:rPr/>
              <w:t> </w:t>
            </w:r>
          </w:p>
        </w:tc>
        <w:tc>
          <w:tcPr>
            <w:tcW w:w="117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788,498</w:t>
            </w:r>
          </w:p>
        </w:tc>
      </w:tr>
      <w:tr>
        <w:trPr/>
        <w:tc>
          <w:tcPr>
            <w:tcW w:w="57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78" w:type="dxa"/>
            <w:tcBorders/>
            <w:shd w:fill="auto" w:val="clear"/>
            <w:vAlign w:val="center"/>
          </w:tcPr>
          <w:p>
            <w:pPr>
              <w:pStyle w:val="TableContents"/>
              <w:spacing w:before="0" w:after="0"/>
              <w:ind w:left="0" w:right="0" w:hanging="0"/>
              <w:jc w:val="right"/>
              <w:rPr/>
            </w:pPr>
            <w:r>
              <w:rPr/>
              <w:t>​</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78" w:type="dxa"/>
            <w:tcBorders/>
            <w:shd w:fill="CCEEFF" w:val="clear"/>
            <w:vAlign w:val="center"/>
          </w:tcPr>
          <w:p>
            <w:pPr>
              <w:pStyle w:val="TableContents"/>
              <w:spacing w:before="0" w:after="0"/>
              <w:ind w:left="0" w:right="0" w:hanging="0"/>
              <w:jc w:val="right"/>
              <w:rPr/>
            </w:pPr>
            <w:r>
              <w:rPr/>
              <w:t>​</w:t>
            </w:r>
          </w:p>
        </w:tc>
      </w:tr>
      <w:tr>
        <w:trPr/>
        <w:tc>
          <w:tcPr>
            <w:tcW w:w="5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transactions with third-parties</w:t>
            </w:r>
          </w:p>
        </w:tc>
        <w:tc>
          <w:tcPr>
            <w:tcW w:w="326" w:type="dxa"/>
            <w:tcBorders/>
            <w:shd w:fill="auto" w:val="clear"/>
            <w:vAlign w:val="center"/>
          </w:tcPr>
          <w:p>
            <w:pPr>
              <w:pStyle w:val="TableContents"/>
              <w:spacing w:before="0" w:after="0"/>
              <w:ind w:left="0" w:right="0" w:hanging="0"/>
              <w:rPr/>
            </w:pPr>
            <w:r>
              <w:rPr/>
              <w:t>​</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(263,766)</w:t>
            </w:r>
          </w:p>
        </w:tc>
        <w:tc>
          <w:tcPr>
            <w:tcW w:w="326" w:type="dxa"/>
            <w:tcBorders/>
            <w:shd w:fill="auto" w:val="clear"/>
            <w:vAlign w:val="center"/>
          </w:tcPr>
          <w:p>
            <w:pPr>
              <w:pStyle w:val="TableContents"/>
              <w:spacing w:before="0" w:after="0"/>
              <w:ind w:left="0" w:right="0" w:hanging="0"/>
              <w:rPr/>
            </w:pPr>
            <w:r>
              <w:rPr/>
              <w:t>​</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(39,430)</w:t>
            </w:r>
          </w:p>
        </w:tc>
        <w:tc>
          <w:tcPr>
            <w:tcW w:w="326" w:type="dxa"/>
            <w:tcBorders/>
            <w:shd w:fill="auto" w:val="clear"/>
            <w:vAlign w:val="center"/>
          </w:tcPr>
          <w:p>
            <w:pPr>
              <w:pStyle w:val="TableContents"/>
              <w:spacing w:before="0" w:after="0"/>
              <w:ind w:left="0" w:right="0" w:hanging="0"/>
              <w:rPr/>
            </w:pPr>
            <w:r>
              <w:rPr/>
              <w:t>​</w:t>
            </w:r>
          </w:p>
        </w:tc>
        <w:tc>
          <w:tcPr>
            <w:tcW w:w="11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(71,832)</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(263,766)</w:t>
            </w:r>
          </w:p>
        </w:tc>
        <w:tc>
          <w:tcPr>
            <w:tcW w:w="326"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(39,430)</w:t>
            </w:r>
          </w:p>
        </w:tc>
        <w:tc>
          <w:tcPr>
            <w:tcW w:w="326" w:type="dxa"/>
            <w:tcBorders/>
            <w:shd w:fill="CCEEFF" w:val="clear"/>
            <w:vAlign w:val="center"/>
          </w:tcPr>
          <w:p>
            <w:pPr>
              <w:pStyle w:val="TableContents"/>
              <w:spacing w:before="0" w:after="0"/>
              <w:ind w:left="0" w:right="0" w:hanging="0"/>
              <w:rPr/>
            </w:pPr>
            <w:r>
              <w:rPr/>
              <w:t> </w:t>
            </w:r>
          </w:p>
        </w:tc>
        <w:tc>
          <w:tcPr>
            <w:tcW w:w="117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(71,832)</w:t>
            </w:r>
          </w:p>
        </w:tc>
      </w:tr>
      <w:tr>
        <w:trPr/>
        <w:tc>
          <w:tcPr>
            <w:tcW w:w="57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78" w:type="dxa"/>
            <w:tcBorders/>
            <w:shd w:fill="auto" w:val="clear"/>
            <w:vAlign w:val="center"/>
          </w:tcPr>
          <w:p>
            <w:pPr>
              <w:pStyle w:val="TableContents"/>
              <w:spacing w:before="0" w:after="0"/>
              <w:ind w:left="0" w:right="0" w:hanging="0"/>
              <w:jc w:val="right"/>
              <w:rPr/>
            </w:pPr>
            <w:r>
              <w:rPr/>
              <w:t>​</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78" w:type="dxa"/>
            <w:tcBorders/>
            <w:shd w:fill="CCEEFF" w:val="clear"/>
            <w:vAlign w:val="center"/>
          </w:tcPr>
          <w:p>
            <w:pPr>
              <w:pStyle w:val="TableContents"/>
              <w:spacing w:before="0" w:after="0"/>
              <w:ind w:left="0" w:right="0" w:hanging="0"/>
              <w:jc w:val="right"/>
              <w:rPr/>
            </w:pPr>
            <w:r>
              <w:rPr/>
              <w:t>​</w:t>
            </w:r>
          </w:p>
        </w:tc>
      </w:tr>
      <w:tr>
        <w:trPr/>
        <w:tc>
          <w:tcPr>
            <w:tcW w:w="5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by/(used in) transactions with intra-Group companies</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273,889</w:t>
            </w:r>
          </w:p>
        </w:tc>
        <w:tc>
          <w:tcPr>
            <w:tcW w:w="326"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(622,809)</w:t>
            </w:r>
          </w:p>
        </w:tc>
        <w:tc>
          <w:tcPr>
            <w:tcW w:w="326" w:type="dxa"/>
            <w:tcBorders/>
            <w:shd w:fill="auto" w:val="clear"/>
            <w:vAlign w:val="center"/>
          </w:tcPr>
          <w:p>
            <w:pPr>
              <w:pStyle w:val="TableContents"/>
              <w:spacing w:before="0" w:after="0"/>
              <w:ind w:left="0" w:right="0" w:hanging="0"/>
              <w:rPr/>
            </w:pPr>
            <w:r>
              <w:rPr/>
              <w:t>​</w:t>
            </w:r>
          </w:p>
        </w:tc>
        <w:tc>
          <w:tcPr>
            <w:tcW w:w="11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(105,448)</w:t>
            </w:r>
          </w:p>
        </w:tc>
      </w:tr>
      <w:tr>
        <w:trPr/>
        <w:tc>
          <w:tcPr>
            <w:tcW w:w="57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transactions with third-parties</w:t>
            </w:r>
          </w:p>
        </w:tc>
        <w:tc>
          <w:tcPr>
            <w:tcW w:w="326" w:type="dxa"/>
            <w:tcBorders/>
            <w:shd w:fill="CCEEFF" w:val="clear"/>
            <w:vAlign w:val="center"/>
          </w:tcPr>
          <w:p>
            <w:pPr>
              <w:pStyle w:val="TableContents"/>
              <w:spacing w:before="0" w:after="0"/>
              <w:ind w:left="0" w:right="0" w:hanging="0"/>
              <w:rPr/>
            </w:pPr>
            <w:r>
              <w:rPr/>
              <w:t>​</w:t>
            </w:r>
          </w:p>
        </w:tc>
        <w:tc>
          <w:tcPr>
            <w:tcW w:w="113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(678,287)</w:t>
            </w:r>
          </w:p>
        </w:tc>
        <w:tc>
          <w:tcPr>
            <w:tcW w:w="326" w:type="dxa"/>
            <w:tcBorders/>
            <w:shd w:fill="CCEEFF" w:val="clear"/>
            <w:vAlign w:val="center"/>
          </w:tcPr>
          <w:p>
            <w:pPr>
              <w:pStyle w:val="TableContents"/>
              <w:spacing w:before="0" w:after="0"/>
              <w:ind w:left="0" w:right="0" w:hanging="0"/>
              <w:rPr/>
            </w:pPr>
            <w:r>
              <w:rPr/>
              <w:t>​</w:t>
            </w:r>
          </w:p>
        </w:tc>
        <w:tc>
          <w:tcPr>
            <w:tcW w:w="11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(52,541)</w:t>
            </w:r>
          </w:p>
        </w:tc>
      </w:tr>
      <w:tr>
        <w:trPr/>
        <w:tc>
          <w:tcPr>
            <w:tcW w:w="5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shd w:fill="auto" w:val="clear"/>
            <w:vAlign w:val="center"/>
          </w:tcPr>
          <w:p>
            <w:pPr>
              <w:pStyle w:val="TableContents"/>
              <w:spacing w:before="0" w:after="0"/>
              <w:ind w:left="0" w:right="0" w:hanging="0"/>
              <w:rPr/>
            </w:pPr>
            <w:r>
              <w:rPr/>
              <w:t> </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273,889</w:t>
            </w:r>
          </w:p>
        </w:tc>
        <w:tc>
          <w:tcPr>
            <w:tcW w:w="326" w:type="dxa"/>
            <w:tcBorders/>
            <w:shd w:fill="auto" w:val="clear"/>
            <w:vAlign w:val="center"/>
          </w:tcPr>
          <w:p>
            <w:pPr>
              <w:pStyle w:val="TableContents"/>
              <w:spacing w:before="0" w:after="0"/>
              <w:ind w:left="0" w:right="0" w:hanging="0"/>
              <w:rPr/>
            </w:pPr>
            <w:r>
              <w:rPr/>
              <w:t> </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(1,301,096)</w:t>
            </w:r>
          </w:p>
        </w:tc>
        <w:tc>
          <w:tcPr>
            <w:tcW w:w="326" w:type="dxa"/>
            <w:tcBorders/>
            <w:shd w:fill="auto" w:val="clear"/>
            <w:vAlign w:val="center"/>
          </w:tcPr>
          <w:p>
            <w:pPr>
              <w:pStyle w:val="TableContents"/>
              <w:spacing w:before="0" w:after="0"/>
              <w:ind w:left="0" w:right="0" w:hanging="0"/>
              <w:rPr/>
            </w:pPr>
            <w:r>
              <w:rPr/>
              <w:t> </w:t>
            </w:r>
          </w:p>
        </w:tc>
        <w:tc>
          <w:tcPr>
            <w:tcW w:w="117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(157,989)</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RMB519.7 million and RMB659.7 million, respectively, as of December 31, 2021 and 2022, as well as certain non-distributable statutory reserves amounting to approximately RMB70.1 million and RMB82.4 million, respectively, as of December 31, 2021 and 2022. As the respective VIEs are incorporated as limited liability companies under the PRC Company Law, creditors do not have recourse to the general credit of the Company for the liabilities of the respective VIEs.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there are certain contractual arrangements between the Company and several of VIEs which require the Company to provide additional financial support or guarantees to the VIEs, where necessary. Please see Note 1(b) for additional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entity in the Company’s group for which the Company has a variable interest but is not the primary beneficiary as of December 31, 2021 and 2022.</w:t>
      </w:r>
    </w:p>
    <w:tbl>
      <w:tblPr>
        <w:tblW w:w="2282" w:type="dxa"/>
        <w:jc w:val="left"/>
        <w:tblInd w:w="0" w:type="dxa"/>
        <w:tblCellMar>
          <w:top w:w="0" w:type="dxa"/>
          <w:left w:w="0" w:type="dxa"/>
          <w:bottom w:w="0" w:type="dxa"/>
          <w:right w:w="0" w:type="dxa"/>
        </w:tblCellMar>
      </w:tblPr>
      <w:tblGrid>
        <w:gridCol w:w="346"/>
        <w:gridCol w:w="193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9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sz w:val="20"/>
              </w:rPr>
              <w:t>Nature of operations</w:t>
            </w:r>
            <w:r>
              <w:rPr>
                <w:rFonts w:ascii="Times New Roman;Times;serif" w:hAnsi="Times New Roman;Times;serif"/>
                <w:sz w:val="20"/>
              </w:rPr>
              <w:t xml:space="preserve"> </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generates revenues mainly from providing online game services, tutoring services, sales of smart devices, online music services, live streaming services, advertising services, e-commerce and other fee-based premium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industry in which the Group operates is subject to a number of industry-specific risk factors, including, but not limited to, rapidly changing technologies; government regulations of the Internet, online game, online education, online music, live streaming and e-commerce industry in China; numbers of new entrants; dependence on key individuals; competition of similar services from larger companies; customer preferences; and the need for the continued successful development, marketing and selling of its services.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VIE arrangements with major VIEs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conducts its business mainly in China. The Chinese government regulates Internet access, telecommunications services, the distribution of various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the major VIEs with respect to the operation of the NetEase websites, operation of in-house developed and licensed PC and mobile games, Internet content and wireless value-added services, as well as the provision of advertising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agreements with these VIEs, certain of the Company’s subsidiaries provided technical consulting and related services to these VIEs. The principal agreements that transfer economic benefits of Guangzhou NetEase and HZ Leihuo to the Company and its subsidiaries are: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Cooperative agreements with Guangzhou NetEase - </w:t>
            </w:r>
            <w:r>
              <w:rPr>
                <w:rFonts w:ascii="Times New Roman;Times;serif" w:hAnsi="Times New Roman;Times;serif"/>
                <w:b w:val="false"/>
                <w:i w:val="false"/>
                <w:caps w:val="false"/>
                <w:smallCaps w:val="false"/>
                <w:sz w:val="20"/>
              </w:rPr>
              <w:t>under these agreements, certain of the Company’s subsidiaries, including Boguan and NetEase Hangzhou provide various technical consulting and related services to Guangzhou NetEase in exchange for substantially all of Guangzhou NetEase’s net profits.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Cooperative agreements with HZ Leihuo -</w:t>
            </w:r>
            <w:r>
              <w:rPr>
                <w:caps w:val="false"/>
                <w:smallCaps w:val="false"/>
              </w:rPr>
              <w:t xml:space="preserve"> </w:t>
            </w:r>
            <w:r>
              <w:rPr>
                <w:rFonts w:ascii="Times New Roman;Times;serif" w:hAnsi="Times New Roman;Times;serif"/>
                <w:b w:val="false"/>
                <w:i w:val="false"/>
                <w:caps w:val="false"/>
                <w:smallCaps w:val="false"/>
                <w:sz w:val="20"/>
              </w:rPr>
              <w:t>under these agreements, certain of the Company’s subsidiaries, including NetEase Hangzhou provide various technical consulting and related services to HZ Leihuo in exchange for substantially all of HZ Leihuo’s net profits.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Each cooperative agreement will remain in effect indefinitely unless any one of the contract parties terminates such agreement by written notice or otherwise required by law.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Each VIE, the relevant subsidiary of the Company and the relevant VIE shareholders have entered into a series of agreements that provide the Company with the power to direct the activities that most significantly impact the economic performance of the VIEs and provide the Company with economic benefits of these VIEs and as such the Company is the primary beneficiary and consolidate the VIEs for financial reporting. The principal agreements that provide the Company and its subsidiaries with such power and economic benefits over Guangzhou NetEase are: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Shareholder Voting Rights Trust Agreement among the VIE shareholders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was 10 years</w:t>
            </w:r>
            <w:r>
              <w:rPr>
                <w:caps w:val="false"/>
                <w:smallCaps w:val="false"/>
              </w:rPr>
              <w:t xml:space="preserve"> </w:t>
            </w:r>
            <w:r>
              <w:rPr>
                <w:rFonts w:ascii="Times New Roman;Times;serif" w:hAnsi="Times New Roman;Times;serif"/>
                <w:b w:val="false"/>
                <w:i w:val="false"/>
                <w:caps w:val="false"/>
                <w:smallCaps w:val="false"/>
                <w:sz w:val="20"/>
              </w:rPr>
              <w:t>from May 12, 2000, which was extended on June 10, 2011 with a term of 20 years</w:t>
            </w:r>
            <w:r>
              <w:rPr>
                <w:caps w:val="false"/>
                <w:smallCaps w:val="false"/>
              </w:rPr>
              <w:t xml:space="preserve"> </w:t>
            </w:r>
            <w:r>
              <w:rPr>
                <w:rFonts w:ascii="Times New Roman;Times;serif" w:hAnsi="Times New Roman;Times;serif"/>
                <w:b w:val="false"/>
                <w:i w:val="false"/>
                <w:caps w:val="false"/>
                <w:smallCaps w:val="false"/>
                <w:sz w:val="20"/>
              </w:rPr>
              <w:t>from May 12, 2010.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w:t>
            </w:r>
            <w:r>
              <w:rPr>
                <w:caps w:val="false"/>
                <w:smallCaps w:val="false"/>
              </w:rPr>
              <w:t xml:space="preserve"> </w:t>
            </w:r>
            <w:r>
              <w:rPr>
                <w:rFonts w:ascii="Times New Roman;Times;serif" w:hAnsi="Times New Roman;Times;serif"/>
                <w:b w:val="false"/>
                <w:i w:val="false"/>
                <w:caps w:val="false"/>
                <w:smallCaps w:val="false"/>
                <w:sz w:val="20"/>
              </w:rPr>
              <w:t>from May 12, 2010.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agreements that provide the Company and its subsidiaries with such power and economic benefits over HZ Leihuo are: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Operating Agreement among NetEase Hangzhou, HZ Leihuo and the VIE shareholders of Hangzhou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w:t>
            </w:r>
            <w:r>
              <w:rPr>
                <w:caps w:val="false"/>
                <w:smallCaps w:val="false"/>
              </w:rPr>
              <w:t xml:space="preserve"> </w:t>
            </w:r>
            <w:r>
              <w:rPr>
                <w:rFonts w:ascii="Times New Roman;Times;serif" w:hAnsi="Times New Roman;Times;serif"/>
                <w:b w:val="false"/>
                <w:i w:val="false"/>
                <w:caps w:val="false"/>
                <w:smallCaps w:val="false"/>
                <w:sz w:val="20"/>
              </w:rPr>
              <w:t>from December 1, 2015 and can be extended with the written consent of NetEase Hangzhou.</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Voting Rights Trust Agreement among NetEase Hangzhou and the VIE shareholders of HZ Leihuo. Under these agreements, each dated December 1, 2015, each of the VIE shareholders of HZ Leihuo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Purchase Option Agreements among NetEase Hangzhou, HZ Leihuo and the VIE shareholders of HZ Leihuo. Under the Exclusive Purchase Option Agreements, each dated December 1, 2015, each of the VIE shareholders has granted NetEase Hangzhou an option to purchase all or a portion of his equity interest in HZ Leihuo at a price equal to the original and any additional paid-in capital paid by the VIE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agreements amongst the other VIEs, the relevant subsidiaries and VIE shareholders that provide the Company with the power to direct the activities that most significantly impact the economic performance of the VIEs and provide the Company with economic benefits of these VIEs contains substantially the same terms as those aforementioned agreements related to HZ Leihuo, except that contract expiry date varies.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the VIEs is remote.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Risks related to the VIE arrangements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its contractual arrangements with the VIEs are in compliance with PRC law and are legally enforceable. Mr. Ding, who is the major shareholder of Guangzhou NetEase and certain of the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the Group’s business and operating licenses;</w:t>
            </w:r>
          </w:p>
        </w:tc>
      </w:tr>
    </w:tbl>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discontinue or restrict operations;</w:t>
            </w:r>
          </w:p>
        </w:tc>
      </w:tr>
    </w:tbl>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the Group’s right to collect revenues;</w:t>
            </w:r>
          </w:p>
        </w:tc>
      </w:tr>
    </w:tbl>
    <w:tbl>
      <w:tblPr>
        <w:tblW w:w="2781" w:type="dxa"/>
        <w:jc w:val="left"/>
        <w:tblInd w:w="0" w:type="dxa"/>
        <w:tblCellMar>
          <w:top w:w="28" w:type="dxa"/>
          <w:left w:w="28" w:type="dxa"/>
          <w:bottom w:w="28" w:type="dxa"/>
          <w:right w:w="28" w:type="dxa"/>
        </w:tblCellMar>
      </w:tblPr>
      <w:tblGrid>
        <w:gridCol w:w="124"/>
        <w:gridCol w:w="256"/>
        <w:gridCol w:w="2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the Group’s websites;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restructure the operations in such a way as to compel the Group to establish a new enterprise, re-apply for the necessary licenses or relocate the Group’s businesses, staff and assets;</w:t>
            </w:r>
          </w:p>
        </w:tc>
      </w:tr>
    </w:tbl>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additional conditions or requirements with which the Group may not be able to comply; or</w:t>
            </w:r>
          </w:p>
        </w:tc>
      </w:tr>
    </w:tbl>
    <w:tbl>
      <w:tblPr>
        <w:tblW w:w="9366" w:type="dxa"/>
        <w:jc w:val="left"/>
        <w:tblInd w:w="0" w:type="dxa"/>
        <w:tblCellMar>
          <w:top w:w="28" w:type="dxa"/>
          <w:left w:w="28" w:type="dxa"/>
          <w:bottom w:w="28" w:type="dxa"/>
          <w:right w:w="28" w:type="dxa"/>
        </w:tblCellMar>
      </w:tblPr>
      <w:tblGrid>
        <w:gridCol w:w="124"/>
        <w:gridCol w:w="25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other regulatory or enforcement actions against the Group that could be harmful to the Group’s business.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 The Company believes the possibility that it will no longer be able to consolidate the VIEs as a result of the aforementioned risks and uncertainties is remote.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927" w:type="dxa"/>
        <w:jc w:val="left"/>
        <w:tblInd w:w="0" w:type="dxa"/>
        <w:tblCellMar>
          <w:top w:w="0" w:type="dxa"/>
          <w:left w:w="0" w:type="dxa"/>
          <w:bottom w:w="0" w:type="dxa"/>
          <w:right w:w="0" w:type="dxa"/>
        </w:tblCellMar>
      </w:tblPr>
      <w:tblGrid>
        <w:gridCol w:w="271"/>
        <w:gridCol w:w="265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w:t>
            </w:r>
          </w:p>
        </w:tc>
        <w:tc>
          <w:tcPr>
            <w:tcW w:w="265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Principal Accounting Policies</w:t>
            </w:r>
          </w:p>
        </w:tc>
      </w:tr>
    </w:tbl>
    <w:tbl>
      <w:tblPr>
        <w:tblW w:w="2342" w:type="dxa"/>
        <w:jc w:val="left"/>
        <w:tblInd w:w="0" w:type="dxa"/>
        <w:tblCellMar>
          <w:top w:w="0" w:type="dxa"/>
          <w:left w:w="0" w:type="dxa"/>
          <w:bottom w:w="0" w:type="dxa"/>
          <w:right w:w="0" w:type="dxa"/>
        </w:tblCellMar>
      </w:tblPr>
      <w:tblGrid>
        <w:gridCol w:w="346"/>
        <w:gridCol w:w="199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9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Basis of consolidation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the VIEs for which the Company is the primary beneficiary with the ownership interests of minority shareholders reported as noncontrolling interests. All significant transactions and balances among the Company, its subsidiaries and the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tbl>
      <w:tblPr>
        <w:tblW w:w="2252" w:type="dxa"/>
        <w:jc w:val="left"/>
        <w:tblInd w:w="0" w:type="dxa"/>
        <w:tblCellMar>
          <w:top w:w="0" w:type="dxa"/>
          <w:left w:w="0" w:type="dxa"/>
          <w:bottom w:w="0" w:type="dxa"/>
          <w:right w:w="0" w:type="dxa"/>
        </w:tblCellMar>
      </w:tblPr>
      <w:tblGrid>
        <w:gridCol w:w="346"/>
        <w:gridCol w:w="190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9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Basis of presentation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from October 1, 2020, the Company changed its ADS to ordinary share ratio from the one ADS for every twenty-five ordinary shares to one ADS for every five ordinary shares. Therefore, the number of ADS and the computations of per ADS data as disclosed elsewhere in these consolidated financial statements have been retrospectively restated.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revenues for in-game virtual items over the estimated average playing period of paying players and impairment of long-term investments.</w:t>
      </w:r>
    </w:p>
    <w:tbl>
      <w:tblPr>
        <w:tblW w:w="2222" w:type="dxa"/>
        <w:jc w:val="left"/>
        <w:tblInd w:w="0" w:type="dxa"/>
        <w:tblCellMar>
          <w:top w:w="0" w:type="dxa"/>
          <w:left w:w="0" w:type="dxa"/>
          <w:bottom w:w="0" w:type="dxa"/>
          <w:right w:w="0" w:type="dxa"/>
        </w:tblCellMar>
      </w:tblPr>
      <w:tblGrid>
        <w:gridCol w:w="331"/>
        <w:gridCol w:w="1891"/>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18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revenues are mainly generated from online game services, tutoring services, sale of smart devices, online music services live streaming services, advertising services, e-commerce and other fee-based premium services. Refer to “Note 28 - Segment Information” for disaggregation of revenue.</w:t>
      </w:r>
    </w:p>
    <w:tbl>
      <w:tblPr>
        <w:tblW w:w="2177" w:type="dxa"/>
        <w:jc w:val="left"/>
        <w:tblInd w:w="0" w:type="dxa"/>
        <w:tblCellMar>
          <w:top w:w="0" w:type="dxa"/>
          <w:left w:w="0" w:type="dxa"/>
          <w:bottom w:w="0" w:type="dxa"/>
          <w:right w:w="0" w:type="dxa"/>
        </w:tblCellMar>
      </w:tblPr>
      <w:tblGrid>
        <w:gridCol w:w="301"/>
        <w:gridCol w:w="1876"/>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18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game services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operates mobile games and PC games. The Group is the principal of substantially all games it operates, including both in-house developed games and licensed games. As these games are hosted on the Group’s servers, the Group has the pricing discretion, and is responsible for the sale and marketing of the games as well as customer services. Fees paid to game developers, distribution channels (app stores) and payment channels are recorded as cost of revenues.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Mobile games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considers the average period that players typically play the games and other game player behavior patterns, as well as various other factors to arrive at the best estimates for the estimated average playing period of the paying players for each game based on historical players’ churn rates. If a new game is launched and only a limited period of paying player data is available, then the Group considers other qualitative factors.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PC games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sells prepaid points to the end users. Customers can purchase “virtual” prepaid points online or from the vendors who register the points in the Group’s system via debit and credit cards or bank transfers via the online payment services platforms, and receive the prepaid point information over the Internet. Customers can use the points to play the Group’s PC games, pay for in-game items and use other fee-based premium services. Proceeds received from the sales of prepaid online points to players are recorded as contract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earns revenue through providing PC game services to players mainly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the times used. Players are allowed to use permanent life in-game items without any use or time limits. Revenues from the sales of permanent life in-game items are recognized ratably over the estimated average playing period of the paying players.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considers the average period that players typically play the games and other game player behavior patterns, as well as various other factors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average playing period of the paying players are applied prospectively as such changes are resulted from new information indicating a change in the game player behavior patterns.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377" w:name="_Hlk127822634"/>
      <w:bookmarkStart w:id="1378" w:name="_Hlk127822621"/>
      <w:bookmarkStart w:id="1379" w:name="_Hlk127822596"/>
      <w:bookmarkStart w:id="1380" w:name="_Hlk127822634"/>
      <w:bookmarkStart w:id="1381" w:name="_Hlk127822621"/>
      <w:bookmarkStart w:id="1382" w:name="_Hlk127822596"/>
      <w:bookmarkEnd w:id="1380"/>
      <w:bookmarkEnd w:id="1381"/>
      <w:bookmarkEnd w:id="1382"/>
    </w:p>
    <w:tbl>
      <w:tblPr>
        <w:tblW w:w="1922" w:type="dxa"/>
        <w:jc w:val="left"/>
        <w:tblInd w:w="0" w:type="dxa"/>
        <w:tblCellMar>
          <w:top w:w="0" w:type="dxa"/>
          <w:left w:w="0" w:type="dxa"/>
          <w:bottom w:w="0" w:type="dxa"/>
          <w:right w:w="0" w:type="dxa"/>
        </w:tblCellMar>
      </w:tblPr>
      <w:tblGrid>
        <w:gridCol w:w="361"/>
        <w:gridCol w:w="1561"/>
      </w:tblGrid>
      <w:tr>
        <w:trPr/>
        <w:tc>
          <w:tcPr>
            <w:tcW w:w="36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15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Tutoring services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various types of integrated learning services through Youdao, which primarily cover a wide spectrum of topics and target people from broad age groups through its diverse offerings of tutoring courses and digital learning contents, foreign languages, professional and interest education services as well as IT computer skills, etc. Youdao’s tutoring courses consist of online live streaming and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tutoring courses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offers digital learning contents to customers which are delivered together with online live streaming courses and customized planning services. The customers can either stream the digital learning contents online or download and watch them offline. The downloadable digital learning contents, streaming services, online live streaming courses and customized planning services are considered as distinct performance obligations in the contract. The transaction price is generally collected in advance and allocated to each performance obligation in the contract based on the relative standalone selling prices. The Group recognizes the revenues of downloadable digital learning contents as the performance obligation is satisfied upon the time of delivery. The revenues of streaming services and customized planning services are recognized ratably over the service period. For online live streaming courses, the revenues are recognized ratably over the estimated average learning period.</w:t>
      </w:r>
    </w:p>
    <w:tbl>
      <w:tblPr>
        <w:tblW w:w="1697" w:type="dxa"/>
        <w:jc w:val="left"/>
        <w:tblInd w:w="0" w:type="dxa"/>
        <w:tblCellMar>
          <w:top w:w="0" w:type="dxa"/>
          <w:left w:w="0" w:type="dxa"/>
          <w:bottom w:w="0" w:type="dxa"/>
          <w:right w:w="0" w:type="dxa"/>
        </w:tblCellMar>
      </w:tblPr>
      <w:tblGrid>
        <w:gridCol w:w="421"/>
        <w:gridCol w:w="1276"/>
      </w:tblGrid>
      <w:tr>
        <w:trPr/>
        <w:tc>
          <w:tcPr>
            <w:tcW w:w="4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12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devices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sells smart devices such as dictionary pens, translation devices through Youdao to customers through retailers or distributors. The Group recognizes revenues when control of the goods is transferred to the customer, which generally occurs upon the delivery to the end customers or upon the delivery to distributors.</w:t>
      </w:r>
    </w:p>
    <w:tbl>
      <w:tblPr>
        <w:tblW w:w="2327" w:type="dxa"/>
        <w:jc w:val="left"/>
        <w:tblInd w:w="0" w:type="dxa"/>
        <w:tblCellMar>
          <w:top w:w="0" w:type="dxa"/>
          <w:left w:w="0" w:type="dxa"/>
          <w:bottom w:w="0" w:type="dxa"/>
          <w:right w:w="0" w:type="dxa"/>
        </w:tblCellMar>
      </w:tblPr>
      <w:tblGrid>
        <w:gridCol w:w="406"/>
        <w:gridCol w:w="1921"/>
      </w:tblGrid>
      <w:tr>
        <w:trPr/>
        <w:tc>
          <w:tcPr>
            <w:tcW w:w="4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(iv)</w:t>
            </w:r>
          </w:p>
        </w:tc>
        <w:tc>
          <w:tcPr>
            <w:tcW w:w="19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music services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online music services through Cloud Music, which mainly include membership subscriptions, sales of digital music album and songs and contents sublicensing on the Group’s online platforms.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users membership subscription packages which entitled paying subscriber access to the Group’s relevant music contents and other privileged features on its platforms. The subscription fees for these packages are primarily time-based mainly from weekly to yearly and is collected upfront. The receipt of subscription fees is initially recognised as contract liabilities. The Group satisfies its performance obligations throughout the subscription period and revenue from the membership subscriptions is recognised over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offers users to purchase exclusive digital music albums and songs which can listen both online and offline. The Group considers that the control has been transferred to customer at time of purchase. As a result, the performance obligation is satisfied and revenue is recognised at a point in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sublicenses certain of its music contents to other music platforms for a fixed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which generally falls within the original license period. Sublicense fees are normally collected upfront and is initially recognised as contract liabilities upon receipt. The Group determines sublicense of contents as a single performance obligation, and the revenue from sublicensing of contents is recognised over time throughout the sublicense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383" w:name="_Hlk127822663"/>
      <w:bookmarkStart w:id="1384" w:name="_Hlk127822663"/>
      <w:bookmarkEnd w:id="1384"/>
    </w:p>
    <w:tbl>
      <w:tblPr>
        <w:tblW w:w="2402" w:type="dxa"/>
        <w:jc w:val="left"/>
        <w:tblInd w:w="0" w:type="dxa"/>
        <w:tblCellMar>
          <w:top w:w="0" w:type="dxa"/>
          <w:left w:w="0" w:type="dxa"/>
          <w:bottom w:w="0" w:type="dxa"/>
          <w:right w:w="0" w:type="dxa"/>
        </w:tblCellMar>
      </w:tblPr>
      <w:tblGrid>
        <w:gridCol w:w="346"/>
        <w:gridCol w:w="205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w:t>
            </w:r>
          </w:p>
        </w:tc>
        <w:tc>
          <w:tcPr>
            <w:tcW w:w="20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 services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operates live streaming platforms through NetEase CC and Cloud Music whereby users can enjoy live performances provided by the live streaming performers and interact with them on a real time basis free of charge. The Group sells virtual items to users at pre-determined price so that the users gift them simultaneously to live streaming performers to show their support and appreciation. The virtual items sold by the Group comprise of either (i) consumable items or (ii) time-based item, such as privilege titles etc. Under the arrangements with the live streaming performers,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tbl>
      <w:tblPr>
        <w:tblW w:w="2207" w:type="dxa"/>
        <w:jc w:val="left"/>
        <w:tblInd w:w="0" w:type="dxa"/>
        <w:tblCellMar>
          <w:top w:w="0" w:type="dxa"/>
          <w:left w:w="0" w:type="dxa"/>
          <w:bottom w:w="0" w:type="dxa"/>
          <w:right w:w="0" w:type="dxa"/>
        </w:tblCellMar>
      </w:tblPr>
      <w:tblGrid>
        <w:gridCol w:w="406"/>
        <w:gridCol w:w="1801"/>
      </w:tblGrid>
      <w:tr>
        <w:trPr/>
        <w:tc>
          <w:tcPr>
            <w:tcW w:w="4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w:t>
            </w:r>
          </w:p>
        </w:tc>
        <w:tc>
          <w:tcPr>
            <w:tcW w:w="18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services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also enters into performance-based advertising arrangements with customers.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cost per mille (“CPM”), or cost per thousand impressions, advertising arrangements with customers, the Group recognizes revenues based on the number of times that the advertisement has been displayed.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cost per action (“CPA”) advertising arrangements with customers, the Group recognizes revenues based on the number of actions completed resulted from the advertisements, including but not limited to when users click on links.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customers may receive volume rebates, which are accounted for as variable consideration. The Group estimates annual expected rebate volume with reference to their historical results and reduce revenues recognized.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the Group is not able to reliably determine the fair value of non-cash consideration in some situations, the value of the non-cash consideration received is measured indirectly by reference to the standalone selling price of advertising services provided by the Group.</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2020, 2021 and 2022, revenue from rendering adverting services in exchange for non-cash consideration is insignificant.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385" w:name="_Hlk127822695"/>
      <w:bookmarkStart w:id="1386" w:name="_Hlk127822676"/>
      <w:bookmarkStart w:id="1387" w:name="_Hlk127822773"/>
      <w:bookmarkStart w:id="1388" w:name="_Hlk127822695"/>
      <w:bookmarkStart w:id="1389" w:name="_Hlk127822676"/>
      <w:bookmarkStart w:id="1390" w:name="_Hlk127822773"/>
      <w:bookmarkEnd w:id="1388"/>
      <w:bookmarkEnd w:id="1389"/>
      <w:bookmarkEnd w:id="1390"/>
    </w:p>
    <w:tbl>
      <w:tblPr>
        <w:tblW w:w="1682" w:type="dxa"/>
        <w:jc w:val="left"/>
        <w:tblInd w:w="0" w:type="dxa"/>
        <w:tblCellMar>
          <w:top w:w="0" w:type="dxa"/>
          <w:left w:w="0" w:type="dxa"/>
          <w:bottom w:w="0" w:type="dxa"/>
          <w:right w:w="0" w:type="dxa"/>
        </w:tblCellMar>
      </w:tblPr>
      <w:tblGrid>
        <w:gridCol w:w="466"/>
        <w:gridCol w:w="1216"/>
      </w:tblGrid>
      <w:tr>
        <w:trPr/>
        <w:tc>
          <w:tcPr>
            <w:tcW w:w="46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(vii)</w:t>
            </w:r>
          </w:p>
        </w:tc>
        <w:tc>
          <w:tcPr>
            <w:tcW w:w="1216" w:type="dxa"/>
            <w:tcBorders/>
            <w:shd w:fill="auto"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E-commerce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e-commerce revenue is primarily from its private label consumer lifestyle brand Yanxuan, which was established in April 2016. Yanxuan sells its private label products, including pet supplies, home cleaning products, bedding and other categories which mainly source directly from some excellent manufacturers.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which are treated as a reduction of revenue when the related transaction is recognized.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respectively, on the Group’s consolidated balance sheets. Both of the balances are not material as of December 31, 2020, 2021 and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(viii) Fee-based premium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Fee-based premium services revenues, mostly operated on either consumption-basis or a monthly subscription basis, are derived principally from providing premium online reading, e-mail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Practical expedients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used the following practical expedients as allowed under ASC 606:</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4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w:t>
            </w:r>
            <w:r>
              <w:rPr>
                <w:caps w:val="false"/>
                <w:smallCaps w:val="false"/>
              </w:rPr>
              <w:t xml:space="preserve"> </w:t>
            </w:r>
            <w:r>
              <w:rPr>
                <w:rFonts w:ascii="Times New Roman;Times;serif" w:hAnsi="Times New Roman;Times;serif"/>
                <w:b w:val="false"/>
                <w:i w:val="false"/>
                <w:caps w:val="false"/>
                <w:smallCaps w:val="false"/>
                <w:sz w:val="20"/>
              </w:rPr>
              <w:t>or less.</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88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applied the portfolio approach in determining the commencement date of consumption of permanent virtual items and the estimated average playing period of paying players for PC games and mobile games for the recognition of online game revenue given that the effect of applying a portfolio approach to a group game players’ behaviors would not differ materially from considering each one of them individually.</w:t>
            </w:r>
          </w:p>
        </w:tc>
      </w:tr>
    </w:tbl>
    <w:tbl>
      <w:tblPr>
        <w:tblW w:w="10205" w:type="dxa"/>
        <w:jc w:val="left"/>
        <w:tblInd w:w="0" w:type="dxa"/>
        <w:tblCellMar>
          <w:top w:w="0" w:type="dxa"/>
          <w:left w:w="0" w:type="dxa"/>
          <w:bottom w:w="0" w:type="dxa"/>
          <w:right w:w="0" w:type="dxa"/>
        </w:tblCellMar>
      </w:tblPr>
      <w:tblGrid>
        <w:gridCol w:w="414"/>
        <w:gridCol w:w="9791"/>
      </w:tblGrid>
      <w:tr>
        <w:trPr/>
        <w:tc>
          <w:tcPr>
            <w:tcW w:w="41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79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Group elects to expense certain costs to obtain a contract as incurred when the expected amortization period is one year</w:t>
            </w:r>
            <w:r>
              <w:rPr>
                <w:caps w:val="false"/>
                <w:smallCaps w:val="false"/>
              </w:rPr>
              <w:t xml:space="preserve"> </w:t>
            </w:r>
            <w:r>
              <w:rPr>
                <w:rFonts w:ascii="Times New Roman;Times;serif" w:hAnsi="Times New Roman;Times;serif"/>
                <w:b w:val="false"/>
                <w:i w:val="false"/>
                <w:caps w:val="false"/>
                <w:smallCaps w:val="false"/>
                <w:sz w:val="20"/>
              </w:rPr>
              <w:t>or less.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balances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to customers. Accounts receivable represent amounts invoiced and revenue recognized prior to invoicing, when the Group has satisfied its performance obligations and has the unconditional right to payment.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Group’s right to consideration in exchange for goods or services that the Group has transferred to a customer is recognized as a contract asset.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Contract assets as of December 31, 2021 and 2022 were not material.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contract liability is the Group’s obligation to transfer goods or services to a customer for which the Group has received consideration (or an amount of consideration is due) from the customer. Refer to Note 16 - Contract liabilities for further information, including changes in contract liabilities during the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391" w:name="Tc_82ZV5_Wk5k23xi1cyrqCbw_7_0"/>
      <w:bookmarkStart w:id="1392" w:name="Tc_ZOaFod0OokuAe1tAWoR9HA_6_0"/>
      <w:bookmarkStart w:id="1393" w:name="Tc_tc6spNE0m0K-HIRdLHFFRg_5_0"/>
      <w:bookmarkStart w:id="1394" w:name="Tc_35g636sHC0iv7hKZhUTx0g_4_0"/>
      <w:bookmarkStart w:id="1395" w:name="Tc_7LOvhRarjUi7nOTqSOmx0Q_3_4"/>
      <w:bookmarkStart w:id="1396" w:name="Tc_69yAkOvuKUWRnKj2DHjoUg_3_2"/>
      <w:bookmarkStart w:id="1397" w:name="Tc_EU_8qmuXnEGxegPCGESsgA_2_4"/>
      <w:bookmarkStart w:id="1398" w:name="Tc_ZB0pO-vHQkW4kZg_F3tJsw_2_2"/>
      <w:bookmarkStart w:id="1399" w:name="Tc_4a7T8x8JWE6YjRH7d9kX-g_1_4"/>
      <w:bookmarkStart w:id="1400" w:name="Tc_hjbvzdpMoEujD3PXjh9SHA_1_2"/>
      <w:bookmarkStart w:id="1401" w:name="_f23b0065_ba6e_4d8c_adbc_ac6ed55c05d9"/>
      <w:bookmarkStart w:id="1402" w:name="Tc_82ZV5_Wk5k23xi1cyrqCbw_7_0"/>
      <w:bookmarkStart w:id="1403" w:name="Tc_ZOaFod0OokuAe1tAWoR9HA_6_0"/>
      <w:bookmarkStart w:id="1404" w:name="Tc_tc6spNE0m0K-HIRdLHFFRg_5_0"/>
      <w:bookmarkStart w:id="1405" w:name="Tc_35g636sHC0iv7hKZhUTx0g_4_0"/>
      <w:bookmarkStart w:id="1406" w:name="Tc_7LOvhRarjUi7nOTqSOmx0Q_3_4"/>
      <w:bookmarkStart w:id="1407" w:name="Tc_69yAkOvuKUWRnKj2DHjoUg_3_2"/>
      <w:bookmarkStart w:id="1408" w:name="Tc_EU_8qmuXnEGxegPCGESsgA_2_4"/>
      <w:bookmarkStart w:id="1409" w:name="Tc_ZB0pO-vHQkW4kZg_F3tJsw_2_2"/>
      <w:bookmarkStart w:id="1410" w:name="Tc_4a7T8x8JWE6YjRH7d9kX-g_1_4"/>
      <w:bookmarkStart w:id="1411" w:name="Tc_hjbvzdpMoEujD3PXjh9SHA_1_2"/>
      <w:bookmarkStart w:id="1412" w:name="_f23b0065_ba6e_4d8c_adbc_ac6ed55c05d9"/>
      <w:bookmarkEnd w:id="1402"/>
      <w:bookmarkEnd w:id="1403"/>
      <w:bookmarkEnd w:id="1404"/>
      <w:bookmarkEnd w:id="1405"/>
      <w:bookmarkEnd w:id="1406"/>
      <w:bookmarkEnd w:id="1407"/>
      <w:bookmarkEnd w:id="1408"/>
      <w:bookmarkEnd w:id="1409"/>
      <w:bookmarkEnd w:id="1410"/>
      <w:bookmarkEnd w:id="1411"/>
      <w:bookmarkEnd w:id="1412"/>
    </w:p>
    <w:tbl>
      <w:tblPr>
        <w:tblW w:w="1877" w:type="dxa"/>
        <w:jc w:val="left"/>
        <w:tblInd w:w="0" w:type="dxa"/>
        <w:tblCellMar>
          <w:top w:w="0" w:type="dxa"/>
          <w:left w:w="0" w:type="dxa"/>
          <w:bottom w:w="0" w:type="dxa"/>
          <w:right w:w="0" w:type="dxa"/>
        </w:tblCellMar>
      </w:tblPr>
      <w:tblGrid>
        <w:gridCol w:w="346"/>
        <w:gridCol w:w="153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15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Cost of revenues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Costs of revenues consist primarily of revenue sharing cost, staff costs, royalties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tbl>
      <w:tblPr>
        <w:tblW w:w="3197" w:type="dxa"/>
        <w:jc w:val="left"/>
        <w:tblInd w:w="0" w:type="dxa"/>
        <w:tblCellMar>
          <w:top w:w="0" w:type="dxa"/>
          <w:left w:w="0" w:type="dxa"/>
          <w:bottom w:w="0" w:type="dxa"/>
          <w:right w:w="0" w:type="dxa"/>
        </w:tblCellMar>
      </w:tblPr>
      <w:tblGrid>
        <w:gridCol w:w="331"/>
        <w:gridCol w:w="2866"/>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w:t>
            </w:r>
          </w:p>
        </w:tc>
        <w:tc>
          <w:tcPr>
            <w:tcW w:w="28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Research and development costs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costs mainly consist of personnel-related expenses and technology service costs incurred for the development of online games, as well as development and enhancement of the Group’s new products, websites and application platforms.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internal use software, the Group expenses all costs incurred for the preliminary project stage and post implementation-operation stage of development, and costs associated with repair or maintenance of the existing platforms. Costs incurred in the application development stage are capitalized and amortized over the estimated useful life. Since the amount of the Group’s research and development expenses qualifying for capitalization has been immaterial for the years ended December 31, 2020, 2021 and 2022, as a result, all development costs incurred for development of internal used software have been expensed as incurred.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external use software, costs incurred for development of external use software have not been capitalized for the years ended December 31, 2020, 2021 and 2022, because the period after the date technical feasibility is reached and the time when the software is marketed is short historically, and the amount of costs qualifying for capitalization has been immaterial.</w:t>
      </w:r>
    </w:p>
    <w:tbl>
      <w:tblPr>
        <w:tblW w:w="3842" w:type="dxa"/>
        <w:jc w:val="left"/>
        <w:tblInd w:w="0" w:type="dxa"/>
        <w:tblCellMar>
          <w:top w:w="0" w:type="dxa"/>
          <w:left w:w="0" w:type="dxa"/>
          <w:bottom w:w="0" w:type="dxa"/>
          <w:right w:w="0" w:type="dxa"/>
        </w:tblCellMar>
      </w:tblPr>
      <w:tblGrid>
        <w:gridCol w:w="301"/>
        <w:gridCol w:w="354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(f)</w:t>
            </w:r>
          </w:p>
        </w:tc>
        <w:tc>
          <w:tcPr>
            <w:tcW w:w="35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sz w:val="20"/>
              </w:rPr>
              <w:t>Cash, cash equivalents</w:t>
            </w:r>
            <w:r>
              <w:rPr>
                <w:rFonts w:ascii="Times New Roman;Times;serif" w:hAnsi="Times New Roman;Times;serif"/>
                <w:sz w:val="20"/>
              </w:rPr>
              <w:t xml:space="preserve"> </w:t>
            </w:r>
            <w:r>
              <w:rPr>
                <w:rFonts w:ascii="Times New Roman;Times;serif" w:hAnsi="Times New Roman;Times;serif"/>
                <w:b/>
                <w:sz w:val="20"/>
              </w:rPr>
              <w:t>and time deposits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mainly represent cash on hand, demand deposits placed with large reputable banks in Hong Kong and/or China, and highly liquid investments that are readily convertible to known amounts of cash and with original maturities from the date of purchase with terms of less than three months. As of December 31, 2021 and 2022, there were cash at bank and demand deposits with terms of less than three months denominated in U.S. dollars amounting to approximately US$398.4 million and US$623.8 million, respectively (equivalent to approximately RMB2,540.3 million and RMB4,344.7 million,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Time deposits represent time deposits placed with banks with original maturities of three months or more. As of December 31, 2021 and 2022, there were time deposits denominated in U.S. dollars amounting to approximately US$6,847.0 million and US$8,421.0 million, respectively (equivalent to approximately RMB43,654.4 million and RMB58,648.9 million,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2021 and 2022, the Group had approximately RMB40.5 billion and RMB48.1 billion cash and cash equivalents and time deposits held by its PRC subsidiaries and the VIEs, representing 44.4% and 42.6% of total cash and cash equivalents and time deposits of the Group, respectively.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2021 and 2022, the Group had a restricted cash balance approximately RMB2,878.0 million and RMB2,699.3 million, respectively, comprising as follows (in millions):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7321"/>
        <w:gridCol w:w="326"/>
        <w:gridCol w:w="1093"/>
        <w:gridCol w:w="326"/>
        <w:gridCol w:w="1139"/>
      </w:tblGrid>
      <w:tr>
        <w:trPr/>
        <w:tc>
          <w:tcPr>
            <w:tcW w:w="7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648835" cy="175260"/>
                      <wp:effectExtent l="0" t="0" r="0" b="0"/>
                      <wp:wrapNone/>
                      <wp:docPr id="372" name="Frame371"/>
                      <a:graphic xmlns:a="http://schemas.openxmlformats.org/drawingml/2006/main">
                        <a:graphicData uri="http://schemas.microsoft.com/office/word/2010/wordprocessingShape">
                          <wps:wsp>
                            <wps:cNvSpPr txBox="1"/>
                            <wps:spPr>
                              <a:xfrm>
                                <a:off x="0" y="0"/>
                                <a:ext cx="46488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3"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4055" cy="175260"/>
                      <wp:effectExtent l="0" t="0" r="0" b="0"/>
                      <wp:wrapNone/>
                      <wp:docPr id="374" name="Frame373"/>
                      <a:graphic xmlns:a="http://schemas.openxmlformats.org/drawingml/2006/main">
                        <a:graphicData uri="http://schemas.microsoft.com/office/word/2010/wordprocessingShape">
                          <wps:wsp>
                            <wps:cNvSpPr txBox="1"/>
                            <wps:spPr>
                              <a:xfrm>
                                <a:off x="0" y="0"/>
                                <a:ext cx="69405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5" name="Frame3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23265" cy="175260"/>
                      <wp:effectExtent l="0" t="0" r="0" b="0"/>
                      <wp:wrapNone/>
                      <wp:docPr id="376" name="Frame375"/>
                      <a:graphic xmlns:a="http://schemas.openxmlformats.org/drawingml/2006/main">
                        <a:graphicData uri="http://schemas.microsoft.com/office/word/2010/wordprocessingShape">
                          <wps:wsp>
                            <wps:cNvSpPr txBox="1"/>
                            <wps:spPr>
                              <a:xfrm>
                                <a:off x="0" y="0"/>
                                <a:ext cx="72326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73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3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3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73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Customer deposit of NetEase Pay accounts</w:t>
            </w:r>
          </w:p>
        </w:tc>
        <w:tc>
          <w:tcPr>
            <w:tcW w:w="326" w:type="dxa"/>
            <w:tcBorders/>
            <w:shd w:fill="CCEEFF" w:val="clear"/>
            <w:vAlign w:val="center"/>
          </w:tcPr>
          <w:p>
            <w:pPr>
              <w:pStyle w:val="TableContents"/>
              <w:spacing w:before="0" w:after="0"/>
              <w:ind w:left="0" w:right="0" w:hanging="0"/>
              <w:jc w:val="both"/>
              <w:rPr/>
            </w:pPr>
            <w:r>
              <w:rPr/>
              <w:t> </w:t>
            </w:r>
          </w:p>
        </w:tc>
        <w:tc>
          <w:tcPr>
            <w:tcW w:w="10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2,091.3</w:t>
            </w:r>
          </w:p>
        </w:tc>
        <w:tc>
          <w:tcPr>
            <w:tcW w:w="326" w:type="dxa"/>
            <w:tcBorders/>
            <w:shd w:fill="CCEEFF" w:val="clear"/>
            <w:vAlign w:val="center"/>
          </w:tcPr>
          <w:p>
            <w:pPr>
              <w:pStyle w:val="TableContents"/>
              <w:spacing w:before="0" w:after="0"/>
              <w:ind w:left="0" w:right="0" w:hanging="0"/>
              <w:jc w:val="both"/>
              <w:rPr/>
            </w:pPr>
            <w:r>
              <w:rPr/>
              <w:t> </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2,627.5</w:t>
            </w:r>
          </w:p>
        </w:tc>
      </w:tr>
      <w:tr>
        <w:trPr/>
        <w:tc>
          <w:tcPr>
            <w:tcW w:w="73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Deposit required by the PRC government authorities related to Youdao’s educational services</w:t>
            </w:r>
          </w:p>
        </w:tc>
        <w:tc>
          <w:tcPr>
            <w:tcW w:w="326" w:type="dxa"/>
            <w:tcBorders/>
            <w:shd w:fill="auto" w:val="clear"/>
            <w:vAlign w:val="center"/>
          </w:tcPr>
          <w:p>
            <w:pPr>
              <w:pStyle w:val="TableContents"/>
              <w:spacing w:before="0" w:after="0"/>
              <w:ind w:left="0" w:right="0" w:hanging="0"/>
              <w:jc w:val="both"/>
              <w:rPr/>
            </w:pPr>
            <w:r>
              <w:rPr/>
              <w:t>​</w:t>
            </w:r>
          </w:p>
        </w:tc>
        <w:tc>
          <w:tcPr>
            <w:tcW w:w="10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749.8</w:t>
            </w:r>
          </w:p>
        </w:tc>
        <w:tc>
          <w:tcPr>
            <w:tcW w:w="326" w:type="dxa"/>
            <w:tcBorders/>
            <w:shd w:fill="auto" w:val="clear"/>
            <w:vAlign w:val="center"/>
          </w:tcPr>
          <w:p>
            <w:pPr>
              <w:pStyle w:val="TableContents"/>
              <w:spacing w:before="0" w:after="0"/>
              <w:ind w:left="0" w:right="0" w:hanging="0"/>
              <w:jc w:val="both"/>
              <w:rPr/>
            </w:pPr>
            <w:r>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73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jc w:val="both"/>
              <w:rPr/>
            </w:pPr>
            <w:r>
              <w:rPr/>
              <w:t>​</w:t>
            </w:r>
          </w:p>
        </w:tc>
        <w:tc>
          <w:tcPr>
            <w:tcW w:w="10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spacing w:before="0" w:after="0"/>
              <w:ind w:left="0" w:right="0" w:hanging="0"/>
              <w:jc w:val="both"/>
              <w:rPr/>
            </w:pPr>
            <w:r>
              <w:rPr/>
              <w:t>​</w:t>
            </w:r>
          </w:p>
        </w:tc>
        <w:tc>
          <w:tcPr>
            <w:tcW w:w="11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73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w:t>
            </w:r>
          </w:p>
        </w:tc>
        <w:tc>
          <w:tcPr>
            <w:tcW w:w="10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2,878.0</w:t>
            </w:r>
          </w:p>
        </w:tc>
        <w:tc>
          <w:tcPr>
            <w:tcW w:w="326" w:type="dxa"/>
            <w:tcBorders/>
            <w:shd w:fill="auto" w:val="clear"/>
            <w:vAlign w:val="center"/>
          </w:tcPr>
          <w:p>
            <w:pPr>
              <w:pStyle w:val="TableContents"/>
              <w:spacing w:before="0" w:after="0"/>
              <w:ind w:left="0" w:right="0" w:hanging="0"/>
              <w:jc w:val="both"/>
              <w:rPr/>
            </w:pPr>
            <w:r>
              <w:rPr/>
              <w:t>​</w:t>
            </w:r>
          </w:p>
        </w:tc>
        <w:tc>
          <w:tcPr>
            <w:tcW w:w="113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2,699.3</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had no other material lien arrangements during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413" w:name="Tc_-ettTvcxNESy_9KQsfyPMQ_7_0"/>
      <w:bookmarkStart w:id="1414" w:name="Tc_ses8p2pJIkuT2D8JeY951Q_6_0"/>
      <w:bookmarkStart w:id="1415" w:name="Tc__bspUFS8T0maIiK5OdTzhw_5_0"/>
      <w:bookmarkStart w:id="1416" w:name="Tc_TfQqD4tKB0CzBaA7vH4Vcg_4_0"/>
      <w:bookmarkStart w:id="1417" w:name="Tc_MJyI2istjki5iJ983IwnBw_3_6"/>
      <w:bookmarkStart w:id="1418" w:name="Tc_ow0ZPlICv0i-rqZ4r40ElQ_3_4"/>
      <w:bookmarkStart w:id="1419" w:name="Tc_C8uPBaA5jU6bN9PMx84EVA_3_2"/>
      <w:bookmarkStart w:id="1420" w:name="Tc_ZNJx-8eA2E2qqGkwsya3yA_2_6"/>
      <w:bookmarkStart w:id="1421" w:name="Tc_3AFo3q_93kuYuRLC1XVjLA_2_4"/>
      <w:bookmarkStart w:id="1422" w:name="Tc_lagNj8cjf0-Zw_GF7HCHyg_2_2"/>
      <w:bookmarkStart w:id="1423" w:name="Tc_OhjkH_uuzEeW3Lb3HIYfgg_1_2"/>
      <w:bookmarkStart w:id="1424" w:name="_9c3e3f05_e9b0_4969_86dd_bf936d57c72e"/>
      <w:bookmarkStart w:id="1425" w:name="Tc_-ettTvcxNESy_9KQsfyPMQ_7_0"/>
      <w:bookmarkStart w:id="1426" w:name="Tc_ses8p2pJIkuT2D8JeY951Q_6_0"/>
      <w:bookmarkStart w:id="1427" w:name="Tc__bspUFS8T0maIiK5OdTzhw_5_0"/>
      <w:bookmarkStart w:id="1428" w:name="Tc_TfQqD4tKB0CzBaA7vH4Vcg_4_0"/>
      <w:bookmarkStart w:id="1429" w:name="Tc_MJyI2istjki5iJ983IwnBw_3_6"/>
      <w:bookmarkStart w:id="1430" w:name="Tc_ow0ZPlICv0i-rqZ4r40ElQ_3_4"/>
      <w:bookmarkStart w:id="1431" w:name="Tc_C8uPBaA5jU6bN9PMx84EVA_3_2"/>
      <w:bookmarkStart w:id="1432" w:name="Tc_ZNJx-8eA2E2qqGkwsya3yA_2_6"/>
      <w:bookmarkStart w:id="1433" w:name="Tc_3AFo3q_93kuYuRLC1XVjLA_2_4"/>
      <w:bookmarkStart w:id="1434" w:name="Tc_lagNj8cjf0-Zw_GF7HCHyg_2_2"/>
      <w:bookmarkStart w:id="1435" w:name="Tc_OhjkH_uuzEeW3Lb3HIYfgg_1_2"/>
      <w:bookmarkStart w:id="1436" w:name="_9c3e3f05_e9b0_4969_86dd_bf936d57c72e"/>
      <w:bookmarkEnd w:id="1425"/>
      <w:bookmarkEnd w:id="1426"/>
      <w:bookmarkEnd w:id="1427"/>
      <w:bookmarkEnd w:id="1428"/>
      <w:bookmarkEnd w:id="1429"/>
      <w:bookmarkEnd w:id="1430"/>
      <w:bookmarkEnd w:id="1431"/>
      <w:bookmarkEnd w:id="1432"/>
      <w:bookmarkEnd w:id="1433"/>
      <w:bookmarkEnd w:id="1434"/>
      <w:bookmarkEnd w:id="1435"/>
      <w:bookmarkEnd w:id="1436"/>
    </w:p>
    <w:tbl>
      <w:tblPr>
        <w:tblW w:w="1847" w:type="dxa"/>
        <w:jc w:val="left"/>
        <w:tblInd w:w="0" w:type="dxa"/>
        <w:tblCellMar>
          <w:top w:w="0" w:type="dxa"/>
          <w:left w:w="0" w:type="dxa"/>
          <w:bottom w:w="0" w:type="dxa"/>
          <w:right w:w="0" w:type="dxa"/>
        </w:tblCellMar>
      </w:tblPr>
      <w:tblGrid>
        <w:gridCol w:w="346"/>
        <w:gridCol w:w="150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(g)</w:t>
            </w:r>
          </w:p>
        </w:tc>
        <w:tc>
          <w:tcPr>
            <w:tcW w:w="15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Receivables, net</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closely monitors the collection of its receivables and records a reserve for doubtful accounts against aged accounts and for specifically identified non-recoverable amounts for periods prior to January 1, 2020. If the economic situation and the financial condition of the customer deteriorate resulting in an impairment of the customer’s ability to make payments, additional allowances might be required. Receivable balances are written off when they are determined to be uncollectible.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January 1, 2020, the Group’s receivables are subject to the measurement of credit losses within the scope of ASC Topic 326. The impact of new standard was immaterial to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accounts receivable, other receivables recorded in prepayments and other current assets and other long-term receivables recorded in other long-term assets are within the scope of ASC Topic 326. Accounts receivable consist primarily of receivables from advertising customers, and receivables from distribution channels.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out the movements of the allowance for expected credit losses for the years ended December 31, 2020, 2021 and 2022 (in thousands):</w:t>
      </w:r>
    </w:p>
    <w:tbl>
      <w:tblPr>
        <w:tblW w:w="6187" w:type="dxa"/>
        <w:jc w:val="left"/>
        <w:tblInd w:w="0" w:type="dxa"/>
        <w:tblCellMar>
          <w:top w:w="0" w:type="dxa"/>
          <w:left w:w="0" w:type="dxa"/>
          <w:bottom w:w="0" w:type="dxa"/>
          <w:right w:w="0" w:type="dxa"/>
        </w:tblCellMar>
      </w:tblPr>
      <w:tblGrid>
        <w:gridCol w:w="2761"/>
        <w:gridCol w:w="326"/>
        <w:gridCol w:w="781"/>
        <w:gridCol w:w="326"/>
        <w:gridCol w:w="781"/>
        <w:gridCol w:w="326"/>
        <w:gridCol w:w="886"/>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753235" cy="175260"/>
                      <wp:effectExtent l="0" t="0" r="0" b="0"/>
                      <wp:wrapNone/>
                      <wp:docPr id="377" name="Frame376"/>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95935" cy="175260"/>
                      <wp:effectExtent l="0" t="0" r="0" b="0"/>
                      <wp:wrapNone/>
                      <wp:docPr id="379" name="Frame37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0"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95935" cy="175260"/>
                      <wp:effectExtent l="0" t="0" r="0" b="0"/>
                      <wp:wrapNone/>
                      <wp:docPr id="381" name="Frame3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62610" cy="175260"/>
                      <wp:effectExtent l="0" t="0" r="0" b="0"/>
                      <wp:wrapNone/>
                      <wp:docPr id="383" name="Frame38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76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76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77,147</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113,253</w:t>
            </w:r>
          </w:p>
        </w:tc>
        <w:tc>
          <w:tcPr>
            <w:tcW w:w="326" w:type="dxa"/>
            <w:tcBorders/>
            <w:shd w:fill="CCEEFF" w:val="clear"/>
            <w:vAlign w:val="center"/>
          </w:tcPr>
          <w:p>
            <w:pPr>
              <w:pStyle w:val="TableContents"/>
              <w:spacing w:before="0" w:after="0"/>
              <w:ind w:left="0" w:right="0" w:hanging="0"/>
              <w:jc w:val="both"/>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369,982</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Provisions</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40,600</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265,930</w:t>
            </w:r>
          </w:p>
        </w:tc>
        <w:tc>
          <w:tcPr>
            <w:tcW w:w="326" w:type="dxa"/>
            <w:tcBorders/>
            <w:shd w:fill="auto" w:val="clear"/>
            <w:vAlign w:val="center"/>
          </w:tcPr>
          <w:p>
            <w:pPr>
              <w:pStyle w:val="TableContents"/>
              <w:spacing w:before="0" w:after="0"/>
              <w:ind w:left="0" w:right="0" w:hanging="0"/>
              <w:jc w:val="both"/>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61,393</w:t>
            </w:r>
          </w:p>
        </w:tc>
      </w:tr>
      <w:tr>
        <w:trPr/>
        <w:tc>
          <w:tcPr>
            <w:tcW w:w="27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(4,494)</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(9,201)</w:t>
            </w:r>
          </w:p>
        </w:tc>
        <w:tc>
          <w:tcPr>
            <w:tcW w:w="326" w:type="dxa"/>
            <w:tcBorders/>
            <w:shd w:fill="CCEEFF" w:val="clear"/>
            <w:vAlign w:val="center"/>
          </w:tcPr>
          <w:p>
            <w:pPr>
              <w:pStyle w:val="TableContents"/>
              <w:spacing w:before="0" w:after="0"/>
              <w:ind w:left="0" w:right="0" w:hanging="0"/>
              <w:jc w:val="both"/>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(28,015)</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113,253</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369,982</w:t>
            </w:r>
          </w:p>
        </w:tc>
        <w:tc>
          <w:tcPr>
            <w:tcW w:w="326" w:type="dxa"/>
            <w:tcBorders/>
            <w:shd w:fill="auto" w:val="clear"/>
            <w:vAlign w:val="center"/>
          </w:tcPr>
          <w:p>
            <w:pPr>
              <w:pStyle w:val="TableContents"/>
              <w:spacing w:before="0" w:after="0"/>
              <w:ind w:left="0" w:right="0" w:hanging="0"/>
              <w:jc w:val="both"/>
              <w:rPr/>
            </w:pPr>
            <w:r>
              <w:rPr/>
              <w:t>​</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403,360</w:t>
            </w:r>
          </w:p>
        </w:tc>
      </w:tr>
    </w:tbl>
    <w:p>
      <w:pPr>
        <w:pStyle w:val="TextBody"/>
        <w:pBdr/>
        <w:spacing w:before="0" w:after="0"/>
        <w:ind w:left="0" w:right="0" w:hanging="360"/>
        <w:jc w:val="both"/>
        <w:rPr/>
      </w:pPr>
      <w:r>
        <w:rPr/>
        <w:t>​</w:t>
      </w:r>
    </w:p>
    <w:tbl>
      <w:tblPr>
        <w:tblW w:w="3422" w:type="dxa"/>
        <w:jc w:val="left"/>
        <w:tblInd w:w="0" w:type="dxa"/>
        <w:tblCellMar>
          <w:top w:w="0" w:type="dxa"/>
          <w:left w:w="0" w:type="dxa"/>
          <w:bottom w:w="0" w:type="dxa"/>
          <w:right w:w="0" w:type="dxa"/>
        </w:tblCellMar>
      </w:tblPr>
      <w:tblGrid>
        <w:gridCol w:w="346"/>
        <w:gridCol w:w="307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(h)</w:t>
            </w:r>
          </w:p>
        </w:tc>
        <w:tc>
          <w:tcPr>
            <w:tcW w:w="30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Level 2 - Include other inputs that are directly or indirectly observable in the marketplace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financial instruments include cash and cash equivalents and time deposits, accounts receivable, prepayments and other current assets, short-term investments, accounts payable, short-term loans, contract liabilities and accrued liabilities and other payables, which the carrying values approximate their fair value. Please see Note 29 for additional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412" w:type="dxa"/>
        <w:jc w:val="left"/>
        <w:tblInd w:w="0" w:type="dxa"/>
        <w:tblCellMar>
          <w:top w:w="0" w:type="dxa"/>
          <w:left w:w="0" w:type="dxa"/>
          <w:bottom w:w="0" w:type="dxa"/>
          <w:right w:w="0" w:type="dxa"/>
        </w:tblCellMar>
      </w:tblPr>
      <w:tblGrid>
        <w:gridCol w:w="301"/>
        <w:gridCol w:w="111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w:t>
            </w:r>
          </w:p>
        </w:tc>
        <w:tc>
          <w:tcPr>
            <w:tcW w:w="111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Inventories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tbl>
      <w:tblPr>
        <w:tblW w:w="1457" w:type="dxa"/>
        <w:jc w:val="left"/>
        <w:tblInd w:w="0" w:type="dxa"/>
        <w:tblCellMar>
          <w:top w:w="0" w:type="dxa"/>
          <w:left w:w="0" w:type="dxa"/>
          <w:bottom w:w="0" w:type="dxa"/>
          <w:right w:w="0" w:type="dxa"/>
        </w:tblCellMar>
      </w:tblPr>
      <w:tblGrid>
        <w:gridCol w:w="301"/>
        <w:gridCol w:w="115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(j)</w:t>
            </w:r>
          </w:p>
        </w:tc>
        <w:tc>
          <w:tcPr>
            <w:tcW w:w="115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Investments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 include investments in financial instruments with a variable interest rate indexed to performance of underlying assets, all of which are with an original maturity of less than 12 months.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7 and Note 29 for additional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Long-term investments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Long-term investments are mainly comprised of equity investments in publicly traded companies, privately-held companies and limited-partnership.</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Equity investments in publicly traded companies are reported at fair value as equity investment with readily determinable fair value. Unrealized gains and losses for the years ended December 31, 2020, 2021 and 2022 are recognized in other income/(expense).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regularly evaluates the impairment of the investments in privately-held companies without readily determinable fair value and equity method investments periodically, or when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judgments management applies in the impairment assessment for these equity investments include: (i) the determination as to whether any impairment indicators exist during the year; (ii) estimating the impairment amount if an impairment exists; and (iii) judgements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Key estimates mainly comprised the severity and duration of the impairment indicator and the existence of any positive or mitigating factors.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tbl>
      <w:tblPr>
        <w:tblW w:w="1067" w:type="dxa"/>
        <w:jc w:val="left"/>
        <w:tblInd w:w="0" w:type="dxa"/>
        <w:tblCellMar>
          <w:top w:w="0" w:type="dxa"/>
          <w:left w:w="0" w:type="dxa"/>
          <w:bottom w:w="0" w:type="dxa"/>
          <w:right w:w="0" w:type="dxa"/>
        </w:tblCellMar>
      </w:tblPr>
      <w:tblGrid>
        <w:gridCol w:w="346"/>
        <w:gridCol w:w="72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(k)</w:t>
            </w:r>
          </w:p>
        </w:tc>
        <w:tc>
          <w:tcPr>
            <w:tcW w:w="72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Leases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2019, the Group adopted ASU 2016-02, “Leases (Topic 842)”, including certain transitional guidance and subsequent amendments within ASU 2018-01, ASU 2018-10, ASU 2018-11, ASU 2018-20 and ASU 2019-01 (collectively, including ASU 2016-02, “ASC 842”).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2021 and 2022, the Group has no material finance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437" w:name="Tc_1cp7BmBXjUS9H4Ks4uBR9w_3_0"/>
      <w:bookmarkStart w:id="1438" w:name="Tc_UFvZVpBV60avEeKypOhm5w_2_2"/>
      <w:bookmarkStart w:id="1439" w:name="Tc_ja4m1pOIbk6rvnuHEbfm9Q_2_0"/>
      <w:bookmarkStart w:id="1440" w:name="Tc_hjBNDQv35UCMnZmw1eKBog_1_0"/>
      <w:bookmarkStart w:id="1441" w:name="_24c74035_5684_4d8f_8f99_f0e17aad2c4d"/>
      <w:bookmarkStart w:id="1442" w:name="Tc_ERCTnL8IiEK_tjnxJfOu4w_7_0"/>
      <w:bookmarkStart w:id="1443" w:name="Tc__3aFp6NCC06uu0GKjzFjzw_6_0"/>
      <w:bookmarkStart w:id="1444" w:name="Tc_9h3ZHt3cwESI_k2rMrqPNg_5_0"/>
      <w:bookmarkStart w:id="1445" w:name="Tc_bKnRGyIjXUyZQcYk-8MA0A_4_2"/>
      <w:bookmarkStart w:id="1446" w:name="Tc_b5GsJQQIwUGcRbf7qI6rVw_4_0"/>
      <w:bookmarkStart w:id="1447" w:name="Tc_axqm9In_IEObvXWPkoVPyw_3_0"/>
      <w:bookmarkStart w:id="1448" w:name="Tc_TBciEIzWK0eHKAjpX-nZPw_2_0"/>
      <w:bookmarkStart w:id="1449" w:name="Tc_KjhBXLf2zUSDhYKu4WpDpw_1_0"/>
      <w:bookmarkStart w:id="1450" w:name="Tc_1cp7BmBXjUS9H4Ks4uBR9w_3_0"/>
      <w:bookmarkStart w:id="1451" w:name="Tc_UFvZVpBV60avEeKypOhm5w_2_2"/>
      <w:bookmarkStart w:id="1452" w:name="Tc_ja4m1pOIbk6rvnuHEbfm9Q_2_0"/>
      <w:bookmarkStart w:id="1453" w:name="Tc_hjBNDQv35UCMnZmw1eKBog_1_0"/>
      <w:bookmarkStart w:id="1454" w:name="_24c74035_5684_4d8f_8f99_f0e17aad2c4d"/>
      <w:bookmarkStart w:id="1455" w:name="Tc_ERCTnL8IiEK_tjnxJfOu4w_7_0"/>
      <w:bookmarkStart w:id="1456" w:name="Tc__3aFp6NCC06uu0GKjzFjzw_6_0"/>
      <w:bookmarkStart w:id="1457" w:name="Tc_9h3ZHt3cwESI_k2rMrqPNg_5_0"/>
      <w:bookmarkStart w:id="1458" w:name="Tc_bKnRGyIjXUyZQcYk-8MA0A_4_2"/>
      <w:bookmarkStart w:id="1459" w:name="Tc_b5GsJQQIwUGcRbf7qI6rVw_4_0"/>
      <w:bookmarkStart w:id="1460" w:name="Tc_axqm9In_IEObvXWPkoVPyw_3_0"/>
      <w:bookmarkStart w:id="1461" w:name="Tc_TBciEIzWK0eHKAjpX-nZPw_2_0"/>
      <w:bookmarkStart w:id="1462" w:name="Tc_KjhBXLf2zUSDhYKu4WpDpw_1_0"/>
      <w:bookmarkEnd w:id="1450"/>
      <w:bookmarkEnd w:id="1451"/>
      <w:bookmarkEnd w:id="1452"/>
      <w:bookmarkEnd w:id="1453"/>
      <w:bookmarkEnd w:id="1454"/>
      <w:bookmarkEnd w:id="1455"/>
      <w:bookmarkEnd w:id="1456"/>
      <w:bookmarkEnd w:id="1457"/>
      <w:bookmarkEnd w:id="1458"/>
      <w:bookmarkEnd w:id="1459"/>
      <w:bookmarkEnd w:id="1460"/>
      <w:bookmarkEnd w:id="1461"/>
      <w:bookmarkEnd w:id="1462"/>
    </w:p>
    <w:tbl>
      <w:tblPr>
        <w:tblW w:w="3317" w:type="dxa"/>
        <w:jc w:val="left"/>
        <w:tblInd w:w="0" w:type="dxa"/>
        <w:tblCellMar>
          <w:top w:w="0" w:type="dxa"/>
          <w:left w:w="0" w:type="dxa"/>
          <w:bottom w:w="0" w:type="dxa"/>
          <w:right w:w="0" w:type="dxa"/>
        </w:tblCellMar>
      </w:tblPr>
      <w:tblGrid>
        <w:gridCol w:w="301"/>
        <w:gridCol w:w="301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w:t>
            </w:r>
          </w:p>
        </w:tc>
        <w:tc>
          <w:tcPr>
            <w:tcW w:w="30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Property, equipment and software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Property, equipment and software are stated at cost less accumulated depreciation. Depreciation is calculated on the straight-line basis over the following estimated useful lives, taking into account any estimated residual value:</w:t>
      </w:r>
    </w:p>
    <w:p>
      <w:pPr>
        <w:pStyle w:val="TextBody"/>
        <w:spacing w:before="0" w:after="0"/>
        <w:ind w:left="0" w:right="0" w:hanging="0"/>
        <w:jc w:val="both"/>
        <w:rPr/>
      </w:pPr>
      <w:r>
        <w:rPr/>
        <w:t>​</w:t>
      </w:r>
    </w:p>
    <w:tbl>
      <w:tblPr>
        <w:tblW w:w="10123" w:type="dxa"/>
        <w:jc w:val="left"/>
        <w:tblInd w:w="0" w:type="dxa"/>
        <w:tblCellMar>
          <w:top w:w="0" w:type="dxa"/>
          <w:left w:w="0" w:type="dxa"/>
          <w:bottom w:w="0" w:type="dxa"/>
          <w:right w:w="0" w:type="dxa"/>
        </w:tblCellMar>
      </w:tblPr>
      <w:tblGrid>
        <w:gridCol w:w="3856"/>
        <w:gridCol w:w="326"/>
        <w:gridCol w:w="5941"/>
      </w:tblGrid>
      <w:tr>
        <w:trPr/>
        <w:tc>
          <w:tcPr>
            <w:tcW w:w="3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448560" cy="175260"/>
                      <wp:effectExtent l="0" t="0" r="0" b="0"/>
                      <wp:wrapNone/>
                      <wp:docPr id="384" name="Frame383"/>
                      <a:graphic xmlns:a="http://schemas.openxmlformats.org/drawingml/2006/main">
                        <a:graphicData uri="http://schemas.microsoft.com/office/word/2010/wordprocessingShape">
                          <wps:wsp>
                            <wps:cNvSpPr txBox="1"/>
                            <wps:spPr>
                              <a:xfrm>
                                <a:off x="0" y="0"/>
                                <a:ext cx="24485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5"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5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772535" cy="175260"/>
                      <wp:effectExtent l="0" t="0" r="0" b="0"/>
                      <wp:wrapNone/>
                      <wp:docPr id="386" name="Frame385"/>
                      <a:graphic xmlns:a="http://schemas.openxmlformats.org/drawingml/2006/main">
                        <a:graphicData uri="http://schemas.microsoft.com/office/word/2010/wordprocessingShape">
                          <wps:wsp>
                            <wps:cNvSpPr txBox="1"/>
                            <wps:spPr>
                              <a:xfrm>
                                <a:off x="0" y="0"/>
                                <a:ext cx="3772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Building</w:t>
            </w:r>
          </w:p>
        </w:tc>
        <w:tc>
          <w:tcPr>
            <w:tcW w:w="326" w:type="dxa"/>
            <w:tcBorders/>
            <w:shd w:fill="CCEEFF" w:val="clear"/>
            <w:vAlign w:val="center"/>
          </w:tcPr>
          <w:p>
            <w:pPr>
              <w:pStyle w:val="TableContents"/>
              <w:spacing w:before="0" w:after="0"/>
              <w:ind w:left="0" w:right="0" w:hanging="0"/>
              <w:jc w:val="both"/>
              <w:rPr/>
            </w:pPr>
            <w:r>
              <w:rPr/>
              <w:t>    </w:t>
            </w:r>
          </w:p>
        </w:tc>
        <w:tc>
          <w:tcPr>
            <w:tcW w:w="5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 years</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Decoration</w:t>
            </w:r>
          </w:p>
        </w:tc>
        <w:tc>
          <w:tcPr>
            <w:tcW w:w="326" w:type="dxa"/>
            <w:tcBorders/>
            <w:shd w:fill="auto" w:val="clear"/>
            <w:vAlign w:val="center"/>
          </w:tcPr>
          <w:p>
            <w:pPr>
              <w:pStyle w:val="TableContents"/>
              <w:spacing w:before="0" w:after="0"/>
              <w:ind w:left="0" w:right="0" w:hanging="0"/>
              <w:jc w:val="both"/>
              <w:rPr/>
            </w:pPr>
            <w:r>
              <w:rPr/>
              <w:t> </w:t>
            </w:r>
          </w:p>
        </w:tc>
        <w:tc>
          <w:tcPr>
            <w:tcW w:w="5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 years</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jc w:val="both"/>
              <w:rPr/>
            </w:pPr>
            <w:r>
              <w:rPr/>
              <w:t> </w:t>
            </w:r>
          </w:p>
        </w:tc>
        <w:tc>
          <w:tcPr>
            <w:tcW w:w="5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lesser of the term of the lease and the estimated useful lives of the assets</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Furniture, fixtures, office and other equipment</w:t>
            </w:r>
          </w:p>
        </w:tc>
        <w:tc>
          <w:tcPr>
            <w:tcW w:w="326" w:type="dxa"/>
            <w:tcBorders/>
            <w:shd w:fill="auto" w:val="clear"/>
            <w:vAlign w:val="center"/>
          </w:tcPr>
          <w:p>
            <w:pPr>
              <w:pStyle w:val="TableContents"/>
              <w:spacing w:before="0" w:after="0"/>
              <w:ind w:left="0" w:right="0" w:hanging="0"/>
              <w:jc w:val="both"/>
              <w:rPr/>
            </w:pPr>
            <w:r>
              <w:rPr/>
              <w:t> </w:t>
            </w:r>
          </w:p>
        </w:tc>
        <w:tc>
          <w:tcPr>
            <w:tcW w:w="5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3-10 years</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spacing w:before="0" w:after="0"/>
              <w:ind w:left="0" w:right="0" w:hanging="0"/>
              <w:jc w:val="both"/>
              <w:rPr/>
            </w:pPr>
            <w:r>
              <w:rPr/>
              <w:t> </w:t>
            </w:r>
          </w:p>
        </w:tc>
        <w:tc>
          <w:tcPr>
            <w:tcW w:w="5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 years</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Servers and computers</w:t>
            </w:r>
          </w:p>
        </w:tc>
        <w:tc>
          <w:tcPr>
            <w:tcW w:w="326" w:type="dxa"/>
            <w:tcBorders/>
            <w:shd w:fill="auto" w:val="clear"/>
            <w:vAlign w:val="center"/>
          </w:tcPr>
          <w:p>
            <w:pPr>
              <w:pStyle w:val="TableContents"/>
              <w:spacing w:before="0" w:after="0"/>
              <w:ind w:left="0" w:right="0" w:hanging="0"/>
              <w:jc w:val="both"/>
              <w:rPr/>
            </w:pPr>
            <w:r>
              <w:rPr/>
              <w:t> </w:t>
            </w:r>
          </w:p>
        </w:tc>
        <w:tc>
          <w:tcPr>
            <w:tcW w:w="5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 years</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spacing w:before="0" w:after="0"/>
              <w:ind w:left="0" w:right="0" w:hanging="0"/>
              <w:jc w:val="both"/>
              <w:rPr/>
            </w:pPr>
            <w:r>
              <w:rPr/>
              <w:t> </w:t>
            </w:r>
          </w:p>
        </w:tc>
        <w:tc>
          <w:tcPr>
            <w:tcW w:w="5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 years</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Repairs and maintenance expenditures, which are not considered improvements and do not extend the useful life of the property and equipment, are expensed as incurred.</w:t>
      </w:r>
    </w:p>
    <w:tbl>
      <w:tblPr>
        <w:tblW w:w="1862" w:type="dxa"/>
        <w:jc w:val="left"/>
        <w:tblInd w:w="0" w:type="dxa"/>
        <w:tblCellMar>
          <w:top w:w="0" w:type="dxa"/>
          <w:left w:w="0" w:type="dxa"/>
          <w:bottom w:w="0" w:type="dxa"/>
          <w:right w:w="0" w:type="dxa"/>
        </w:tblCellMar>
      </w:tblPr>
      <w:tblGrid>
        <w:gridCol w:w="406"/>
        <w:gridCol w:w="1456"/>
      </w:tblGrid>
      <w:tr>
        <w:trPr/>
        <w:tc>
          <w:tcPr>
            <w:tcW w:w="4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(m)</w:t>
            </w:r>
          </w:p>
        </w:tc>
        <w:tc>
          <w:tcPr>
            <w:tcW w:w="14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sz w:val="20"/>
              </w:rPr>
              <w:t>Land</w:t>
            </w:r>
            <w:r>
              <w:rPr>
                <w:rFonts w:ascii="Times New Roman;Times;serif" w:hAnsi="Times New Roman;Times;serif"/>
                <w:sz w:val="20"/>
              </w:rPr>
              <w:t xml:space="preserve"> </w:t>
            </w:r>
            <w:r>
              <w:rPr>
                <w:rFonts w:ascii="Times New Roman;Times;serif" w:hAnsi="Times New Roman;Times;serif"/>
                <w:b/>
                <w:sz w:val="20"/>
              </w:rPr>
              <w:t>use rights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Land use rights represent lease prepayments to the local government authorities. Upon the adoption of ASC 842 on January 1, 2019, land use rights, net were identified as operating lease right-of-use assets, which is separately disclosed as “Land use rights, net” in the Group’s consolidated balance sheets. Accordingly, the Group disclosed the cash used for obtaining the land use rights in operating cash flow activities for the year ended December 31, 2020, 2021 and 2022.</w:t>
      </w:r>
    </w:p>
    <w:tbl>
      <w:tblPr>
        <w:tblW w:w="1892" w:type="dxa"/>
        <w:jc w:val="left"/>
        <w:tblInd w:w="0" w:type="dxa"/>
        <w:tblCellMar>
          <w:top w:w="0" w:type="dxa"/>
          <w:left w:w="0" w:type="dxa"/>
          <w:bottom w:w="0" w:type="dxa"/>
          <w:right w:w="0" w:type="dxa"/>
        </w:tblCellMar>
      </w:tblPr>
      <w:tblGrid>
        <w:gridCol w:w="346"/>
        <w:gridCol w:w="154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(n)</w:t>
            </w:r>
          </w:p>
        </w:tc>
        <w:tc>
          <w:tcPr>
            <w:tcW w:w="15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Intangible assets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Finite-lived intangible assets are tested for impairment if impairment indicators arise. The Group amortizes its finite-lived intangible assets using the straight-line method:</w:t>
      </w:r>
    </w:p>
    <w:p>
      <w:pPr>
        <w:pStyle w:val="TextBody"/>
        <w:spacing w:before="0" w:after="0"/>
        <w:ind w:left="0" w:right="0" w:hanging="0"/>
        <w:jc w:val="both"/>
        <w:rPr/>
      </w:pPr>
      <w:r>
        <w:rPr/>
        <w:t>​</w:t>
      </w:r>
    </w:p>
    <w:tbl>
      <w:tblPr>
        <w:tblW w:w="3328" w:type="dxa"/>
        <w:jc w:val="left"/>
        <w:tblInd w:w="0" w:type="dxa"/>
        <w:tblCellMar>
          <w:top w:w="0" w:type="dxa"/>
          <w:left w:w="0" w:type="dxa"/>
          <w:bottom w:w="0" w:type="dxa"/>
          <w:right w:w="0" w:type="dxa"/>
        </w:tblCellMar>
      </w:tblPr>
      <w:tblGrid>
        <w:gridCol w:w="1186"/>
        <w:gridCol w:w="146"/>
        <w:gridCol w:w="1996"/>
      </w:tblGrid>
      <w:tr>
        <w:trPr/>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53110" cy="175260"/>
                      <wp:effectExtent l="0" t="0" r="0" b="0"/>
                      <wp:wrapNone/>
                      <wp:docPr id="387" name="Frame386"/>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92710" cy="175260"/>
                      <wp:effectExtent l="0" t="0" r="0" b="0"/>
                      <wp:wrapNone/>
                      <wp:docPr id="388" name="Frame38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267460" cy="175260"/>
                      <wp:effectExtent l="0" t="0" r="0" b="0"/>
                      <wp:wrapNone/>
                      <wp:docPr id="389" name="Frame388"/>
                      <a:graphic xmlns:a="http://schemas.openxmlformats.org/drawingml/2006/main">
                        <a:graphicData uri="http://schemas.microsoft.com/office/word/2010/wordprocessingShape">
                          <wps:wsp>
                            <wps:cNvSpPr txBox="1"/>
                            <wps:spPr>
                              <a:xfrm>
                                <a:off x="0" y="0"/>
                                <a:ext cx="12674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18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License right</w:t>
            </w:r>
          </w:p>
        </w:tc>
        <w:tc>
          <w:tcPr>
            <w:tcW w:w="146" w:type="dxa"/>
            <w:tcBorders/>
            <w:shd w:fill="CCEEFF" w:val="clear"/>
            <w:vAlign w:val="center"/>
          </w:tcPr>
          <w:p>
            <w:pPr>
              <w:pStyle w:val="TableContents"/>
              <w:spacing w:before="0" w:after="0"/>
              <w:ind w:left="0" w:right="0" w:hanging="0"/>
              <w:jc w:val="both"/>
              <w:rPr/>
            </w:pPr>
            <w:r>
              <w:rPr/>
              <w:t> </w:t>
            </w:r>
          </w:p>
        </w:tc>
        <w:tc>
          <w:tcPr>
            <w:tcW w:w="19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over the license period</w:t>
            </w:r>
          </w:p>
        </w:tc>
      </w:tr>
      <w:tr>
        <w:trPr/>
        <w:tc>
          <w:tcPr>
            <w:tcW w:w="11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Technology</w:t>
            </w:r>
          </w:p>
        </w:tc>
        <w:tc>
          <w:tcPr>
            <w:tcW w:w="146" w:type="dxa"/>
            <w:tcBorders/>
            <w:shd w:fill="auto" w:val="clear"/>
            <w:vAlign w:val="center"/>
          </w:tcPr>
          <w:p>
            <w:pPr>
              <w:pStyle w:val="TableContents"/>
              <w:spacing w:before="0" w:after="0"/>
              <w:ind w:left="0" w:right="0" w:hanging="0"/>
              <w:jc w:val="both"/>
              <w:rPr/>
            </w:pPr>
            <w:r>
              <w:rPr/>
              <w:t>​</w:t>
            </w:r>
          </w:p>
        </w:tc>
        <w:tc>
          <w:tcPr>
            <w:tcW w:w="19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7-10 years</w:t>
            </w:r>
          </w:p>
        </w:tc>
      </w:tr>
      <w:tr>
        <w:trPr/>
        <w:tc>
          <w:tcPr>
            <w:tcW w:w="118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Trademark</w:t>
            </w:r>
          </w:p>
        </w:tc>
        <w:tc>
          <w:tcPr>
            <w:tcW w:w="146" w:type="dxa"/>
            <w:tcBorders/>
            <w:shd w:fill="CCEEFF" w:val="clear"/>
            <w:vAlign w:val="center"/>
          </w:tcPr>
          <w:p>
            <w:pPr>
              <w:pStyle w:val="TableContents"/>
              <w:spacing w:before="0" w:after="0"/>
              <w:ind w:left="0" w:right="0" w:hanging="0"/>
              <w:jc w:val="both"/>
              <w:rPr/>
            </w:pPr>
            <w:r>
              <w:rPr/>
              <w:t> </w:t>
            </w:r>
          </w:p>
        </w:tc>
        <w:tc>
          <w:tcPr>
            <w:tcW w:w="19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10 years</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and other long-term assets are tested for recoverability whenever events or changes in circumstances indicate that its carrying amount may not be recoverable. When these events occur, the Group evaluates the impairment for intangible assets and other long-term assets by comparing the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assets over the fair value of the assets.</w:t>
      </w:r>
    </w:p>
    <w:tbl>
      <w:tblPr>
        <w:tblW w:w="1277" w:type="dxa"/>
        <w:jc w:val="left"/>
        <w:tblInd w:w="0" w:type="dxa"/>
        <w:tblCellMar>
          <w:top w:w="0" w:type="dxa"/>
          <w:left w:w="0" w:type="dxa"/>
          <w:bottom w:w="0" w:type="dxa"/>
          <w:right w:w="0" w:type="dxa"/>
        </w:tblCellMar>
      </w:tblPr>
      <w:tblGrid>
        <w:gridCol w:w="346"/>
        <w:gridCol w:w="93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w:t>
            </w:r>
          </w:p>
        </w:tc>
        <w:tc>
          <w:tcPr>
            <w:tcW w:w="9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Goodwill</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w:t>
      </w:r>
    </w:p>
    <w:tbl>
      <w:tblPr>
        <w:tblW w:w="2267" w:type="dxa"/>
        <w:jc w:val="left"/>
        <w:tblInd w:w="0" w:type="dxa"/>
        <w:tblCellMar>
          <w:top w:w="0" w:type="dxa"/>
          <w:left w:w="0" w:type="dxa"/>
          <w:bottom w:w="0" w:type="dxa"/>
          <w:right w:w="0" w:type="dxa"/>
        </w:tblCellMar>
      </w:tblPr>
      <w:tblGrid>
        <w:gridCol w:w="346"/>
        <w:gridCol w:w="192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w:t>
            </w:r>
          </w:p>
        </w:tc>
        <w:tc>
          <w:tcPr>
            <w:tcW w:w="192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Advertising expenses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expenses advertising costs as incurred and reports these costs under selling and marketing expense. Advertising expenses totaled approximately RMB3,782.1 million, RMB3,762.8 million and RMB5,196.0 million (US$753.4 million) for the years ended December 31, 2020, 2021, and 2022, respectively.</w:t>
      </w:r>
    </w:p>
    <w:tbl>
      <w:tblPr>
        <w:tblW w:w="2957" w:type="dxa"/>
        <w:jc w:val="left"/>
        <w:tblInd w:w="0" w:type="dxa"/>
        <w:tblCellMar>
          <w:top w:w="0" w:type="dxa"/>
          <w:left w:w="0" w:type="dxa"/>
          <w:bottom w:w="0" w:type="dxa"/>
          <w:right w:w="0" w:type="dxa"/>
        </w:tblCellMar>
      </w:tblPr>
      <w:tblGrid>
        <w:gridCol w:w="346"/>
        <w:gridCol w:w="261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(q)</w:t>
            </w:r>
          </w:p>
        </w:tc>
        <w:tc>
          <w:tcPr>
            <w:tcW w:w="261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Foreign currency translation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reporting currency is RMB. The Company and its subsidiaries and the VIEs, with an exception of many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Translations of amounts from RMB into United States dollars for the convenience of the reader were calculated at the noon buying rate of US$1.00 = RMB6.8972 on the last trading day of 2022 (December 30, 2022) as set forth in the H.10 statistical release of the U.S. Federal Reserve Board. No representation is made that the RMB amounts could have been, or could be, converted into United States dollars at such rate.</w:t>
      </w:r>
    </w:p>
    <w:tbl>
      <w:tblPr>
        <w:tblW w:w="2732" w:type="dxa"/>
        <w:jc w:val="left"/>
        <w:tblInd w:w="0" w:type="dxa"/>
        <w:tblCellMar>
          <w:top w:w="0" w:type="dxa"/>
          <w:left w:w="0" w:type="dxa"/>
          <w:bottom w:w="0" w:type="dxa"/>
          <w:right w:w="0" w:type="dxa"/>
        </w:tblCellMar>
      </w:tblPr>
      <w:tblGrid>
        <w:gridCol w:w="331"/>
        <w:gridCol w:w="2401"/>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w:t>
            </w:r>
          </w:p>
        </w:tc>
        <w:tc>
          <w:tcPr>
            <w:tcW w:w="24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its 2009 Restricted Share Unit Plan and 2019 Restricted Share Unit Plan (see Note 22(a)),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February 22, 2023, the Board of Directors of the Company amended and restated the 2019 Restricted Share Unit Plan to permit the grant of stock option awards thereunder as an additional award type and to make certain other ministerial and administrative changes and renamed it the NetEase, Inc. Amended and Restated 2019 Share Incentive Plan (the “Amended and Restated 2019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share-based compensation to the consolidated statements of operations and comprehensive income with the corresponding credit to the additional paid-in-capital for share options and RSUs to the extent that such awards are to be settled only in stock.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subsidiaries of the Company granted options exercisable for ordinary shares to certain of the Group’s employees. The options expire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ten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Forfeitures were estimated based on the Group’s weighted average historical forfeiture rate of the past five years. Differences between actual and estimated forfeitures are expensed in the period that the differences occur. See Note 22 for further information regarding share-based compensation assumptions and expense.</w:t>
      </w:r>
    </w:p>
    <w:tbl>
      <w:tblPr>
        <w:tblW w:w="1247" w:type="dxa"/>
        <w:jc w:val="left"/>
        <w:tblInd w:w="0" w:type="dxa"/>
        <w:tblCellMar>
          <w:top w:w="0" w:type="dxa"/>
          <w:left w:w="0" w:type="dxa"/>
          <w:bottom w:w="0" w:type="dxa"/>
          <w:right w:w="0" w:type="dxa"/>
        </w:tblCellMar>
      </w:tblPr>
      <w:tblGrid>
        <w:gridCol w:w="316"/>
        <w:gridCol w:w="931"/>
      </w:tblGrid>
      <w:tr>
        <w:trPr/>
        <w:tc>
          <w:tcPr>
            <w:tcW w:w="3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w:t>
            </w:r>
          </w:p>
        </w:tc>
        <w:tc>
          <w:tcPr>
            <w:tcW w:w="9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Taxation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2007, the National People’s Congress of PRC enacted the Enterprise Income Tax (“EIT”) Law which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Valuation allowances are established, when necessary, to reduce deferred tax assets to the amount “more likely than not” to be realized in future tax returns.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2020, 2021 and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did not have any significant unrecognized uncertain tax positions as of December 31, 2021 and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tbl>
      <w:tblPr>
        <w:tblW w:w="6932" w:type="dxa"/>
        <w:jc w:val="left"/>
        <w:tblInd w:w="0" w:type="dxa"/>
        <w:tblCellMar>
          <w:top w:w="0" w:type="dxa"/>
          <w:left w:w="0" w:type="dxa"/>
          <w:bottom w:w="0" w:type="dxa"/>
          <w:right w:w="0" w:type="dxa"/>
        </w:tblCellMar>
      </w:tblPr>
      <w:tblGrid>
        <w:gridCol w:w="301"/>
        <w:gridCol w:w="663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w:t>
            </w:r>
          </w:p>
        </w:tc>
        <w:tc>
          <w:tcPr>
            <w:tcW w:w="66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Net earnings per share (“EPS”) and per American Depositary Share (“ADS”)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042" w:type="dxa"/>
        <w:jc w:val="left"/>
        <w:tblInd w:w="0" w:type="dxa"/>
        <w:tblCellMar>
          <w:top w:w="0" w:type="dxa"/>
          <w:left w:w="0" w:type="dxa"/>
          <w:bottom w:w="0" w:type="dxa"/>
          <w:right w:w="0" w:type="dxa"/>
        </w:tblCellMar>
      </w:tblPr>
      <w:tblGrid>
        <w:gridCol w:w="346"/>
        <w:gridCol w:w="169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(u)</w:t>
            </w:r>
          </w:p>
        </w:tc>
        <w:tc>
          <w:tcPr>
            <w:tcW w:w="16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Statutory reserves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subsidiaries and the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tbl>
      <w:tblPr>
        <w:tblW w:w="2327" w:type="dxa"/>
        <w:jc w:val="left"/>
        <w:tblInd w:w="0" w:type="dxa"/>
        <w:tblCellMar>
          <w:top w:w="0" w:type="dxa"/>
          <w:left w:w="0" w:type="dxa"/>
          <w:bottom w:w="0" w:type="dxa"/>
          <w:right w:w="0" w:type="dxa"/>
        </w:tblCellMar>
      </w:tblPr>
      <w:tblGrid>
        <w:gridCol w:w="346"/>
        <w:gridCol w:w="198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(v)</w:t>
            </w:r>
          </w:p>
        </w:tc>
        <w:tc>
          <w:tcPr>
            <w:tcW w:w="19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Business combination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tbl>
      <w:tblPr>
        <w:tblW w:w="6017" w:type="dxa"/>
        <w:jc w:val="left"/>
        <w:tblInd w:w="0" w:type="dxa"/>
        <w:tblCellMar>
          <w:top w:w="0" w:type="dxa"/>
          <w:left w:w="0" w:type="dxa"/>
          <w:bottom w:w="0" w:type="dxa"/>
          <w:right w:w="0" w:type="dxa"/>
        </w:tblCellMar>
      </w:tblPr>
      <w:tblGrid>
        <w:gridCol w:w="376"/>
        <w:gridCol w:w="564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(w)</w:t>
            </w:r>
          </w:p>
        </w:tc>
        <w:tc>
          <w:tcPr>
            <w:tcW w:w="564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Noncontrolling interests and redeemable noncontrolling interests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Noncontrolling interests are recognized to reflect the portion of the equity of majority-owned subsidiaries and the VIEs which is not attributable, directly or indirectly, to the controlling shareholder.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noncontrolling interest will continue to be attributed its share of losses even if that attribution results in a deficit noncontrolling interest balance.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Redeemable noncontrolling interests represent redeemable equity interests issued by the Group’s subsidiaries to certain investors (see Note 19),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tbl>
      <w:tblPr>
        <w:tblW w:w="1772" w:type="dxa"/>
        <w:jc w:val="left"/>
        <w:tblInd w:w="0" w:type="dxa"/>
        <w:tblCellMar>
          <w:top w:w="0" w:type="dxa"/>
          <w:left w:w="0" w:type="dxa"/>
          <w:bottom w:w="0" w:type="dxa"/>
          <w:right w:w="0" w:type="dxa"/>
        </w:tblCellMar>
      </w:tblPr>
      <w:tblGrid>
        <w:gridCol w:w="346"/>
        <w:gridCol w:w="142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(x)</w:t>
            </w:r>
          </w:p>
        </w:tc>
        <w:tc>
          <w:tcPr>
            <w:tcW w:w="142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Related parties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tbl>
      <w:tblPr>
        <w:tblW w:w="2477" w:type="dxa"/>
        <w:jc w:val="left"/>
        <w:tblInd w:w="0" w:type="dxa"/>
        <w:tblCellMar>
          <w:top w:w="0" w:type="dxa"/>
          <w:left w:w="0" w:type="dxa"/>
          <w:bottom w:w="0" w:type="dxa"/>
          <w:right w:w="0" w:type="dxa"/>
        </w:tblCellMar>
      </w:tblPr>
      <w:tblGrid>
        <w:gridCol w:w="346"/>
        <w:gridCol w:w="213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(y)</w:t>
            </w:r>
          </w:p>
        </w:tc>
        <w:tc>
          <w:tcPr>
            <w:tcW w:w="21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Comprehensive income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Comprehensive income is defined as the change in equity of the Group during a period arising from transactions and other events and circumstances excluding transactions resulting from investments by shareholders and distributions to shareholders. </w:t>
      </w:r>
    </w:p>
    <w:tbl>
      <w:tblPr>
        <w:tblW w:w="2057" w:type="dxa"/>
        <w:jc w:val="left"/>
        <w:tblInd w:w="0" w:type="dxa"/>
        <w:tblCellMar>
          <w:top w:w="0" w:type="dxa"/>
          <w:left w:w="0" w:type="dxa"/>
          <w:bottom w:w="0" w:type="dxa"/>
          <w:right w:w="0" w:type="dxa"/>
        </w:tblCellMar>
      </w:tblPr>
      <w:tblGrid>
        <w:gridCol w:w="331"/>
        <w:gridCol w:w="1726"/>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(z)</w:t>
            </w:r>
          </w:p>
        </w:tc>
        <w:tc>
          <w:tcPr>
            <w:tcW w:w="172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internal organizational structure as well as information about geographical areas, business segments and major customers in financial statements is set out in detail under Note 28.</w:t>
      </w:r>
    </w:p>
    <w:tbl>
      <w:tblPr>
        <w:tblW w:w="1442" w:type="dxa"/>
        <w:jc w:val="left"/>
        <w:tblInd w:w="0" w:type="dxa"/>
        <w:tblCellMar>
          <w:top w:w="0" w:type="dxa"/>
          <w:left w:w="0" w:type="dxa"/>
          <w:bottom w:w="0" w:type="dxa"/>
          <w:right w:w="0" w:type="dxa"/>
        </w:tblCellMar>
      </w:tblPr>
      <w:tblGrid>
        <w:gridCol w:w="451"/>
        <w:gridCol w:w="99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(aa)</w:t>
            </w:r>
          </w:p>
        </w:tc>
        <w:tc>
          <w:tcPr>
            <w:tcW w:w="9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Dividends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Dividends of the Company are recognized when declared.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(bb) Recently adopted accounting pronouncements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FASB issued ASU 2020-06, Debt—Debt with Conversion and Other Options (Subtopic 470-20) and Derivatives and Hedging—Contracts in Entity’s Own Equity (Subtopic 815-40), Accounting for Convertible Instruments and Contracts in an Entity’s Own Equity. ASU 2020-06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ASU 2020-06 is effective for fiscal years beginning after December 15, 2021, including interim periods within those fiscal years. The Group adopted this new standard effective January 1,2022 with no material impact on its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May 2021, the FASB issued ASU No. 2021-04, Earnings Per Share (Topic 260), Debt — Modifications and Extinguishments (Subtopic 470-50), Compensation — Stock Compensation (Topic 718), and Derivatives and Hedging — Contracts in Entity’s Own Equity (Subtopic 815-40) to clarify and reduce diversity in an issuer’s accounting for modifications or exchanges of freestanding equity-classified written call options (for example, warrants) that remain equity classified after modification or exchange.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Group adopted this new standard effective January 1,2022 with no material impact on its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fiscal years beginning after December 15, 2022, including interim periods within those fiscal years. The amendments should be applied prospectively to business combinations occurring on or after the effective date of the amendments, with early adoption permitted. The Group adopted this new standard effective January 1,2022 with no material impact on its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(cc)</w:t>
      </w:r>
      <w:r>
        <w:rPr>
          <w:rFonts w:ascii="Times New Roman;Times;serif" w:hAnsi="Times New Roman;Times;serif"/>
          <w:b/>
          <w:sz w:val="20"/>
        </w:rPr>
        <w:t>Recently issued accounting pronouncements not yet adopted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2022, the FASB issued ASU No. 2022-03, Fair Value Measurement (Topic 820): Fair Value Measurement of Equity Securities Subject to Contractual Sale Restrictions (ASU 2022-03), which clarifies that a contractual 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The new amendments are effective for fiscal years beginning after December 15, 2023, including interim periods within those fiscal years. The amendments should be applied prospectively with any adjustments from the adoption recognized in earnings and disclosed on the date of adoption, with early adoption permitted. The Group is currently evaluating the impact of the new guidance on the consolidated financial statements.</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463" w:name="_d446691d_aff0_4912_8269_d1135c4ab813"/>
      <w:bookmarkStart w:id="1464" w:name="_d446691d_aff0_4912_8269_d1135c4ab813"/>
      <w:bookmarkEnd w:id="1464"/>
    </w:p>
    <w:tbl>
      <w:tblPr>
        <w:tblW w:w="2462" w:type="dxa"/>
        <w:jc w:val="left"/>
        <w:tblInd w:w="0" w:type="dxa"/>
        <w:tblCellMar>
          <w:top w:w="0" w:type="dxa"/>
          <w:left w:w="0" w:type="dxa"/>
          <w:bottom w:w="0" w:type="dxa"/>
          <w:right w:w="0" w:type="dxa"/>
        </w:tblCellMar>
      </w:tblPr>
      <w:tblGrid>
        <w:gridCol w:w="271"/>
        <w:gridCol w:w="2191"/>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3.</w:t>
            </w:r>
          </w:p>
        </w:tc>
        <w:tc>
          <w:tcPr>
            <w:tcW w:w="21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Discontinued operations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2022, the Company recognized net income from discontinued operations of RMB624.9 million (US$90.6 million) which was related to the disposal of the Kaola business in 2019.</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465" w:name="Tc_ZJAOk7H7cE2Op0p0igbT2w_10_0"/>
      <w:bookmarkStart w:id="1466" w:name="Tc_iExeZJIeFUWRbuNyJWJ9EQ_9_0"/>
      <w:bookmarkStart w:id="1467" w:name="Tc_a0tYrtjjS06wUR19PwDpFQ_8_0"/>
      <w:bookmarkStart w:id="1468" w:name="Tc_LNHomvYSw0uap40z0JDjcA_7_0"/>
      <w:bookmarkStart w:id="1469" w:name="Tc_6QAabyGO9Ui2u5MF9BXAeQ_6_0"/>
      <w:bookmarkStart w:id="1470" w:name="Tc_isPp_7lY2US4g2DxaxZDHA_5_0"/>
      <w:bookmarkStart w:id="1471" w:name="Tc_FrJbmLQg_U6tCG3-AwsydQ_4_0"/>
      <w:bookmarkStart w:id="1472" w:name="Tc_PC7OcCcVNkyqoNqvrqmtBw_3_0"/>
      <w:bookmarkStart w:id="1473" w:name="Tc_P6hCN-tyJk2kVJmHUlmM2Q_2_2"/>
      <w:bookmarkStart w:id="1474" w:name="Tc_obwlMhIRrECZbPAKxjc_HQ_1_2"/>
      <w:bookmarkStart w:id="1475" w:name="_bee07124_123e_40c5_aa4b_f3de3888ad1f"/>
      <w:bookmarkStart w:id="1476" w:name="Tc_ZJAOk7H7cE2Op0p0igbT2w_10_0"/>
      <w:bookmarkStart w:id="1477" w:name="Tc_iExeZJIeFUWRbuNyJWJ9EQ_9_0"/>
      <w:bookmarkStart w:id="1478" w:name="Tc_a0tYrtjjS06wUR19PwDpFQ_8_0"/>
      <w:bookmarkStart w:id="1479" w:name="Tc_LNHomvYSw0uap40z0JDjcA_7_0"/>
      <w:bookmarkStart w:id="1480" w:name="Tc_6QAabyGO9Ui2u5MF9BXAeQ_6_0"/>
      <w:bookmarkStart w:id="1481" w:name="Tc_isPp_7lY2US4g2DxaxZDHA_5_0"/>
      <w:bookmarkStart w:id="1482" w:name="Tc_FrJbmLQg_U6tCG3-AwsydQ_4_0"/>
      <w:bookmarkStart w:id="1483" w:name="Tc_PC7OcCcVNkyqoNqvrqmtBw_3_0"/>
      <w:bookmarkStart w:id="1484" w:name="Tc_P6hCN-tyJk2kVJmHUlmM2Q_2_2"/>
      <w:bookmarkStart w:id="1485" w:name="Tc_obwlMhIRrECZbPAKxjc_HQ_1_2"/>
      <w:bookmarkStart w:id="1486" w:name="_bee07124_123e_40c5_aa4b_f3de3888ad1f"/>
      <w:bookmarkEnd w:id="1476"/>
      <w:bookmarkEnd w:id="1477"/>
      <w:bookmarkEnd w:id="1478"/>
      <w:bookmarkEnd w:id="1479"/>
      <w:bookmarkEnd w:id="1480"/>
      <w:bookmarkEnd w:id="1481"/>
      <w:bookmarkEnd w:id="1482"/>
      <w:bookmarkEnd w:id="1483"/>
      <w:bookmarkEnd w:id="1484"/>
      <w:bookmarkEnd w:id="1485"/>
      <w:bookmarkEnd w:id="1486"/>
    </w:p>
    <w:tbl>
      <w:tblPr>
        <w:tblW w:w="1382" w:type="dxa"/>
        <w:jc w:val="left"/>
        <w:tblInd w:w="0" w:type="dxa"/>
        <w:tblCellMar>
          <w:top w:w="0" w:type="dxa"/>
          <w:left w:w="0" w:type="dxa"/>
          <w:bottom w:w="0" w:type="dxa"/>
          <w:right w:w="0" w:type="dxa"/>
        </w:tblCellMar>
      </w:tblPr>
      <w:tblGrid>
        <w:gridCol w:w="271"/>
        <w:gridCol w:w="1111"/>
      </w:tblGrid>
      <w:tr>
        <w:trPr/>
        <w:tc>
          <w:tcPr>
            <w:tcW w:w="271" w:type="dxa"/>
            <w:tcBorders/>
            <w:shd w:fill="auto" w:val="clear"/>
            <w:vAlign w:val="center"/>
          </w:tcPr>
          <w:p>
            <w:pPr>
              <w:pStyle w:val="TableContents"/>
              <w:spacing w:before="0" w:after="160"/>
              <w:jc w:val="both"/>
              <w:rPr>
                <w:rFonts w:ascii="Times New Roman;Times;serif" w:hAnsi="Times New Roman;Times;serif"/>
                <w:b/>
                <w:sz w:val="20"/>
              </w:rPr>
            </w:pPr>
            <w:r>
              <w:rPr>
                <w:rFonts w:ascii="Times New Roman;Times;serif" w:hAnsi="Times New Roman;Times;serif"/>
                <w:b/>
                <w:sz w:val="20"/>
              </w:rPr>
              <w:t>4.</w:t>
            </w:r>
          </w:p>
        </w:tc>
        <w:tc>
          <w:tcPr>
            <w:tcW w:w="1111" w:type="dxa"/>
            <w:tcBorders/>
            <w:shd w:fill="auto" w:val="clear"/>
            <w:vAlign w:val="center"/>
          </w:tcPr>
          <w:p>
            <w:pPr>
              <w:pStyle w:val="TableContents"/>
              <w:spacing w:before="0" w:after="160"/>
              <w:jc w:val="both"/>
              <w:rPr>
                <w:rFonts w:ascii="Times New Roman;Times;serif" w:hAnsi="Times New Roman;Times;serif"/>
                <w:b/>
                <w:sz w:val="20"/>
              </w:rPr>
            </w:pPr>
            <w:r>
              <w:rPr>
                <w:rFonts w:ascii="Times New Roman;Times;serif" w:hAnsi="Times New Roman;Times;serif"/>
                <w:b/>
                <w:sz w:val="20"/>
              </w:rPr>
              <w:t>Acquisition</w:t>
            </w:r>
          </w:p>
        </w:tc>
      </w:tr>
    </w:tbl>
    <w:p>
      <w:pPr>
        <w:pStyle w:val="TextBody"/>
        <w:pBdr/>
        <w:spacing w:before="0" w:after="160"/>
        <w:ind w:left="0" w:right="0" w:hanging="360"/>
        <w:jc w:val="both"/>
        <w:rPr>
          <w:rFonts w:ascii="Times New Roman;Times;serif" w:hAnsi="Times New Roman;Times;serif"/>
          <w:i/>
          <w:sz w:val="20"/>
        </w:rPr>
      </w:pPr>
      <w:r>
        <w:rPr>
          <w:rFonts w:ascii="Times New Roman;Times;serif" w:hAnsi="Times New Roman;Times;serif"/>
          <w:i/>
          <w:sz w:val="20"/>
        </w:rPr>
        <w:t>Major acquisition in 2020</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In 2020, the Group acquired an additional 33.1% equity interest of a previously held equity investment with total cash consideration of RMB168.3 million. Upon the acquisition, the Group increased its equity interest in this investment from 30.0% to 63.1%, and accounted for it as a consolidated subsidiary of the Group. A gain of RMB130.1 million in relation to the revaluation of the previously held equity interests was recorded in “Investment income, net” in the consolidated statements of operations and comprehensive income for the year ended December 31, 2020.</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Consideration for this transaction was allocated on the acquisition date based on the fair value of the assets acquired and the liabilities assumed as follows (in thousands):</w:t>
      </w:r>
    </w:p>
    <w:p>
      <w:pPr>
        <w:pStyle w:val="TextBody"/>
        <w:spacing w:before="0" w:after="0"/>
        <w:ind w:left="0" w:right="0" w:hanging="0"/>
        <w:jc w:val="both"/>
        <w:rPr/>
      </w:pPr>
      <w:r>
        <w:rPr/>
        <w:t>​</w:t>
      </w:r>
    </w:p>
    <w:tbl>
      <w:tblPr>
        <w:tblW w:w="4018" w:type="dxa"/>
        <w:jc w:val="left"/>
        <w:tblInd w:w="0" w:type="dxa"/>
        <w:tblCellMar>
          <w:top w:w="0" w:type="dxa"/>
          <w:left w:w="0" w:type="dxa"/>
          <w:bottom w:w="0" w:type="dxa"/>
          <w:right w:w="0" w:type="dxa"/>
        </w:tblCellMar>
      </w:tblPr>
      <w:tblGrid>
        <w:gridCol w:w="2746"/>
        <w:gridCol w:w="326"/>
        <w:gridCol w:w="946"/>
      </w:tblGrid>
      <w:tr>
        <w:trPr/>
        <w:tc>
          <w:tcPr>
            <w:tcW w:w="2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743710" cy="175260"/>
                      <wp:effectExtent l="0" t="0" r="0" b="0"/>
                      <wp:wrapNone/>
                      <wp:docPr id="390" name="Frame389"/>
                      <a:graphic xmlns:a="http://schemas.openxmlformats.org/drawingml/2006/main">
                        <a:graphicData uri="http://schemas.microsoft.com/office/word/2010/wordprocessingShape">
                          <wps:wsp>
                            <wps:cNvSpPr txBox="1"/>
                            <wps:spPr>
                              <a:xfrm>
                                <a:off x="0" y="0"/>
                                <a:ext cx="1743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1" name="Frame3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00710" cy="175260"/>
                      <wp:effectExtent l="0" t="0" r="0" b="0"/>
                      <wp:wrapNone/>
                      <wp:docPr id="392" name="Frame391"/>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7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27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46"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Net assets acquired </w:t>
            </w:r>
            <w:r>
              <w:rPr>
                <w:rFonts w:ascii="Times New Roman;Times;serif" w:hAnsi="Times New Roman;Times;serif"/>
                <w:sz w:val="15"/>
              </w:rPr>
              <w:t>(i)</w:t>
            </w:r>
          </w:p>
        </w:tc>
        <w:tc>
          <w:tcPr>
            <w:tcW w:w="326" w:type="dxa"/>
            <w:tcBorders/>
            <w:shd w:fill="CCEEFF" w:val="clear"/>
            <w:vAlign w:val="center"/>
          </w:tcPr>
          <w:p>
            <w:pPr>
              <w:pStyle w:val="TableContents"/>
              <w:spacing w:before="0" w:after="0"/>
              <w:ind w:left="0" w:right="0" w:hanging="0"/>
              <w:jc w:val="both"/>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16,440</w:t>
            </w:r>
          </w:p>
        </w:tc>
      </w:tr>
      <w:tr>
        <w:trPr/>
        <w:tc>
          <w:tcPr>
            <w:tcW w:w="274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Amortizable intangible assets </w:t>
            </w:r>
            <w:r>
              <w:rPr>
                <w:rFonts w:ascii="Times New Roman;Times;serif" w:hAnsi="Times New Roman;Times;serif"/>
                <w:sz w:val="15"/>
              </w:rPr>
              <w:t>(ii)</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right"/>
              <w:rPr/>
            </w:pPr>
            <w:r>
              <w:rPr/>
              <w:t>  </w:t>
            </w:r>
          </w:p>
        </w:tc>
      </w:tr>
      <w:tr>
        <w:trPr/>
        <w:tc>
          <w:tcPr>
            <w:tcW w:w="27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spacing w:before="0" w:after="0"/>
              <w:ind w:left="0" w:right="0" w:hanging="0"/>
              <w:jc w:val="both"/>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59,300</w:t>
            </w:r>
          </w:p>
        </w:tc>
      </w:tr>
      <w:tr>
        <w:trPr/>
        <w:tc>
          <w:tcPr>
            <w:tcW w:w="27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182,200</w:t>
            </w:r>
          </w:p>
        </w:tc>
      </w:tr>
      <w:tr>
        <w:trPr/>
        <w:tc>
          <w:tcPr>
            <w:tcW w:w="27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jc w:val="both"/>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(60,375)</w:t>
            </w:r>
          </w:p>
        </w:tc>
      </w:tr>
      <w:tr>
        <w:trPr/>
        <w:tc>
          <w:tcPr>
            <w:tcW w:w="27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311,109</w:t>
            </w:r>
          </w:p>
        </w:tc>
      </w:tr>
      <w:tr>
        <w:trPr/>
        <w:tc>
          <w:tcPr>
            <w:tcW w:w="27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spacing w:before="0" w:after="0"/>
              <w:ind w:left="0" w:right="0" w:hanging="0"/>
              <w:jc w:val="both"/>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(187,762)</w:t>
            </w:r>
          </w:p>
        </w:tc>
      </w:tr>
      <w:tr>
        <w:trPr/>
        <w:tc>
          <w:tcPr>
            <w:tcW w:w="27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320,912</w:t>
            </w:r>
          </w:p>
        </w:tc>
      </w:tr>
    </w:tbl>
    <w:tbl>
      <w:tblPr>
        <w:tblW w:w="7847" w:type="dxa"/>
        <w:jc w:val="left"/>
        <w:tblInd w:w="0" w:type="dxa"/>
        <w:tblCellMar>
          <w:top w:w="0" w:type="dxa"/>
          <w:left w:w="0" w:type="dxa"/>
          <w:bottom w:w="0" w:type="dxa"/>
          <w:right w:w="0" w:type="dxa"/>
        </w:tblCellMar>
      </w:tblPr>
      <w:tblGrid>
        <w:gridCol w:w="301"/>
        <w:gridCol w:w="7546"/>
      </w:tblGrid>
      <w:tr>
        <w:trPr/>
        <w:tc>
          <w:tcPr>
            <w:tcW w:w="3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w:t>
            </w:r>
          </w:p>
        </w:tc>
        <w:tc>
          <w:tcPr>
            <w:tcW w:w="75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Net assets acquired mainly included cash and cash equivalents as of the date of acquisition.</w:t>
            </w:r>
          </w:p>
        </w:tc>
      </w:tr>
    </w:tbl>
    <w:tbl>
      <w:tblPr>
        <w:tblW w:w="10205" w:type="dxa"/>
        <w:jc w:val="left"/>
        <w:tblInd w:w="0" w:type="dxa"/>
        <w:tblCellMar>
          <w:top w:w="0" w:type="dxa"/>
          <w:left w:w="0" w:type="dxa"/>
          <w:bottom w:w="0" w:type="dxa"/>
          <w:right w:w="0" w:type="dxa"/>
        </w:tblCellMar>
      </w:tblPr>
      <w:tblGrid>
        <w:gridCol w:w="348"/>
        <w:gridCol w:w="9857"/>
      </w:tblGrid>
      <w:tr>
        <w:trPr/>
        <w:tc>
          <w:tcPr>
            <w:tcW w:w="34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(ii)</w:t>
            </w:r>
          </w:p>
        </w:tc>
        <w:tc>
          <w:tcPr>
            <w:tcW w:w="985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Trademark and Developed technology acquired in the acquisition are included in “Copyrights, licenses, domain names, trademark and technology”.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bookmarkStart w:id="1487" w:name="_37db35f3_b804_4c80_a87f_494dbbd7a05c"/>
      <w:bookmarkStart w:id="1488" w:name="Tc_2UPT1Leg0kyZ2yabURa89g_10_0"/>
      <w:bookmarkStart w:id="1489" w:name="Tc_a3czD-6vXEqkNIURx7jJMA_9_0"/>
      <w:bookmarkStart w:id="1490" w:name="Tc_pDxrPZOjzU68h7yMFmAz9w_8_0"/>
      <w:bookmarkStart w:id="1491" w:name="Tc_3rINVDFwQUmIdEE57FZ0AQ_7_0"/>
      <w:bookmarkStart w:id="1492" w:name="Tc_PZUgYLRueEGf3lZYJjtf7g_6_0"/>
      <w:bookmarkStart w:id="1493" w:name="Tc_G31n_cFDBEWzjrBv5E7l8Q_5_0"/>
      <w:bookmarkStart w:id="1494" w:name="Tc_97b4mWbnckuIQAUWYzU8pg_4_0"/>
      <w:bookmarkStart w:id="1495" w:name="Tc_BYlNJ4YrGk-MHfLu-U9Xtw_3_0"/>
      <w:bookmarkStart w:id="1496" w:name="Tc_5M8FEyKlukSWupC2TJp6Hw_2_2"/>
      <w:bookmarkStart w:id="1497" w:name="Tc_R3dXwp7rbkyAyuR_tQQI-w_1_2"/>
      <w:bookmarkStart w:id="1498" w:name="_95c6092a_c809_4401_95e7_e565c5a6aadd"/>
      <w:bookmarkStart w:id="1499" w:name="_fbdcbacc_9bd5_4a93_b713_4beea459a702"/>
      <w:bookmarkStart w:id="1500" w:name="Tc_BzsW2uCpO0GYMsqEHhnjBw_10_0"/>
      <w:bookmarkStart w:id="1501" w:name="Tc_NDmM6MljQky5RtH7Xmgn1A_9_0"/>
      <w:bookmarkStart w:id="1502" w:name="Tc_VnNRrshr3UKd8cCrawPdsQ_8_0"/>
      <w:bookmarkStart w:id="1503" w:name="Tc_WBft1V_VTUCrvoX8pZuNZQ_7_0"/>
      <w:bookmarkStart w:id="1504" w:name="Tc_ihtnAY_qRUyBB1v7EO_MYw_6_0"/>
      <w:bookmarkStart w:id="1505" w:name="Tc_cEsn2M5diEuftZqoCYChBA_5_0"/>
      <w:bookmarkStart w:id="1506" w:name="Tc_c4cCNIbyq02ud9u-_2sRBQ_4_0"/>
      <w:bookmarkStart w:id="1507" w:name="Tc_maTn8J6wokKJtngMcCmQkQ_3_0"/>
      <w:bookmarkStart w:id="1508" w:name="Tc_Xdn3403mr0SXSNvVHBKhig_2_2"/>
      <w:bookmarkStart w:id="1509" w:name="Tc_Yf-cQXIIeUu8jMj3DbRc3Q_1_2"/>
      <w:bookmarkStart w:id="1510" w:name="_638a34e7_cbcb_47f0_89fa_5885ca56db33"/>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Pr>
          <w:rFonts w:ascii="Times New Roman;Times;serif" w:hAnsi="Times New Roman;Times;serif"/>
          <w:i/>
          <w:sz w:val="20"/>
        </w:rPr>
        <w:t>Acquisitions in 2021</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2021, the Group completed several acquisitions to complete its existing businesses and achieve synergies. The acquired entities individually and in aggregate were insignificant. The Group’s acquisitions in 2021 are summarized in the following table (in thousands):</w:t>
      </w:r>
    </w:p>
    <w:p>
      <w:pPr>
        <w:pStyle w:val="TextBody"/>
        <w:spacing w:before="0" w:after="0"/>
        <w:ind w:left="0" w:right="0" w:hanging="0"/>
        <w:jc w:val="both"/>
        <w:rPr/>
      </w:pPr>
      <w:r>
        <w:rPr/>
        <w:t>​</w:t>
      </w:r>
    </w:p>
    <w:tbl>
      <w:tblPr>
        <w:tblW w:w="4393" w:type="dxa"/>
        <w:jc w:val="left"/>
        <w:tblInd w:w="0" w:type="dxa"/>
        <w:tblCellMar>
          <w:top w:w="0" w:type="dxa"/>
          <w:left w:w="0" w:type="dxa"/>
          <w:bottom w:w="0" w:type="dxa"/>
          <w:right w:w="0" w:type="dxa"/>
        </w:tblCellMar>
      </w:tblPr>
      <w:tblGrid>
        <w:gridCol w:w="3121"/>
        <w:gridCol w:w="326"/>
        <w:gridCol w:w="946"/>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981835" cy="175260"/>
                      <wp:effectExtent l="0" t="0" r="0" b="0"/>
                      <wp:wrapNone/>
                      <wp:docPr id="393" name="Frame392"/>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4" name="Frame3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00710" cy="175260"/>
                      <wp:effectExtent l="0" t="0" r="0" b="0"/>
                      <wp:wrapNone/>
                      <wp:docPr id="395" name="Frame39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1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31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1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assets acquired </w:t>
            </w:r>
          </w:p>
        </w:tc>
        <w:tc>
          <w:tcPr>
            <w:tcW w:w="326" w:type="dxa"/>
            <w:tcBorders/>
            <w:shd w:fill="CCEEFF" w:val="clear"/>
            <w:vAlign w:val="center"/>
          </w:tcPr>
          <w:p>
            <w:pPr>
              <w:pStyle w:val="TableContents"/>
              <w:spacing w:before="0" w:after="0"/>
              <w:ind w:left="0" w:right="0" w:hanging="0"/>
              <w:jc w:val="both"/>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76,132</w:t>
            </w:r>
          </w:p>
        </w:tc>
      </w:tr>
      <w:tr>
        <w:trPr/>
        <w:tc>
          <w:tcPr>
            <w:tcW w:w="3121"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Amortizable intangible assets </w:t>
            </w:r>
            <w:r>
              <w:rPr>
                <w:rFonts w:ascii="Times New Roman;Times;serif" w:hAnsi="Times New Roman;Times;serif"/>
                <w:sz w:val="15"/>
              </w:rPr>
              <w:t>(i)</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right"/>
              <w:rPr/>
            </w:pPr>
            <w:r>
              <w:rPr/>
              <w:t>  </w:t>
            </w:r>
          </w:p>
        </w:tc>
      </w:tr>
      <w:tr>
        <w:trPr/>
        <w:tc>
          <w:tcPr>
            <w:tcW w:w="31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spacing w:before="0" w:after="0"/>
              <w:ind w:left="0" w:right="0" w:hanging="0"/>
              <w:jc w:val="both"/>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64,662</w:t>
            </w:r>
          </w:p>
        </w:tc>
      </w:tr>
      <w:tr>
        <w:trPr/>
        <w:tc>
          <w:tcPr>
            <w:tcW w:w="31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identified intangible assets</w:t>
            </w:r>
          </w:p>
        </w:tc>
        <w:tc>
          <w:tcPr>
            <w:tcW w:w="326" w:type="dxa"/>
            <w:tcBorders/>
            <w:shd w:fill="auto" w:val="clear"/>
            <w:vAlign w:val="center"/>
          </w:tcPr>
          <w:p>
            <w:pPr>
              <w:pStyle w:val="TableContents"/>
              <w:spacing w:before="0" w:after="0"/>
              <w:ind w:left="0" w:right="0" w:hanging="0"/>
              <w:jc w:val="both"/>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r>
      <w:tr>
        <w:trPr/>
        <w:tc>
          <w:tcPr>
            <w:tcW w:w="31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jc w:val="both"/>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(13,293)</w:t>
            </w:r>
          </w:p>
        </w:tc>
      </w:tr>
      <w:tr>
        <w:trPr/>
        <w:tc>
          <w:tcPr>
            <w:tcW w:w="31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276,463</w:t>
            </w:r>
          </w:p>
        </w:tc>
      </w:tr>
      <w:tr>
        <w:trPr/>
        <w:tc>
          <w:tcPr>
            <w:tcW w:w="31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Redeemable noncontrolling interests</w:t>
            </w:r>
          </w:p>
        </w:tc>
        <w:tc>
          <w:tcPr>
            <w:tcW w:w="326" w:type="dxa"/>
            <w:tcBorders/>
            <w:shd w:fill="CCEEFF" w:val="clear"/>
            <w:vAlign w:val="center"/>
          </w:tcPr>
          <w:p>
            <w:pPr>
              <w:pStyle w:val="TableContents"/>
              <w:spacing w:before="0" w:after="0"/>
              <w:ind w:left="0" w:right="0" w:hanging="0"/>
              <w:jc w:val="both"/>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(106,368)</w:t>
            </w:r>
          </w:p>
        </w:tc>
      </w:tr>
      <w:tr>
        <w:trPr/>
        <w:tc>
          <w:tcPr>
            <w:tcW w:w="31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311,346</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w:t>
            </w:r>
          </w:p>
        </w:tc>
        <w:tc>
          <w:tcPr>
            <w:tcW w:w="993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Trademarks and other identified intangible assets acquired in the acquisitions are included in “Copyrights, licenses, domain names, trademark and technology”, of which impairment loss of RMB56.8 million for the year ended December 31, 2021 was recognised.</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the revaluation of the previously held equity interests, a loss of RMB2.5 million was recorded in “Investment income, net” in the consolidated statements of operations and comprehensive income for the year ended December 31, 2021.</w:t>
      </w:r>
    </w:p>
    <w:p>
      <w:pPr>
        <w:pStyle w:val="TextBody"/>
        <w:pBdr/>
        <w:spacing w:before="0" w:after="240"/>
        <w:ind w:left="0" w:right="0" w:hanging="432"/>
        <w:jc w:val="both"/>
        <w:rPr>
          <w:rFonts w:ascii="Times New Roman;Times;serif" w:hAnsi="Times New Roman;Times;serif"/>
          <w:i/>
          <w:sz w:val="20"/>
        </w:rPr>
      </w:pPr>
      <w:r>
        <w:rPr>
          <w:rFonts w:ascii="Times New Roman;Times;serif" w:hAnsi="Times New Roman;Times;serif"/>
          <w:i/>
          <w:sz w:val="20"/>
        </w:rPr>
        <w:t>Acquisitions in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2022, the Group completed several acquisitions to complete its existing businesses and achieve synergies. Among them, the Group acquired an additional 50.5% equity interest of a previously held equity investment with total cash consideration of RMB760.4 million. Upon the acquisition, the Group increased its equity interest in this investment from 41.5% to 92.0%, and accounted for it as a consolidated subsidiary of the Group. A gain of RMB310.4 million in relation to the revaluation of the previously held equity interests was recorded in “Investment income, net” in the consolidated statements of operations and comprehensive income for the year ended December 31, 2022. The acquired entities individually and in aggregate were insignificant. The Group’s acquisitions in 2022 are summarized in the following table (in thousands):</w:t>
      </w:r>
    </w:p>
    <w:tbl>
      <w:tblPr>
        <w:tblW w:w="4168" w:type="dxa"/>
        <w:jc w:val="left"/>
        <w:tblInd w:w="0" w:type="dxa"/>
        <w:tblCellMar>
          <w:top w:w="0" w:type="dxa"/>
          <w:left w:w="0" w:type="dxa"/>
          <w:bottom w:w="0" w:type="dxa"/>
          <w:right w:w="0" w:type="dxa"/>
        </w:tblCellMar>
      </w:tblPr>
      <w:tblGrid>
        <w:gridCol w:w="2806"/>
        <w:gridCol w:w="326"/>
        <w:gridCol w:w="1036"/>
      </w:tblGrid>
      <w:tr>
        <w:trPr/>
        <w:tc>
          <w:tcPr>
            <w:tcW w:w="2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81810" cy="175260"/>
                      <wp:effectExtent l="0" t="0" r="0" b="0"/>
                      <wp:wrapNone/>
                      <wp:docPr id="396" name="Frame395"/>
                      <a:graphic xmlns:a="http://schemas.openxmlformats.org/drawingml/2006/main">
                        <a:graphicData uri="http://schemas.microsoft.com/office/word/2010/wordprocessingShape">
                          <wps:wsp>
                            <wps:cNvSpPr txBox="1"/>
                            <wps:spPr>
                              <a:xfrm>
                                <a:off x="0" y="0"/>
                                <a:ext cx="178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7"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57860" cy="175260"/>
                      <wp:effectExtent l="0" t="0" r="0" b="0"/>
                      <wp:wrapNone/>
                      <wp:docPr id="398" name="Frame39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28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liabilities acquired</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(34,671)</w:t>
            </w:r>
          </w:p>
        </w:tc>
      </w:tr>
      <w:tr>
        <w:trPr/>
        <w:tc>
          <w:tcPr>
            <w:tcW w:w="280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Amortizable intangible assets </w:t>
            </w:r>
            <w:r>
              <w:rPr>
                <w:rFonts w:ascii="Times New Roman;Times;serif" w:hAnsi="Times New Roman;Times;serif"/>
                <w:sz w:val="15"/>
              </w:rPr>
              <w:t>(i)</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143,146</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identified intangible assets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525,853</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(104,137)</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1,571,206</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(122,983)</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1,978,414</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w:t>
            </w:r>
          </w:p>
        </w:tc>
        <w:tc>
          <w:tcPr>
            <w:tcW w:w="99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Trademarks and other identified intangible assets acquired in the acquisitions are included in “Copyrights, licenses, domain names, trademark and technology”.</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 forma results of operations for all the acquisitions have not been presented because they were not material to the consolidated statements of operations and comprehensive income for the years ended December 31, 2020, 2021 and 2022, either individually or in aggregate.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511" w:name="Tc_b84BxknndkyPQWqtJ2eUoQ_3_5"/>
      <w:bookmarkStart w:id="1512" w:name="Tc_VpzedtWM1kOjP46dtQs2hQ_3_3"/>
      <w:bookmarkStart w:id="1513" w:name="Tc_a_vn2-uQZUeeR4ftUVkPgw_3_0"/>
      <w:bookmarkStart w:id="1514" w:name="Tc_8JmbV1fKT0-oAspkbmdTGg_2_4"/>
      <w:bookmarkStart w:id="1515" w:name="Tc_KnlmR4ZqP0uwUIL6BUwu5A_2_2"/>
      <w:bookmarkStart w:id="1516" w:name="Tc__ow_aCVKr0m-Y_EbFsocIA_1_4"/>
      <w:bookmarkStart w:id="1517" w:name="Tc_2iBC33f8IECLMNTneAQKCQ_1_2"/>
      <w:bookmarkStart w:id="1518" w:name="_996add5b_e85a_4278_bcfe_30b3881a5a12"/>
      <w:bookmarkStart w:id="1519" w:name="Tc_qgTN9PUJyUO6_gmI0W5TYA_5_7"/>
      <w:bookmarkStart w:id="1520" w:name="Tc_e18fLMRVSEmLQ1X6731b2A_5_5"/>
      <w:bookmarkStart w:id="1521" w:name="Tc_yu7m5n9M_U-KKFcSt77M-Q_5_3"/>
      <w:bookmarkStart w:id="1522" w:name="Tc_OTzpSHDPQEyHoC0UcnK5lQ_5_0"/>
      <w:bookmarkStart w:id="1523" w:name="Tc_gquikNOlk0qHf04RdjHO-w_4_0"/>
      <w:bookmarkStart w:id="1524" w:name="Tc_XWi4oKelREC68N8DnMsbFg_3_0"/>
      <w:bookmarkStart w:id="1525" w:name="Tc_gvWoAynt8UWP1YghePdz2g_2_6"/>
      <w:bookmarkStart w:id="1526" w:name="Tc_edAV6qSdzka96zDNN0x6ww_2_4"/>
      <w:bookmarkStart w:id="1527" w:name="Tc_z-FCGXPEWUqlrxz5fd_5lw_2_2"/>
      <w:bookmarkStart w:id="1528" w:name="Tc_VaqHawELmUKVq5irKH7HzA_1_2"/>
      <w:bookmarkStart w:id="1529" w:name="_1d33dfed_fa8f_4456_989c_a7899dae085e"/>
      <w:bookmarkStart w:id="1530" w:name="Tc_b84BxknndkyPQWqtJ2eUoQ_3_5"/>
      <w:bookmarkStart w:id="1531" w:name="Tc_VpzedtWM1kOjP46dtQs2hQ_3_3"/>
      <w:bookmarkStart w:id="1532" w:name="Tc_a_vn2-uQZUeeR4ftUVkPgw_3_0"/>
      <w:bookmarkStart w:id="1533" w:name="Tc_8JmbV1fKT0-oAspkbmdTGg_2_4"/>
      <w:bookmarkStart w:id="1534" w:name="Tc_KnlmR4ZqP0uwUIL6BUwu5A_2_2"/>
      <w:bookmarkStart w:id="1535" w:name="Tc__ow_aCVKr0m-Y_EbFsocIA_1_4"/>
      <w:bookmarkStart w:id="1536" w:name="Tc_2iBC33f8IECLMNTneAQKCQ_1_2"/>
      <w:bookmarkStart w:id="1537" w:name="_996add5b_e85a_4278_bcfe_30b3881a5a12"/>
      <w:bookmarkStart w:id="1538" w:name="Tc_qgTN9PUJyUO6_gmI0W5TYA_5_7"/>
      <w:bookmarkStart w:id="1539" w:name="Tc_e18fLMRVSEmLQ1X6731b2A_5_5"/>
      <w:bookmarkStart w:id="1540" w:name="Tc_yu7m5n9M_U-KKFcSt77M-Q_5_3"/>
      <w:bookmarkStart w:id="1541" w:name="Tc_OTzpSHDPQEyHoC0UcnK5lQ_5_0"/>
      <w:bookmarkStart w:id="1542" w:name="Tc_gquikNOlk0qHf04RdjHO-w_4_0"/>
      <w:bookmarkStart w:id="1543" w:name="Tc_XWi4oKelREC68N8DnMsbFg_3_0"/>
      <w:bookmarkStart w:id="1544" w:name="Tc_gvWoAynt8UWP1YghePdz2g_2_6"/>
      <w:bookmarkStart w:id="1545" w:name="Tc_edAV6qSdzka96zDNN0x6ww_2_4"/>
      <w:bookmarkStart w:id="1546" w:name="Tc_z-FCGXPEWUqlrxz5fd_5lw_2_2"/>
      <w:bookmarkStart w:id="1547" w:name="Tc_VaqHawELmUKVq5irKH7HzA_1_2"/>
      <w:bookmarkStart w:id="1548" w:name="_1d33dfed_fa8f_4456_989c_a7899dae085e"/>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p>
    <w:tbl>
      <w:tblPr>
        <w:tblW w:w="2567" w:type="dxa"/>
        <w:jc w:val="left"/>
        <w:tblInd w:w="0" w:type="dxa"/>
        <w:tblCellMar>
          <w:top w:w="0" w:type="dxa"/>
          <w:left w:w="0" w:type="dxa"/>
          <w:bottom w:w="0" w:type="dxa"/>
          <w:right w:w="0" w:type="dxa"/>
        </w:tblCellMar>
      </w:tblPr>
      <w:tblGrid>
        <w:gridCol w:w="271"/>
        <w:gridCol w:w="229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w:t>
            </w:r>
          </w:p>
        </w:tc>
        <w:tc>
          <w:tcPr>
            <w:tcW w:w="22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Concentrations and Risks</w:t>
            </w:r>
          </w:p>
        </w:tc>
      </w:tr>
    </w:tbl>
    <w:tbl>
      <w:tblPr>
        <w:tblW w:w="3797" w:type="dxa"/>
        <w:jc w:val="left"/>
        <w:tblInd w:w="0" w:type="dxa"/>
        <w:tblCellMar>
          <w:top w:w="0" w:type="dxa"/>
          <w:left w:w="0" w:type="dxa"/>
          <w:bottom w:w="0" w:type="dxa"/>
          <w:right w:w="0" w:type="dxa"/>
        </w:tblCellMar>
      </w:tblPr>
      <w:tblGrid>
        <w:gridCol w:w="346"/>
        <w:gridCol w:w="345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3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Server and bandwidth service provider</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Group relied on telecommunications service providers and their affiliates for server and bandwidth service to support its operations during fiscal years 2020, 2021 and 2022 as follows: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7116"/>
        <w:gridCol w:w="326"/>
        <w:gridCol w:w="538"/>
        <w:gridCol w:w="416"/>
        <w:gridCol w:w="538"/>
        <w:gridCol w:w="416"/>
        <w:gridCol w:w="538"/>
        <w:gridCol w:w="317"/>
      </w:tblGrid>
      <w:tr>
        <w:trPr/>
        <w:tc>
          <w:tcPr>
            <w:tcW w:w="7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518660" cy="175260"/>
                      <wp:effectExtent l="0" t="0" r="0" b="0"/>
                      <wp:wrapNone/>
                      <wp:docPr id="399" name="Frame398"/>
                      <a:graphic xmlns:a="http://schemas.openxmlformats.org/drawingml/2006/main">
                        <a:graphicData uri="http://schemas.microsoft.com/office/word/2010/wordprocessingShape">
                          <wps:wsp>
                            <wps:cNvSpPr txBox="1"/>
                            <wps:spPr>
                              <a:xfrm>
                                <a:off x="0" y="0"/>
                                <a:ext cx="4518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0"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41630" cy="175260"/>
                      <wp:effectExtent l="0" t="0" r="0" b="0"/>
                      <wp:wrapNone/>
                      <wp:docPr id="401" name="Frame400"/>
                      <a:graphic xmlns:a="http://schemas.openxmlformats.org/drawingml/2006/main">
                        <a:graphicData uri="http://schemas.microsoft.com/office/word/2010/wordprocessingShape">
                          <wps:wsp>
                            <wps:cNvSpPr txBox="1"/>
                            <wps:spPr>
                              <a:xfrm>
                                <a:off x="0" y="0"/>
                                <a:ext cx="341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64160" cy="175260"/>
                      <wp:effectExtent l="0" t="0" r="0" b="0"/>
                      <wp:wrapNone/>
                      <wp:docPr id="402" name="Frame401"/>
                      <a:graphic xmlns:a="http://schemas.openxmlformats.org/drawingml/2006/main">
                        <a:graphicData uri="http://schemas.microsoft.com/office/word/2010/wordprocessingShape">
                          <wps:wsp>
                            <wps:cNvSpPr txBox="1"/>
                            <wps:spPr>
                              <a:xfrm>
                                <a:off x="0" y="0"/>
                                <a:ext cx="26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41630" cy="175260"/>
                      <wp:effectExtent l="0" t="0" r="0" b="0"/>
                      <wp:wrapNone/>
                      <wp:docPr id="403" name="Frame402"/>
                      <a:graphic xmlns:a="http://schemas.openxmlformats.org/drawingml/2006/main">
                        <a:graphicData uri="http://schemas.microsoft.com/office/word/2010/wordprocessingShape">
                          <wps:wsp>
                            <wps:cNvSpPr txBox="1"/>
                            <wps:spPr>
                              <a:xfrm>
                                <a:off x="0" y="0"/>
                                <a:ext cx="341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64160" cy="175260"/>
                      <wp:effectExtent l="0" t="0" r="0" b="0"/>
                      <wp:wrapNone/>
                      <wp:docPr id="404" name="Frame403"/>
                      <a:graphic xmlns:a="http://schemas.openxmlformats.org/drawingml/2006/main">
                        <a:graphicData uri="http://schemas.microsoft.com/office/word/2010/wordprocessingShape">
                          <wps:wsp>
                            <wps:cNvSpPr txBox="1"/>
                            <wps:spPr>
                              <a:xfrm>
                                <a:off x="0" y="0"/>
                                <a:ext cx="26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41630" cy="175260"/>
                      <wp:effectExtent l="0" t="0" r="0" b="0"/>
                      <wp:wrapNone/>
                      <wp:docPr id="405" name="Frame404"/>
                      <a:graphic xmlns:a="http://schemas.openxmlformats.org/drawingml/2006/main">
                        <a:graphicData uri="http://schemas.microsoft.com/office/word/2010/wordprocessingShape">
                          <wps:wsp>
                            <wps:cNvSpPr txBox="1"/>
                            <wps:spPr>
                              <a:xfrm>
                                <a:off x="0" y="0"/>
                                <a:ext cx="341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1295" cy="175260"/>
                      <wp:effectExtent l="0" t="0" r="0" b="0"/>
                      <wp:wrapNone/>
                      <wp:docPr id="406" name="Frame405"/>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7" w:type="dxa"/>
            <w:tcBorders/>
            <w:shd w:fill="auto" w:val="clear"/>
            <w:vAlign w:val="center"/>
          </w:tcPr>
          <w:p>
            <w:pPr>
              <w:pStyle w:val="TableContents"/>
              <w:spacing w:before="0" w:after="0"/>
              <w:ind w:left="0" w:right="0" w:hanging="0"/>
              <w:rPr/>
            </w:pPr>
            <w:r>
              <w:rPr/>
              <w:t> </w:t>
            </w:r>
          </w:p>
        </w:tc>
      </w:tr>
      <w:tr>
        <w:trPr/>
        <w:tc>
          <w:tcPr>
            <w:tcW w:w="71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416" w:type="dxa"/>
            <w:tcBorders/>
            <w:shd w:fill="auto" w:val="clear"/>
            <w:vAlign w:val="center"/>
          </w:tcPr>
          <w:p>
            <w:pPr>
              <w:pStyle w:val="TableContents"/>
              <w:spacing w:before="0" w:after="0"/>
              <w:ind w:left="0" w:right="0" w:hanging="0"/>
              <w:rPr/>
            </w:pPr>
            <w:r>
              <w:rPr/>
              <w:t>    </w:t>
            </w:r>
          </w:p>
        </w:tc>
        <w:tc>
          <w:tcPr>
            <w:tcW w:w="5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16" w:type="dxa"/>
            <w:tcBorders/>
            <w:shd w:fill="auto" w:val="clear"/>
            <w:vAlign w:val="center"/>
          </w:tcPr>
          <w:p>
            <w:pPr>
              <w:pStyle w:val="TableContents"/>
              <w:spacing w:before="0" w:after="0"/>
              <w:ind w:left="0" w:right="0" w:hanging="0"/>
              <w:rPr/>
            </w:pPr>
            <w:r>
              <w:rPr/>
              <w:t>    </w:t>
            </w:r>
          </w:p>
        </w:tc>
        <w:tc>
          <w:tcPr>
            <w:tcW w:w="5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7" w:type="dxa"/>
            <w:tcBorders/>
            <w:shd w:fill="auto" w:val="clear"/>
            <w:vAlign w:val="center"/>
          </w:tcPr>
          <w:p>
            <w:pPr>
              <w:pStyle w:val="TableContents"/>
              <w:spacing w:before="0" w:after="0"/>
              <w:ind w:left="0" w:right="0" w:hanging="0"/>
              <w:rPr/>
            </w:pPr>
            <w:r>
              <w:rPr/>
              <w:t> </w:t>
            </w:r>
          </w:p>
        </w:tc>
      </w:tr>
      <w:tr>
        <w:trPr/>
        <w:tc>
          <w:tcPr>
            <w:tcW w:w="7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number of telecommunications service providers</w:t>
            </w:r>
          </w:p>
        </w:tc>
        <w:tc>
          <w:tcPr>
            <w:tcW w:w="326" w:type="dxa"/>
            <w:tcBorders/>
            <w:shd w:fill="CCEEFF" w:val="clear"/>
            <w:vAlign w:val="center"/>
          </w:tcPr>
          <w:p>
            <w:pPr>
              <w:pStyle w:val="TableContents"/>
              <w:spacing w:before="0" w:after="0"/>
              <w:ind w:left="0" w:right="0" w:hanging="0"/>
              <w:rPr/>
            </w:pPr>
            <w:r>
              <w:rPr/>
              <w:t> </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416" w:type="dxa"/>
            <w:tcBorders/>
            <w:shd w:fill="CCEEFF" w:val="clear"/>
            <w:vAlign w:val="center"/>
          </w:tcPr>
          <w:p>
            <w:pPr>
              <w:pStyle w:val="TableContents"/>
              <w:spacing w:before="0" w:after="0"/>
              <w:ind w:left="0" w:right="0" w:hanging="0"/>
              <w:rPr/>
            </w:pPr>
            <w:r>
              <w:rPr/>
              <w:t>​</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416" w:type="dxa"/>
            <w:tcBorders/>
            <w:shd w:fill="CCEEFF" w:val="clear"/>
            <w:vAlign w:val="center"/>
          </w:tcPr>
          <w:p>
            <w:pPr>
              <w:pStyle w:val="TableContents"/>
              <w:spacing w:before="0" w:after="0"/>
              <w:ind w:left="0" w:right="0" w:hanging="0"/>
              <w:rPr/>
            </w:pPr>
            <w:r>
              <w:rPr/>
              <w:t>​</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17" w:type="dxa"/>
            <w:tcBorders/>
            <w:shd w:fill="CCEEFF" w:val="clear"/>
            <w:vAlign w:val="center"/>
          </w:tcPr>
          <w:p>
            <w:pPr>
              <w:pStyle w:val="TableContents"/>
              <w:spacing w:before="0" w:after="0"/>
              <w:ind w:left="0" w:right="0" w:hanging="0"/>
              <w:rPr/>
            </w:pPr>
            <w:r>
              <w:rPr/>
              <w:t>​</w:t>
            </w:r>
          </w:p>
        </w:tc>
      </w:tr>
      <w:tr>
        <w:trPr/>
        <w:tc>
          <w:tcPr>
            <w:tcW w:w="7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Number of service providers, offering 10% or more of the Group’s server and bandwidth service expenditure</w:t>
            </w:r>
          </w:p>
        </w:tc>
        <w:tc>
          <w:tcPr>
            <w:tcW w:w="326" w:type="dxa"/>
            <w:tcBorders/>
            <w:shd w:fill="auto" w:val="clear"/>
            <w:vAlign w:val="center"/>
          </w:tcPr>
          <w:p>
            <w:pPr>
              <w:pStyle w:val="TableContents"/>
              <w:spacing w:before="0" w:after="0"/>
              <w:ind w:left="0" w:right="0" w:hanging="0"/>
              <w:rPr/>
            </w:pPr>
            <w:r>
              <w:rPr/>
              <w:t> </w:t>
            </w:r>
          </w:p>
        </w:tc>
        <w:tc>
          <w:tcPr>
            <w:tcW w:w="5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6" w:type="dxa"/>
            <w:tcBorders/>
            <w:shd w:fill="auto" w:val="clear"/>
            <w:vAlign w:val="center"/>
          </w:tcPr>
          <w:p>
            <w:pPr>
              <w:pStyle w:val="TableContents"/>
              <w:spacing w:before="0" w:after="0"/>
              <w:ind w:left="0" w:right="0" w:hanging="0"/>
              <w:rPr/>
            </w:pPr>
            <w:r>
              <w:rPr/>
              <w:t>​</w:t>
            </w:r>
          </w:p>
        </w:tc>
        <w:tc>
          <w:tcPr>
            <w:tcW w:w="5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6" w:type="dxa"/>
            <w:tcBorders/>
            <w:shd w:fill="auto" w:val="clear"/>
            <w:vAlign w:val="center"/>
          </w:tcPr>
          <w:p>
            <w:pPr>
              <w:pStyle w:val="TableContents"/>
              <w:spacing w:before="0" w:after="0"/>
              <w:ind w:left="0" w:right="0" w:hanging="0"/>
              <w:rPr/>
            </w:pPr>
            <w:r>
              <w:rPr/>
              <w:t>​</w:t>
            </w:r>
          </w:p>
        </w:tc>
        <w:tc>
          <w:tcPr>
            <w:tcW w:w="5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auto" w:val="clear"/>
            <w:vAlign w:val="center"/>
          </w:tcPr>
          <w:p>
            <w:pPr>
              <w:pStyle w:val="TableContents"/>
              <w:spacing w:before="0" w:after="0"/>
              <w:ind w:left="0" w:right="0" w:hanging="0"/>
              <w:rPr/>
            </w:pPr>
            <w:r>
              <w:rPr/>
              <w:t>​</w:t>
            </w:r>
          </w:p>
        </w:tc>
      </w:tr>
      <w:tr>
        <w:trPr/>
        <w:tc>
          <w:tcPr>
            <w:tcW w:w="7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of the Group’s server and bandwidth service expenditure provided by 10% or greater service providers</w:t>
            </w:r>
          </w:p>
        </w:tc>
        <w:tc>
          <w:tcPr>
            <w:tcW w:w="326" w:type="dxa"/>
            <w:tcBorders/>
            <w:shd w:fill="CCEEFF" w:val="clear"/>
            <w:vAlign w:val="center"/>
          </w:tcPr>
          <w:p>
            <w:pPr>
              <w:pStyle w:val="TableContents"/>
              <w:spacing w:before="0" w:after="0"/>
              <w:ind w:left="0" w:right="0" w:hanging="0"/>
              <w:rPr/>
            </w:pPr>
            <w:r>
              <w:rPr/>
              <w:t> </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4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4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tbl>
      <w:tblPr>
        <w:tblW w:w="1412" w:type="dxa"/>
        <w:jc w:val="left"/>
        <w:tblInd w:w="0" w:type="dxa"/>
        <w:tblCellMar>
          <w:top w:w="0" w:type="dxa"/>
          <w:left w:w="0" w:type="dxa"/>
          <w:bottom w:w="0" w:type="dxa"/>
          <w:right w:w="0" w:type="dxa"/>
        </w:tblCellMar>
      </w:tblPr>
      <w:tblGrid>
        <w:gridCol w:w="346"/>
        <w:gridCol w:w="106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0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Credit risk</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Group to significant concentrations of credit risk consist primarily of cash and cash equivalents, time deposits, restricted cash, accounts receivable and short-term investments. As of December 31, 2021 and 2022, substantially all of the Group’s cash equivalents, time deposits and restricted cash were held in major financial institutions located in the PRC or Hong Kong, which management considers being of high credit quality. Accounts receivable are typically unsecured and are generally derived from revenue earned from mobile games services (mainly related to remittances from distribution channels) and advertising services.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One distribution channel had a receivable balance exceeding 10% of the total accounts receivable balance for the year ended December 31, 2021 and 2022, respectively as follows:</w:t>
      </w:r>
    </w:p>
    <w:p>
      <w:pPr>
        <w:pStyle w:val="TextBody"/>
        <w:spacing w:before="0" w:after="0"/>
        <w:ind w:left="0" w:right="0" w:hanging="0"/>
        <w:jc w:val="both"/>
        <w:rPr/>
      </w:pPr>
      <w:r>
        <w:rPr/>
        <w:t>​</w:t>
      </w:r>
    </w:p>
    <w:tbl>
      <w:tblPr>
        <w:tblW w:w="5176" w:type="dxa"/>
        <w:jc w:val="left"/>
        <w:tblInd w:w="0" w:type="dxa"/>
        <w:tblCellMar>
          <w:top w:w="0" w:type="dxa"/>
          <w:left w:w="0" w:type="dxa"/>
          <w:bottom w:w="0" w:type="dxa"/>
          <w:right w:w="0" w:type="dxa"/>
        </w:tblCellMar>
      </w:tblPr>
      <w:tblGrid>
        <w:gridCol w:w="1981"/>
        <w:gridCol w:w="326"/>
        <w:gridCol w:w="1096"/>
        <w:gridCol w:w="361"/>
        <w:gridCol w:w="1096"/>
        <w:gridCol w:w="316"/>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257935" cy="175260"/>
                      <wp:effectExtent l="0" t="0" r="0" b="0"/>
                      <wp:wrapNone/>
                      <wp:docPr id="407" name="Frame406"/>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8"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5960" cy="175260"/>
                      <wp:effectExtent l="0" t="0" r="0" b="0"/>
                      <wp:wrapNone/>
                      <wp:docPr id="409" name="Frame40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29235" cy="175260"/>
                      <wp:effectExtent l="0" t="0" r="0" b="0"/>
                      <wp:wrapNone/>
                      <wp:docPr id="410" name="Frame40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5960" cy="175260"/>
                      <wp:effectExtent l="0" t="0" r="0" b="0"/>
                      <wp:wrapNone/>
                      <wp:docPr id="411" name="Frame410"/>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0660" cy="175260"/>
                      <wp:effectExtent l="0" t="0" r="0" b="0"/>
                      <wp:wrapNone/>
                      <wp:docPr id="412" name="Frame41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61"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shd w:fill="auto" w:val="clear"/>
            <w:vAlign w:val="center"/>
          </w:tcPr>
          <w:p>
            <w:pPr>
              <w:pStyle w:val="TableContents"/>
              <w:spacing w:before="0" w:after="0"/>
              <w:ind w:left="0" w:right="0" w:hanging="0"/>
              <w:jc w:val="both"/>
              <w:rPr/>
            </w:pPr>
            <w:r>
              <w:rPr/>
              <w:t> </w:t>
            </w:r>
          </w:p>
        </w:tc>
      </w:tr>
      <w:tr>
        <w:trPr/>
        <w:tc>
          <w:tcPr>
            <w:tcW w:w="1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jc w:val="both"/>
              <w:rPr/>
            </w:pPr>
            <w:r>
              <w:rPr/>
              <w:t> </w:t>
            </w:r>
          </w:p>
        </w:tc>
      </w:tr>
      <w:tr>
        <w:trPr/>
        <w:tc>
          <w:tcPr>
            <w:tcW w:w="1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channel A</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1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1.72% to 5.00%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tbl>
      <w:tblPr>
        <w:tblW w:w="1922" w:type="dxa"/>
        <w:jc w:val="left"/>
        <w:tblInd w:w="0" w:type="dxa"/>
        <w:tblCellMar>
          <w:top w:w="0" w:type="dxa"/>
          <w:left w:w="0" w:type="dxa"/>
          <w:bottom w:w="0" w:type="dxa"/>
          <w:right w:w="0" w:type="dxa"/>
        </w:tblCellMar>
      </w:tblPr>
      <w:tblGrid>
        <w:gridCol w:w="331"/>
        <w:gridCol w:w="1591"/>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15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Major customers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 single customer represented 10% or more of the Group’s total net revenues for the years ended December 31, 2020, 2021 and 2022.</w:t>
      </w:r>
    </w:p>
    <w:tbl>
      <w:tblPr>
        <w:tblW w:w="1652" w:type="dxa"/>
        <w:jc w:val="left"/>
        <w:tblInd w:w="0" w:type="dxa"/>
        <w:tblCellMar>
          <w:top w:w="0" w:type="dxa"/>
          <w:left w:w="0" w:type="dxa"/>
          <w:bottom w:w="0" w:type="dxa"/>
          <w:right w:w="0" w:type="dxa"/>
        </w:tblCellMar>
      </w:tblPr>
      <w:tblGrid>
        <w:gridCol w:w="346"/>
        <w:gridCol w:w="130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13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Online games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derived 33.1%, 29.2% and 29.6% of its total net revenues from its top 5 online games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549" w:name="Tc_4wgWKLEPP06yoO8Siy0_TQ_14_0"/>
      <w:bookmarkStart w:id="1550" w:name="Tc_IoggdbnGREKF4MX5vkvSlA_13_0"/>
      <w:bookmarkStart w:id="1551" w:name="Tc_4LeGY3uyAEKQ_TwEeYXQ7w_12_0"/>
      <w:bookmarkStart w:id="1552" w:name="Tc_62HlRyjrc0-y7Af3-ZU0iA_11_0"/>
      <w:bookmarkStart w:id="1553" w:name="Tc_Z5Rz9S46tkCUnZnjBIeBAw_10_0"/>
      <w:bookmarkStart w:id="1554" w:name="Tc_Srw3fGsrKU2t2PSwisPb9A_9_0"/>
      <w:bookmarkStart w:id="1555" w:name="Tc_8s34zAv_R0eYkRpfDK0oBA_8_0"/>
      <w:bookmarkStart w:id="1556" w:name="Tc_KIuDNoFtv0urvZWhMseqkQ_7_0"/>
      <w:bookmarkStart w:id="1557" w:name="Tc_qnCGB7lPXUWPByMJ6xA3Mg_6_0"/>
      <w:bookmarkStart w:id="1558" w:name="Tc_NsCEw4Xw1kSLh90bAvf5LQ_5_0"/>
      <w:bookmarkStart w:id="1559" w:name="Tc_ZKwFvIxS4ES2Ckd9kqk2Qw_4_0"/>
      <w:bookmarkStart w:id="1560" w:name="Tc_HL6WpTgx6kCOzFD1H9IhMw_3_4"/>
      <w:bookmarkStart w:id="1561" w:name="Tc_0zXakwclkUiNu_fA3LQV6w_3_2"/>
      <w:bookmarkStart w:id="1562" w:name="Tc_AWBxjPDAgEKHfbLM6AGylw_2_4"/>
      <w:bookmarkStart w:id="1563" w:name="Tc_dkfSmpL51kGJaDqmYQ5m6Q_2_2"/>
      <w:bookmarkStart w:id="1564" w:name="Tc_kCV3xU4x6UW8eNo76tSR7w_1_4"/>
      <w:bookmarkStart w:id="1565" w:name="Tc__lmceaanmk6RlXiRGVWy4g_1_2"/>
      <w:bookmarkStart w:id="1566" w:name="_cd018b20_ff54_4f18_961c_e90e7744a19c"/>
      <w:bookmarkStart w:id="1567" w:name="Tc_4wgWKLEPP06yoO8Siy0_TQ_14_0"/>
      <w:bookmarkStart w:id="1568" w:name="Tc_IoggdbnGREKF4MX5vkvSlA_13_0"/>
      <w:bookmarkStart w:id="1569" w:name="Tc_4LeGY3uyAEKQ_TwEeYXQ7w_12_0"/>
      <w:bookmarkStart w:id="1570" w:name="Tc_62HlRyjrc0-y7Af3-ZU0iA_11_0"/>
      <w:bookmarkStart w:id="1571" w:name="Tc_Z5Rz9S46tkCUnZnjBIeBAw_10_0"/>
      <w:bookmarkStart w:id="1572" w:name="Tc_Srw3fGsrKU2t2PSwisPb9A_9_0"/>
      <w:bookmarkStart w:id="1573" w:name="Tc_8s34zAv_R0eYkRpfDK0oBA_8_0"/>
      <w:bookmarkStart w:id="1574" w:name="Tc_KIuDNoFtv0urvZWhMseqkQ_7_0"/>
      <w:bookmarkStart w:id="1575" w:name="Tc_qnCGB7lPXUWPByMJ6xA3Mg_6_0"/>
      <w:bookmarkStart w:id="1576" w:name="Tc_NsCEw4Xw1kSLh90bAvf5LQ_5_0"/>
      <w:bookmarkStart w:id="1577" w:name="Tc_ZKwFvIxS4ES2Ckd9kqk2Qw_4_0"/>
      <w:bookmarkStart w:id="1578" w:name="Tc_HL6WpTgx6kCOzFD1H9IhMw_3_4"/>
      <w:bookmarkStart w:id="1579" w:name="Tc_0zXakwclkUiNu_fA3LQV6w_3_2"/>
      <w:bookmarkStart w:id="1580" w:name="Tc_AWBxjPDAgEKHfbLM6AGylw_2_4"/>
      <w:bookmarkStart w:id="1581" w:name="Tc_dkfSmpL51kGJaDqmYQ5m6Q_2_2"/>
      <w:bookmarkStart w:id="1582" w:name="Tc_kCV3xU4x6UW8eNo76tSR7w_1_4"/>
      <w:bookmarkStart w:id="1583" w:name="Tc__lmceaanmk6RlXiRGVWy4g_1_2"/>
      <w:bookmarkStart w:id="1584" w:name="_cd018b20_ff54_4f18_961c_e90e7744a19c"/>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p>
    <w:tbl>
      <w:tblPr>
        <w:tblW w:w="3707" w:type="dxa"/>
        <w:jc w:val="left"/>
        <w:tblInd w:w="0" w:type="dxa"/>
        <w:tblCellMar>
          <w:top w:w="0" w:type="dxa"/>
          <w:left w:w="0" w:type="dxa"/>
          <w:bottom w:w="0" w:type="dxa"/>
          <w:right w:w="0" w:type="dxa"/>
        </w:tblCellMar>
      </w:tblPr>
      <w:tblGrid>
        <w:gridCol w:w="271"/>
        <w:gridCol w:w="343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6.</w:t>
            </w:r>
          </w:p>
        </w:tc>
        <w:tc>
          <w:tcPr>
            <w:tcW w:w="343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Prepayments and Other Current Assets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prepayments and other current assets (in thousands):</w:t>
      </w:r>
    </w:p>
    <w:p>
      <w:pPr>
        <w:pStyle w:val="TextBody"/>
        <w:spacing w:before="0" w:after="0"/>
        <w:ind w:left="0" w:right="0" w:hanging="0"/>
        <w:jc w:val="both"/>
        <w:rPr/>
      </w:pPr>
      <w:r>
        <w:rPr/>
        <w:t>​</w:t>
      </w:r>
    </w:p>
    <w:tbl>
      <w:tblPr>
        <w:tblW w:w="9070" w:type="dxa"/>
        <w:jc w:val="left"/>
        <w:tblInd w:w="0" w:type="dxa"/>
        <w:tblCellMar>
          <w:top w:w="0" w:type="dxa"/>
          <w:left w:w="0" w:type="dxa"/>
          <w:bottom w:w="0" w:type="dxa"/>
          <w:right w:w="0" w:type="dxa"/>
        </w:tblCellMar>
      </w:tblPr>
      <w:tblGrid>
        <w:gridCol w:w="6181"/>
        <w:gridCol w:w="326"/>
        <w:gridCol w:w="1096"/>
        <w:gridCol w:w="326"/>
        <w:gridCol w:w="1141"/>
      </w:tblGrid>
      <w:tr>
        <w:trPr/>
        <w:tc>
          <w:tcPr>
            <w:tcW w:w="6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924935" cy="175260"/>
                      <wp:effectExtent l="0" t="0" r="0" b="0"/>
                      <wp:wrapNone/>
                      <wp:docPr id="413" name="Frame412"/>
                      <a:graphic xmlns:a="http://schemas.openxmlformats.org/drawingml/2006/main">
                        <a:graphicData uri="http://schemas.microsoft.com/office/word/2010/wordprocessingShape">
                          <wps:wsp>
                            <wps:cNvSpPr txBox="1"/>
                            <wps:spPr>
                              <a:xfrm>
                                <a:off x="0" y="0"/>
                                <a:ext cx="3924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4" name="Frame4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5960" cy="175260"/>
                      <wp:effectExtent l="0" t="0" r="0" b="0"/>
                      <wp:wrapNone/>
                      <wp:docPr id="415" name="Frame41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6"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24535" cy="175260"/>
                      <wp:effectExtent l="0" t="0" r="0" b="0"/>
                      <wp:wrapNone/>
                      <wp:docPr id="417" name="Frame41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61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1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Guarantee payment made to Blizzard - royalty fees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319,210</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634,909</w:t>
            </w:r>
          </w:p>
        </w:tc>
      </w:tr>
      <w:tr>
        <w:trPr/>
        <w:tc>
          <w:tcPr>
            <w:tcW w:w="6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Prepayment for royalties, revenue sharing cost </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2,635,766</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1,787,638</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Receivable due from Alibaba</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837,148</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38,366</w:t>
            </w:r>
          </w:p>
        </w:tc>
      </w:tr>
      <w:tr>
        <w:trPr/>
        <w:tc>
          <w:tcPr>
            <w:tcW w:w="6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Interest and other operating income receivable</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676,714</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1,373,854</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Prepayments of content and marketing cost and other operational expenses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826,220</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725,183</w:t>
            </w:r>
          </w:p>
        </w:tc>
      </w:tr>
      <w:tr>
        <w:trPr/>
        <w:tc>
          <w:tcPr>
            <w:tcW w:w="6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Prepayment for sales tax and deductible value added tax</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483,397</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492,552</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Bridge loans in connection with ongoing investments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41,835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r>
      <w:tr>
        <w:trPr/>
        <w:tc>
          <w:tcPr>
            <w:tcW w:w="6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Deposits </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86,621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68,285</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Employee advances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67,848</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61,480</w:t>
            </w:r>
          </w:p>
        </w:tc>
      </w:tr>
      <w:tr>
        <w:trPr/>
        <w:tc>
          <w:tcPr>
            <w:tcW w:w="6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Advance to suppliers</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134,712</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105,903</w:t>
            </w:r>
          </w:p>
        </w:tc>
      </w:tr>
      <w:tr>
        <w:trPr/>
        <w:tc>
          <w:tcPr>
            <w:tcW w:w="61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126,386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116,801</w:t>
            </w:r>
          </w:p>
        </w:tc>
      </w:tr>
      <w:tr>
        <w:trPr/>
        <w:tc>
          <w:tcPr>
            <w:tcW w:w="61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6,235,857</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5,448,284</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2021 and 2022, prepayments for royalties and revenue sharing cost mainly represented prepaid royalties or revenue sharing cost related to game distribution and operations of licensed games.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Balance of receivable from Alibaba represents receivable for disposal of Kaola which was expected to receive in one year.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amount of employee advances listed above included staff housing loan balances of RMB29.2 million and RMB22.7 million repayable within 12 months from December 31, 2021 and 2022 respectively (see Note 12). No advances were made directly or indirectly to the Group’s executive officers for their personal benefit for the years ended December 31, 2021 and 2022.</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585" w:name="Tc_NCKzPL0ijk2S4PWH5OS78Q_5_0"/>
      <w:bookmarkStart w:id="1586" w:name="Tc_RVg_GqDS0kyWFbfZui06Vg_4_6"/>
      <w:bookmarkStart w:id="1587" w:name="Tc_NADJfgH4o0C1Z_E_uSxR-g_4_4"/>
      <w:bookmarkStart w:id="1588" w:name="Tc__KgR5Szur0aSH4dqQBPiag_4_2"/>
      <w:bookmarkStart w:id="1589" w:name="Tc_vI920DDej0aJ9l2D3TD7Pg_3_6"/>
      <w:bookmarkStart w:id="1590" w:name="Tc_ASZuZmoBEE-SRZP4koEN3g_3_4"/>
      <w:bookmarkStart w:id="1591" w:name="Tc_bBFJ-Pk1Mk6rQj_KDKo0Kg_3_2"/>
      <w:bookmarkStart w:id="1592" w:name="Tc_Cm0BU2DbgUq3imwxwFLZnQ_2_6"/>
      <w:bookmarkStart w:id="1593" w:name="Tc_sTDcrMKey0qVf6nIF9pYfg_2_4"/>
      <w:bookmarkStart w:id="1594" w:name="Tc_gAVbmGUPPUeGj2WBZDNnkg_1_2"/>
      <w:bookmarkStart w:id="1595" w:name="_bea41097_162d_41c7_a2be_d09f8b45a382"/>
      <w:bookmarkStart w:id="1596" w:name="Tc_5bxVQWDoV0ytz9T0a0hqkw_5_0"/>
      <w:bookmarkStart w:id="1597" w:name="Tc_qKMRly-ISEq5trsyizhtOg_4_6"/>
      <w:bookmarkStart w:id="1598" w:name="Tc_w_Lt-DHKmkyZeOTYo6emMg_4_4"/>
      <w:bookmarkStart w:id="1599" w:name="Tc_UBIl1QRE7E247Fnzu23PGQ_4_2"/>
      <w:bookmarkStart w:id="1600" w:name="Tc_vZDgaElG1EyKeNT2oynXug_3_6"/>
      <w:bookmarkStart w:id="1601" w:name="Tc_6tOXxGa9AkKYyvBYbQdKgQ_3_4"/>
      <w:bookmarkStart w:id="1602" w:name="Tc_VACktCa6JEujvD0ezQscvQ_3_2"/>
      <w:bookmarkStart w:id="1603" w:name="Tc_aIFtS5TDykCIpCNd5_NmRw_2_6"/>
      <w:bookmarkStart w:id="1604" w:name="Tc_eYNym9tTp0CPh_o5dvi0xg_2_4"/>
      <w:bookmarkStart w:id="1605" w:name="Tc_Z4JSh7ZnbUG1u-2Vlkl_VQ_1_2"/>
      <w:bookmarkStart w:id="1606" w:name="_d43a7375_565d_4539_a90a_a1d96c0963c9"/>
      <w:bookmarkStart w:id="1607" w:name="Tc_NCKzPL0ijk2S4PWH5OS78Q_5_0"/>
      <w:bookmarkStart w:id="1608" w:name="Tc_RVg_GqDS0kyWFbfZui06Vg_4_6"/>
      <w:bookmarkStart w:id="1609" w:name="Tc_NADJfgH4o0C1Z_E_uSxR-g_4_4"/>
      <w:bookmarkStart w:id="1610" w:name="Tc__KgR5Szur0aSH4dqQBPiag_4_2"/>
      <w:bookmarkStart w:id="1611" w:name="Tc_vI920DDej0aJ9l2D3TD7Pg_3_6"/>
      <w:bookmarkStart w:id="1612" w:name="Tc_ASZuZmoBEE-SRZP4koEN3g_3_4"/>
      <w:bookmarkStart w:id="1613" w:name="Tc_bBFJ-Pk1Mk6rQj_KDKo0Kg_3_2"/>
      <w:bookmarkStart w:id="1614" w:name="Tc_Cm0BU2DbgUq3imwxwFLZnQ_2_6"/>
      <w:bookmarkStart w:id="1615" w:name="Tc_sTDcrMKey0qVf6nIF9pYfg_2_4"/>
      <w:bookmarkStart w:id="1616" w:name="Tc_gAVbmGUPPUeGj2WBZDNnkg_1_2"/>
      <w:bookmarkStart w:id="1617" w:name="_bea41097_162d_41c7_a2be_d09f8b45a382"/>
      <w:bookmarkStart w:id="1618" w:name="Tc_5bxVQWDoV0ytz9T0a0hqkw_5_0"/>
      <w:bookmarkStart w:id="1619" w:name="Tc_qKMRly-ISEq5trsyizhtOg_4_6"/>
      <w:bookmarkStart w:id="1620" w:name="Tc_w_Lt-DHKmkyZeOTYo6emMg_4_4"/>
      <w:bookmarkStart w:id="1621" w:name="Tc_UBIl1QRE7E247Fnzu23PGQ_4_2"/>
      <w:bookmarkStart w:id="1622" w:name="Tc_vZDgaElG1EyKeNT2oynXug_3_6"/>
      <w:bookmarkStart w:id="1623" w:name="Tc_6tOXxGa9AkKYyvBYbQdKgQ_3_4"/>
      <w:bookmarkStart w:id="1624" w:name="Tc_VACktCa6JEujvD0ezQscvQ_3_2"/>
      <w:bookmarkStart w:id="1625" w:name="Tc_aIFtS5TDykCIpCNd5_NmRw_2_6"/>
      <w:bookmarkStart w:id="1626" w:name="Tc_eYNym9tTp0CPh_o5dvi0xg_2_4"/>
      <w:bookmarkStart w:id="1627" w:name="Tc_Z4JSh7ZnbUG1u-2Vlkl_VQ_1_2"/>
      <w:bookmarkStart w:id="1628" w:name="_d43a7375_565d_4539_a90a_a1d96c0963c9"/>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p>
    <w:tbl>
      <w:tblPr>
        <w:tblW w:w="2402" w:type="dxa"/>
        <w:jc w:val="left"/>
        <w:tblInd w:w="0" w:type="dxa"/>
        <w:tblCellMar>
          <w:top w:w="0" w:type="dxa"/>
          <w:left w:w="0" w:type="dxa"/>
          <w:bottom w:w="0" w:type="dxa"/>
          <w:right w:w="0" w:type="dxa"/>
        </w:tblCellMar>
      </w:tblPr>
      <w:tblGrid>
        <w:gridCol w:w="271"/>
        <w:gridCol w:w="2131"/>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7.</w:t>
            </w:r>
          </w:p>
        </w:tc>
        <w:tc>
          <w:tcPr>
            <w:tcW w:w="21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sz w:val="20"/>
              </w:rPr>
              <w:t>Short-term</w:t>
            </w:r>
            <w:r>
              <w:rPr>
                <w:rFonts w:ascii="Times New Roman;Times;serif" w:hAnsi="Times New Roman;Times;serif"/>
                <w:sz w:val="20"/>
              </w:rPr>
              <w:t xml:space="preserve"> </w:t>
            </w:r>
            <w:r>
              <w:rPr>
                <w:rFonts w:ascii="Times New Roman;Times;serif" w:hAnsi="Times New Roman;Times;serif"/>
                <w:b/>
                <w:sz w:val="20"/>
              </w:rPr>
              <w:t>Investments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2021 and 2022, the Group’s short-term investments mainly consisted of financial products issued by commercial banks in China with a variable interest rate indexed to the performance of underlying assets and a maturity date within one year when purchased. As of December 31, 2022, the effective yields of short-term investments ranged from 1.72% to 5.00% per annum (2021: 2.25% to 4.40% per annum).</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short-term investments (in thousands):</w:t>
      </w:r>
    </w:p>
    <w:p>
      <w:pPr>
        <w:pStyle w:val="TextBody"/>
        <w:spacing w:before="0" w:after="0"/>
        <w:ind w:left="0" w:right="0" w:hanging="0"/>
        <w:jc w:val="both"/>
        <w:rPr/>
      </w:pPr>
      <w:r>
        <w:rPr/>
        <w:t>​</w:t>
      </w:r>
    </w:p>
    <w:tbl>
      <w:tblPr>
        <w:tblW w:w="6292" w:type="dxa"/>
        <w:jc w:val="left"/>
        <w:tblInd w:w="0" w:type="dxa"/>
        <w:tblCellMar>
          <w:top w:w="0" w:type="dxa"/>
          <w:left w:w="0" w:type="dxa"/>
          <w:bottom w:w="0" w:type="dxa"/>
          <w:right w:w="0" w:type="dxa"/>
        </w:tblCellMar>
      </w:tblPr>
      <w:tblGrid>
        <w:gridCol w:w="1996"/>
        <w:gridCol w:w="326"/>
        <w:gridCol w:w="1036"/>
        <w:gridCol w:w="326"/>
        <w:gridCol w:w="1141"/>
        <w:gridCol w:w="326"/>
        <w:gridCol w:w="1141"/>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267460" cy="175260"/>
                      <wp:effectExtent l="0" t="0" r="0" b="0"/>
                      <wp:wrapNone/>
                      <wp:docPr id="418" name="Frame417"/>
                      <a:graphic xmlns:a="http://schemas.openxmlformats.org/drawingml/2006/main">
                        <a:graphicData uri="http://schemas.microsoft.com/office/word/2010/wordprocessingShape">
                          <wps:wsp>
                            <wps:cNvSpPr txBox="1"/>
                            <wps:spPr>
                              <a:xfrm>
                                <a:off x="0" y="0"/>
                                <a:ext cx="12674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57860" cy="175260"/>
                      <wp:effectExtent l="0" t="0" r="0" b="0"/>
                      <wp:wrapNone/>
                      <wp:docPr id="420" name="Frame41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24535" cy="175260"/>
                      <wp:effectExtent l="0" t="0" r="0" b="0"/>
                      <wp:wrapNone/>
                      <wp:docPr id="422" name="Frame42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3" name="Frame4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24535" cy="175260"/>
                      <wp:effectExtent l="0" t="0" r="0" b="0"/>
                      <wp:wrapNone/>
                      <wp:docPr id="424" name="Frame42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97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Gains/(Losses)</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12,081,868</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199,680</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12,281,548</w:t>
            </w:r>
          </w:p>
        </w:tc>
      </w:tr>
    </w:tbl>
    <w:p>
      <w:pPr>
        <w:pStyle w:val="TextBody"/>
        <w:spacing w:before="0" w:after="0"/>
        <w:ind w:left="0" w:right="0" w:hanging="0"/>
        <w:jc w:val="both"/>
        <w:rPr/>
      </w:pPr>
      <w:r>
        <w:rPr/>
        <w:t>​</w:t>
      </w:r>
    </w:p>
    <w:tbl>
      <w:tblPr>
        <w:tblW w:w="6082" w:type="dxa"/>
        <w:jc w:val="left"/>
        <w:tblInd w:w="0" w:type="dxa"/>
        <w:tblCellMar>
          <w:top w:w="0" w:type="dxa"/>
          <w:left w:w="0" w:type="dxa"/>
          <w:bottom w:w="0" w:type="dxa"/>
          <w:right w:w="0" w:type="dxa"/>
        </w:tblCellMar>
      </w:tblPr>
      <w:tblGrid>
        <w:gridCol w:w="1996"/>
        <w:gridCol w:w="326"/>
        <w:gridCol w:w="931"/>
        <w:gridCol w:w="326"/>
        <w:gridCol w:w="1141"/>
        <w:gridCol w:w="326"/>
        <w:gridCol w:w="1036"/>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267460" cy="175260"/>
                      <wp:effectExtent l="0" t="0" r="0" b="0"/>
                      <wp:wrapNone/>
                      <wp:docPr id="425" name="Frame424"/>
                      <a:graphic xmlns:a="http://schemas.openxmlformats.org/drawingml/2006/main">
                        <a:graphicData uri="http://schemas.microsoft.com/office/word/2010/wordprocessingShape">
                          <wps:wsp>
                            <wps:cNvSpPr txBox="1"/>
                            <wps:spPr>
                              <a:xfrm>
                                <a:off x="0" y="0"/>
                                <a:ext cx="12674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6" name="Frame4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91185" cy="175260"/>
                      <wp:effectExtent l="0" t="0" r="0" b="0"/>
                      <wp:wrapNone/>
                      <wp:docPr id="427" name="Frame42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8" name="Frame4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724535" cy="175260"/>
                      <wp:effectExtent l="0" t="0" r="0" b="0"/>
                      <wp:wrapNone/>
                      <wp:docPr id="429" name="Frame42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0"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57860" cy="175260"/>
                      <wp:effectExtent l="0" t="0" r="0" b="0"/>
                      <wp:wrapNone/>
                      <wp:docPr id="431" name="Frame43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Gains/(Losses)</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7,563,805</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58,868</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7,622,673</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years ended December 31, 2020, 2021 and 2022, the Group recorded investment income related to short-term investments of RMB580.7 million, RMB639.8 million and RMB342.6 million in the consolidated statements of operations and comprehensive income,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629" w:name="Tc_bQRsfK3NTU29elyKq9ZBEQ_15_0"/>
      <w:bookmarkStart w:id="1630" w:name="Tc_RL7CkFlC0U-ATpVxVrT4rA_13_0"/>
      <w:bookmarkStart w:id="1631" w:name="Tc_CGNbKaz3Gk6fsGdyRpjYcA_10_0"/>
      <w:bookmarkStart w:id="1632" w:name="Tc_74nTjD9umk2iYqc31wDb1A_9_0"/>
      <w:bookmarkStart w:id="1633" w:name="Tc_Rj5JrCkzQ0-imJ_g9Nnssg_8_0"/>
      <w:bookmarkStart w:id="1634" w:name="Tc_5LlA_DNa1U2PVVS7g-BFkg_7_0"/>
      <w:bookmarkStart w:id="1635" w:name="Tc_8U3Y0hIBykOyH6aEVFNHGQ_6_0"/>
      <w:bookmarkStart w:id="1636" w:name="Tc_zqbKpJkUIkG31323qpXJTQ_5_0"/>
      <w:bookmarkStart w:id="1637" w:name="Tc_5WP5jQMGN0-OFK4KtoU6ww_4_0"/>
      <w:bookmarkStart w:id="1638" w:name="Tc_ddbUOYRg4EyDS1CBSAH3Sw_3_4"/>
      <w:bookmarkStart w:id="1639" w:name="Tc_YcIlNrgWMkSJ9hsaIkSm2Q_3_2"/>
      <w:bookmarkStart w:id="1640" w:name="Tc_AQqiO1y39UKAdnjhI9hspA_2_4"/>
      <w:bookmarkStart w:id="1641" w:name="Tc_I7orsC3cW0G_VgHvktpM2w_2_2"/>
      <w:bookmarkStart w:id="1642" w:name="Tc_Jtc_Hunb8kWFadhEzXRSQQ_1_4"/>
      <w:bookmarkStart w:id="1643" w:name="Tc_Yz0-XeaU8E6jfEjvewHjvg_1_2"/>
      <w:bookmarkStart w:id="1644" w:name="_39bb21b0_36b1_4fa0_85f6_c45ca12f3a2c"/>
      <w:bookmarkStart w:id="1645" w:name="Tc_bQRsfK3NTU29elyKq9ZBEQ_15_0"/>
      <w:bookmarkStart w:id="1646" w:name="Tc_RL7CkFlC0U-ATpVxVrT4rA_13_0"/>
      <w:bookmarkStart w:id="1647" w:name="Tc_CGNbKaz3Gk6fsGdyRpjYcA_10_0"/>
      <w:bookmarkStart w:id="1648" w:name="Tc_74nTjD9umk2iYqc31wDb1A_9_0"/>
      <w:bookmarkStart w:id="1649" w:name="Tc_Rj5JrCkzQ0-imJ_g9Nnssg_8_0"/>
      <w:bookmarkStart w:id="1650" w:name="Tc_5LlA_DNa1U2PVVS7g-BFkg_7_0"/>
      <w:bookmarkStart w:id="1651" w:name="Tc_8U3Y0hIBykOyH6aEVFNHGQ_6_0"/>
      <w:bookmarkStart w:id="1652" w:name="Tc_zqbKpJkUIkG31323qpXJTQ_5_0"/>
      <w:bookmarkStart w:id="1653" w:name="Tc_5WP5jQMGN0-OFK4KtoU6ww_4_0"/>
      <w:bookmarkStart w:id="1654" w:name="Tc_ddbUOYRg4EyDS1CBSAH3Sw_3_4"/>
      <w:bookmarkStart w:id="1655" w:name="Tc_YcIlNrgWMkSJ9hsaIkSm2Q_3_2"/>
      <w:bookmarkStart w:id="1656" w:name="Tc_AQqiO1y39UKAdnjhI9hspA_2_4"/>
      <w:bookmarkStart w:id="1657" w:name="Tc_I7orsC3cW0G_VgHvktpM2w_2_2"/>
      <w:bookmarkStart w:id="1658" w:name="Tc_Jtc_Hunb8kWFadhEzXRSQQ_1_4"/>
      <w:bookmarkStart w:id="1659" w:name="Tc_Yz0-XeaU8E6jfEjvewHjvg_1_2"/>
      <w:bookmarkStart w:id="1660" w:name="_39bb21b0_36b1_4fa0_85f6_c45ca12f3a2c"/>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p>
    <w:tbl>
      <w:tblPr>
        <w:tblW w:w="3707" w:type="dxa"/>
        <w:jc w:val="left"/>
        <w:tblInd w:w="0" w:type="dxa"/>
        <w:tblCellMar>
          <w:top w:w="0" w:type="dxa"/>
          <w:left w:w="0" w:type="dxa"/>
          <w:bottom w:w="0" w:type="dxa"/>
          <w:right w:w="0" w:type="dxa"/>
        </w:tblCellMar>
      </w:tblPr>
      <w:tblGrid>
        <w:gridCol w:w="271"/>
        <w:gridCol w:w="343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8.</w:t>
            </w:r>
          </w:p>
        </w:tc>
        <w:tc>
          <w:tcPr>
            <w:tcW w:w="343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property, equipment and software (in thousands):</w:t>
      </w:r>
    </w:p>
    <w:p>
      <w:pPr>
        <w:pStyle w:val="TextBody"/>
        <w:spacing w:before="0" w:after="0"/>
        <w:ind w:left="0" w:right="0" w:hanging="0"/>
        <w:jc w:val="both"/>
        <w:rPr/>
      </w:pPr>
      <w:r>
        <w:rPr/>
        <w:t>​</w:t>
      </w:r>
    </w:p>
    <w:tbl>
      <w:tblPr>
        <w:tblW w:w="6745" w:type="dxa"/>
        <w:jc w:val="left"/>
        <w:tblInd w:w="0" w:type="dxa"/>
        <w:tblCellMar>
          <w:top w:w="0" w:type="dxa"/>
          <w:left w:w="0" w:type="dxa"/>
          <w:bottom w:w="0" w:type="dxa"/>
          <w:right w:w="0" w:type="dxa"/>
        </w:tblCellMar>
      </w:tblPr>
      <w:tblGrid>
        <w:gridCol w:w="3856"/>
        <w:gridCol w:w="326"/>
        <w:gridCol w:w="1096"/>
        <w:gridCol w:w="326"/>
        <w:gridCol w:w="1141"/>
      </w:tblGrid>
      <w:tr>
        <w:trPr/>
        <w:tc>
          <w:tcPr>
            <w:tcW w:w="3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448560" cy="175260"/>
                      <wp:effectExtent l="0" t="0" r="0" b="0"/>
                      <wp:wrapNone/>
                      <wp:docPr id="432" name="Frame431"/>
                      <a:graphic xmlns:a="http://schemas.openxmlformats.org/drawingml/2006/main">
                        <a:graphicData uri="http://schemas.microsoft.com/office/word/2010/wordprocessingShape">
                          <wps:wsp>
                            <wps:cNvSpPr txBox="1"/>
                            <wps:spPr>
                              <a:xfrm>
                                <a:off x="0" y="0"/>
                                <a:ext cx="24485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3" name="Frame4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5960" cy="175260"/>
                      <wp:effectExtent l="0" t="0" r="0" b="0"/>
                      <wp:wrapNone/>
                      <wp:docPr id="434" name="Frame43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5"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24535" cy="175260"/>
                      <wp:effectExtent l="0" t="0" r="0" b="0"/>
                      <wp:wrapNone/>
                      <wp:docPr id="436" name="Frame43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8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8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Building and decoration</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3,676,626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3,875,063</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287,510</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304,365</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Furniture, fixtures, office and other equipment</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339,791</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379,938</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Vehicles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98,651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102,823</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Servers and computers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5,417,716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6,018,709</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Software</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237,550</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344,410</w:t>
            </w:r>
          </w:p>
        </w:tc>
      </w:tr>
      <w:tr>
        <w:trPr/>
        <w:tc>
          <w:tcPr>
            <w:tcW w:w="38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653,239</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1,587,413</w:t>
            </w:r>
          </w:p>
        </w:tc>
      </w:tr>
      <w:tr>
        <w:trPr/>
        <w:tc>
          <w:tcPr>
            <w:tcW w:w="38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10,711,083</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12,612,721</w:t>
            </w:r>
          </w:p>
        </w:tc>
      </w:tr>
      <w:tr>
        <w:trPr/>
        <w:tc>
          <w:tcPr>
            <w:tcW w:w="385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(5,277,225)</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(6,270,391)</w:t>
            </w:r>
          </w:p>
        </w:tc>
      </w:tr>
      <w:tr>
        <w:trPr/>
        <w:tc>
          <w:tcPr>
            <w:tcW w:w="385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38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book value</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5,433,858</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6,342,330</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was RMB1,113.0 million, RMB928.5 million and RMB1,127.2 million for the years ended December 31, 2020, 2021 and 2022,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2021 and 2022, the construction in progress balance were mainly comprised of construction of buildings in Shanghai and Hangzhou that have not yet been placed in service for the Group’s intended use. All the related cost is capitalized in construction in progress to the extent it is incurred for the purposes of bringing the construction development to a usable state.</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661" w:name="Tc_Eqbvjwl7tEWR2mgVxgsHeg_7_0"/>
      <w:bookmarkStart w:id="1662" w:name="Tc_F-jRuwhZCUC6LzSezQ1_yA_6_0"/>
      <w:bookmarkStart w:id="1663" w:name="Tc_pB776AQFREyz_iz8AUO3bg_5_0"/>
      <w:bookmarkStart w:id="1664" w:name="Tc_q5fWxbsKwEqyzpWfb2lEgA_4_0"/>
      <w:bookmarkStart w:id="1665" w:name="Tc_MdhvGl5HHU2YehUu6N9DKQ_3_4"/>
      <w:bookmarkStart w:id="1666" w:name="Tc_XEJOw681uUeGAgYnyMqYSw_3_2"/>
      <w:bookmarkStart w:id="1667" w:name="Tc_1CkOKcvxJ0S0Yvmn7LoNDg_2_4"/>
      <w:bookmarkStart w:id="1668" w:name="Tc_RNSLGWOGY0qrjwzTyfb4mQ_2_2"/>
      <w:bookmarkStart w:id="1669" w:name="Tc_W88XokvAS0WB3FsnFaV8hw_1_4"/>
      <w:bookmarkStart w:id="1670" w:name="Tc_b9qrG7-5bESOCqq2rKgQ5w_1_2"/>
      <w:bookmarkStart w:id="1671" w:name="Tc_Eqbvjwl7tEWR2mgVxgsHeg_7_0"/>
      <w:bookmarkStart w:id="1672" w:name="Tc_F-jRuwhZCUC6LzSezQ1_yA_6_0"/>
      <w:bookmarkStart w:id="1673" w:name="Tc_pB776AQFREyz_iz8AUO3bg_5_0"/>
      <w:bookmarkStart w:id="1674" w:name="Tc_q5fWxbsKwEqyzpWfb2lEgA_4_0"/>
      <w:bookmarkStart w:id="1675" w:name="Tc_MdhvGl5HHU2YehUu6N9DKQ_3_4"/>
      <w:bookmarkStart w:id="1676" w:name="Tc_XEJOw681uUeGAgYnyMqYSw_3_2"/>
      <w:bookmarkStart w:id="1677" w:name="Tc_1CkOKcvxJ0S0Yvmn7LoNDg_2_4"/>
      <w:bookmarkStart w:id="1678" w:name="Tc_RNSLGWOGY0qrjwzTyfb4mQ_2_2"/>
      <w:bookmarkStart w:id="1679" w:name="Tc_W88XokvAS0WB3FsnFaV8hw_1_4"/>
      <w:bookmarkStart w:id="1680" w:name="Tc_b9qrG7-5bESOCqq2rKgQ5w_1_2"/>
      <w:bookmarkEnd w:id="1671"/>
      <w:bookmarkEnd w:id="1672"/>
      <w:bookmarkEnd w:id="1673"/>
      <w:bookmarkEnd w:id="1674"/>
      <w:bookmarkEnd w:id="1675"/>
      <w:bookmarkEnd w:id="1676"/>
      <w:bookmarkEnd w:id="1677"/>
      <w:bookmarkEnd w:id="1678"/>
      <w:bookmarkEnd w:id="1679"/>
      <w:bookmarkEnd w:id="1680"/>
    </w:p>
    <w:tbl>
      <w:tblPr>
        <w:tblW w:w="2147" w:type="dxa"/>
        <w:jc w:val="left"/>
        <w:tblInd w:w="0" w:type="dxa"/>
        <w:tblCellMar>
          <w:top w:w="0" w:type="dxa"/>
          <w:left w:w="0" w:type="dxa"/>
          <w:bottom w:w="0" w:type="dxa"/>
          <w:right w:w="0" w:type="dxa"/>
        </w:tblCellMar>
      </w:tblPr>
      <w:tblGrid>
        <w:gridCol w:w="271"/>
        <w:gridCol w:w="187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9.</w:t>
            </w:r>
          </w:p>
        </w:tc>
        <w:tc>
          <w:tcPr>
            <w:tcW w:w="18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Land Use Rights, net</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Land use rights represent acquired right to use the land on which the Group’s offices and warehouses are built. In 2021 and 2022, the Group mainly obtained the land use rights in Guangzhou and Hangzhou from the local authorities. Amortization of the land use right is made over the remaining term of the land use right period from the date when the land was made available for use by the Group. The land use rights are summarized as follows (in thousands):</w:t>
      </w:r>
    </w:p>
    <w:p>
      <w:pPr>
        <w:pStyle w:val="TextBody"/>
        <w:spacing w:before="0" w:after="0"/>
        <w:ind w:left="0" w:right="0" w:hanging="0"/>
        <w:jc w:val="both"/>
        <w:rPr/>
      </w:pPr>
      <w:r>
        <w:rPr/>
        <w:t>​</w:t>
      </w:r>
    </w:p>
    <w:tbl>
      <w:tblPr>
        <w:tblW w:w="6415" w:type="dxa"/>
        <w:jc w:val="left"/>
        <w:tblInd w:w="0" w:type="dxa"/>
        <w:tblCellMar>
          <w:top w:w="0" w:type="dxa"/>
          <w:left w:w="0" w:type="dxa"/>
          <w:bottom w:w="0" w:type="dxa"/>
          <w:right w:w="0" w:type="dxa"/>
        </w:tblCellMar>
      </w:tblPr>
      <w:tblGrid>
        <w:gridCol w:w="3526"/>
        <w:gridCol w:w="326"/>
        <w:gridCol w:w="1096"/>
        <w:gridCol w:w="326"/>
        <w:gridCol w:w="1141"/>
      </w:tblGrid>
      <w:tr>
        <w:trPr/>
        <w:tc>
          <w:tcPr>
            <w:tcW w:w="3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39010" cy="175260"/>
                      <wp:effectExtent l="0" t="0" r="0" b="0"/>
                      <wp:wrapNone/>
                      <wp:docPr id="437" name="Frame436"/>
                      <a:graphic xmlns:a="http://schemas.openxmlformats.org/drawingml/2006/main">
                        <a:graphicData uri="http://schemas.microsoft.com/office/word/2010/wordprocessingShape">
                          <wps:wsp>
                            <wps:cNvSpPr txBox="1"/>
                            <wps:spPr>
                              <a:xfrm>
                                <a:off x="0" y="0"/>
                                <a:ext cx="2239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8" name="Frame4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5960" cy="175260"/>
                      <wp:effectExtent l="0" t="0" r="0" b="0"/>
                      <wp:wrapNone/>
                      <wp:docPr id="439" name="Frame43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0" name="Frame4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724535" cy="175260"/>
                      <wp:effectExtent l="0" t="0" r="0" b="0"/>
                      <wp:wrapNone/>
                      <wp:docPr id="441" name="Frame44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52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2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4,415,809</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4,521,308</w:t>
            </w:r>
          </w:p>
        </w:tc>
      </w:tr>
      <w:tr>
        <w:trPr/>
        <w:tc>
          <w:tcPr>
            <w:tcW w:w="3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Incentive payment from local government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5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(292,719)</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(384,541)</w:t>
            </w:r>
          </w:p>
        </w:tc>
      </w:tr>
      <w:tr>
        <w:trPr/>
        <w:tc>
          <w:tcPr>
            <w:tcW w:w="3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Land use right, net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4,108,090</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4,121,767</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total amortization expense for each of the years ended December 31, 2020, 2021 and 2022 amounted to approximately RMB84.7 million, RMB87.4 million and RMB91.8 million, respectively.</w:t>
      </w:r>
    </w:p>
    <w:p>
      <w:pPr>
        <w:pStyle w:val="TextBody"/>
        <w:spacing w:before="0" w:after="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operating leases for corporate offices, warehouses and retail stores. In addition, upon the adoption of ASC 842, land use rights with total carrying amount of RMB4,108.1 million and RMB4,121.8 million (Note 9) were identified as operating lease right-of-use assets as of December 31, 2021 and 2022,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leases have remaining lease terms of 1 months to 68 years, some of which include options to terminate the leases within certain periods. The Group considers these options in determining the classification and measurement of the leases when it is reasonably certain that the Group will exercise that option.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681" w:name="Tc_qnAR7AC4a0S3BDWfDuHrhQ_10_0"/>
      <w:bookmarkStart w:id="1682" w:name="Tc_S21WTiGhBk2EczP2xfKWLQ_9_0"/>
      <w:bookmarkStart w:id="1683" w:name="Tc_d4Luh9MDvkOtxrlzTfDsrg_8_0"/>
      <w:bookmarkStart w:id="1684" w:name="Tc_MHvKU8ZB2E2BchTZ7ozJlA_7_0"/>
      <w:bookmarkStart w:id="1685" w:name="Tc_bERJkFLq6U2y3vAnMFtfig_6_0"/>
      <w:bookmarkStart w:id="1686" w:name="Tc_Nc9A8bpLgEy6_bTlVMKd5A_5_0"/>
      <w:bookmarkStart w:id="1687" w:name="Tc_gkMv-4EusUuyh25Deqw0cQ_4_0"/>
      <w:bookmarkStart w:id="1688" w:name="Tc_KFlfg7SuaUCDvYkmiXspGw_3_0"/>
      <w:bookmarkStart w:id="1689" w:name="Tc_2GjBO36_uUm9GhaIUH__eQ_2_0"/>
      <w:bookmarkStart w:id="1690" w:name="Tc_W6L8XZLQbUy3TyJlutRZ4g_1_2"/>
      <w:bookmarkStart w:id="1691" w:name="_4716e93d_c99a_4566_9f13_0d9bb12882f5"/>
      <w:bookmarkStart w:id="1692" w:name="Tc_WwYEnQVwP0eMs_0ea_RnWw_4_5"/>
      <w:bookmarkStart w:id="1693" w:name="Tc_xmWXr07MK0K8TFW_DmXitg_4_3"/>
      <w:bookmarkStart w:id="1694" w:name="Tc_Fz5eGbyBSkmWMd07M9_PUg_4_0"/>
      <w:bookmarkStart w:id="1695" w:name="Tc_uZD8XWt3xU2DEPve4WCd-A_3_4"/>
      <w:bookmarkStart w:id="1696" w:name="Tc_SZ8j0ifkK0Gf9ZVytl5C7A_3_2"/>
      <w:bookmarkStart w:id="1697" w:name="Tc_olTJHLI_U0e6y-SNpKy1tw_3_0"/>
      <w:bookmarkStart w:id="1698" w:name="Tc_MVcsdjPAukqCmyyAcCjqyw_2_4"/>
      <w:bookmarkStart w:id="1699" w:name="Tc_ObF_sV-otE66yv9ZLWMNMA_2_2"/>
      <w:bookmarkStart w:id="1700" w:name="Tc_8Q6mooYGN0ibr-frtQ5ZDQ_1_4"/>
      <w:bookmarkStart w:id="1701" w:name="Tc_6Ccll5YmlkG9RfD8INgtjA_1_2"/>
      <w:bookmarkStart w:id="1702" w:name="_1925db8d_491f_4119_a6cf_bbb726b9f71d"/>
      <w:bookmarkStart w:id="1703" w:name="Tc_WJ1SEG3k1EGPOq7aA9DeWw_6_0"/>
      <w:bookmarkStart w:id="1704" w:name="Tc_uLsCrAeO8EOvXzEkGQiewQ_5_0"/>
      <w:bookmarkStart w:id="1705" w:name="Tc_ina_UpVXzUmaFaeqW1ebBA_4_0"/>
      <w:bookmarkStart w:id="1706" w:name="Tc_WbPHDeFBs0eeDROnxAfVAw_3_6"/>
      <w:bookmarkStart w:id="1707" w:name="Tc_1j_DdkinBEeOdKh_lGa_Gw_3_4"/>
      <w:bookmarkStart w:id="1708" w:name="Tc_XMr16G56NUOysOwrFt4WYg_3_2"/>
      <w:bookmarkStart w:id="1709" w:name="Tc_jBJijZA3gku3CMBmqi-muw_2_6"/>
      <w:bookmarkStart w:id="1710" w:name="Tc_SuYDUVUAmEupbqir6pdUwg_2_4"/>
      <w:bookmarkStart w:id="1711" w:name="Tc_1zUvoOxlOUCMLqrzVOsw-A_2_2"/>
      <w:bookmarkStart w:id="1712" w:name="Tc_KTvbYh48JUuQRlhe-Qy5mQ_1_2"/>
      <w:bookmarkStart w:id="1713" w:name="_b518a911_9bba_4506_9413_eb9d18ca311e"/>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r>
        <w:rPr>
          <w:rFonts w:ascii="Times New Roman;Times;serif" w:hAnsi="Times New Roman;Times;serif"/>
          <w:sz w:val="20"/>
        </w:rPr>
        <w:t>The following table provides information related to the Group’s operating leases (in thousands):</w:t>
      </w:r>
    </w:p>
    <w:p>
      <w:pPr>
        <w:pStyle w:val="TextBody"/>
        <w:spacing w:before="0" w:after="0"/>
        <w:ind w:left="0" w:right="0" w:hanging="0"/>
        <w:jc w:val="both"/>
        <w:rPr/>
      </w:pPr>
      <w:r>
        <w:rPr/>
        <w:t>​</w:t>
      </w:r>
    </w:p>
    <w:tbl>
      <w:tblPr>
        <w:tblW w:w="10057" w:type="dxa"/>
        <w:jc w:val="left"/>
        <w:tblInd w:w="0" w:type="dxa"/>
        <w:tblCellMar>
          <w:top w:w="0" w:type="dxa"/>
          <w:left w:w="0" w:type="dxa"/>
          <w:bottom w:w="0" w:type="dxa"/>
          <w:right w:w="0" w:type="dxa"/>
        </w:tblCellMar>
      </w:tblPr>
      <w:tblGrid>
        <w:gridCol w:w="6631"/>
        <w:gridCol w:w="326"/>
        <w:gridCol w:w="781"/>
        <w:gridCol w:w="326"/>
        <w:gridCol w:w="781"/>
        <w:gridCol w:w="326"/>
        <w:gridCol w:w="886"/>
      </w:tblGrid>
      <w:tr>
        <w:trPr/>
        <w:tc>
          <w:tcPr>
            <w:tcW w:w="6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10685" cy="175260"/>
                      <wp:effectExtent l="0" t="0" r="0" b="0"/>
                      <wp:wrapNone/>
                      <wp:docPr id="442" name="Frame441"/>
                      <a:graphic xmlns:a="http://schemas.openxmlformats.org/drawingml/2006/main">
                        <a:graphicData uri="http://schemas.microsoft.com/office/word/2010/wordprocessingShape">
                          <wps:wsp>
                            <wps:cNvSpPr txBox="1"/>
                            <wps:spPr>
                              <a:xfrm>
                                <a:off x="0" y="0"/>
                                <a:ext cx="421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95935" cy="175260"/>
                      <wp:effectExtent l="0" t="0" r="0" b="0"/>
                      <wp:wrapNone/>
                      <wp:docPr id="444" name="Frame4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5" name="Frame4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95935" cy="175260"/>
                      <wp:effectExtent l="0" t="0" r="0" b="0"/>
                      <wp:wrapNone/>
                      <wp:docPr id="446" name="Frame4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7" name="Frame4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62610" cy="175260"/>
                      <wp:effectExtent l="0" t="0" r="0" b="0"/>
                      <wp:wrapNone/>
                      <wp:docPr id="448" name="Frame4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6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Operating lease cost </w:t>
            </w:r>
            <w:r>
              <w:rPr>
                <w:rFonts w:ascii="Times New Roman;Times;serif" w:hAnsi="Times New Roman;Times;serif"/>
                <w:sz w:val="15"/>
              </w:rPr>
              <w:t>(i)</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433,412</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580,375</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528,474</w:t>
            </w:r>
          </w:p>
        </w:tc>
      </w:tr>
      <w:tr>
        <w:trPr/>
        <w:tc>
          <w:tcPr>
            <w:tcW w:w="6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323,836</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503,127</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471,214</w:t>
            </w:r>
          </w:p>
        </w:tc>
      </w:tr>
      <w:tr>
        <w:trPr/>
        <w:tc>
          <w:tcPr>
            <w:tcW w:w="66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 obtained in exchange for operating lease obligations</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658,168</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763,919</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336,381</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3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Included short-term lease cost of RMB27.6</w:t>
            </w:r>
            <w:r>
              <w:rPr>
                <w:caps w:val="false"/>
                <w:smallCaps w:val="false"/>
              </w:rPr>
              <w:t xml:space="preserve"> </w:t>
            </w:r>
            <w:r>
              <w:rPr>
                <w:rFonts w:ascii="Times New Roman;Times;serif" w:hAnsi="Times New Roman;Times;serif"/>
                <w:b w:val="false"/>
                <w:i w:val="false"/>
                <w:caps w:val="false"/>
                <w:smallCaps w:val="false"/>
                <w:sz w:val="20"/>
              </w:rPr>
              <w:t>million, RMB31.4</w:t>
            </w:r>
            <w:r>
              <w:rPr>
                <w:caps w:val="false"/>
                <w:smallCaps w:val="false"/>
              </w:rPr>
              <w:t xml:space="preserve"> </w:t>
            </w:r>
            <w:r>
              <w:rPr>
                <w:rFonts w:ascii="Times New Roman;Times;serif" w:hAnsi="Times New Roman;Times;serif"/>
                <w:b w:val="false"/>
                <w:i w:val="false"/>
                <w:caps w:val="false"/>
                <w:smallCaps w:val="false"/>
                <w:sz w:val="20"/>
              </w:rPr>
              <w:t>million and RMB27.4 million and amortization expenses of land use rights of RMB84.7</w:t>
            </w:r>
            <w:r>
              <w:rPr>
                <w:caps w:val="false"/>
                <w:smallCaps w:val="false"/>
              </w:rPr>
              <w:t xml:space="preserve"> </w:t>
            </w:r>
            <w:r>
              <w:rPr>
                <w:rFonts w:ascii="Times New Roman;Times;serif" w:hAnsi="Times New Roman;Times;serif"/>
                <w:b w:val="false"/>
                <w:i w:val="false"/>
                <w:caps w:val="false"/>
                <w:smallCaps w:val="false"/>
                <w:sz w:val="20"/>
              </w:rPr>
              <w:t>million, RMB87.4</w:t>
            </w:r>
            <w:r>
              <w:rPr>
                <w:caps w:val="false"/>
                <w:smallCaps w:val="false"/>
              </w:rPr>
              <w:t xml:space="preserve"> </w:t>
            </w:r>
            <w:r>
              <w:rPr>
                <w:rFonts w:ascii="Times New Roman;Times;serif" w:hAnsi="Times New Roman;Times;serif"/>
                <w:b w:val="false"/>
                <w:i w:val="false"/>
                <w:caps w:val="false"/>
                <w:smallCaps w:val="false"/>
                <w:sz w:val="20"/>
              </w:rPr>
              <w:t>million and RMB91.8</w:t>
            </w:r>
            <w:r>
              <w:rPr>
                <w:caps w:val="false"/>
                <w:smallCaps w:val="false"/>
              </w:rPr>
              <w:t xml:space="preserve"> </w:t>
            </w:r>
            <w:r>
              <w:rPr>
                <w:rFonts w:ascii="Times New Roman;Times;serif" w:hAnsi="Times New Roman;Times;serif"/>
                <w:b w:val="false"/>
                <w:i w:val="false"/>
                <w:caps w:val="false"/>
                <w:smallCaps w:val="false"/>
                <w:sz w:val="20"/>
              </w:rPr>
              <w:t>million for the year ended December 31, 2020, 2021 and 2022, respectively.</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the Group’s operating lease terms and discount rates, which excludes the land use rights, as of December 31, 2021 and 2022:</w:t>
      </w:r>
    </w:p>
    <w:p>
      <w:pPr>
        <w:pStyle w:val="TextBody"/>
        <w:spacing w:before="0" w:after="0"/>
        <w:ind w:left="0" w:right="0" w:hanging="0"/>
        <w:rPr/>
      </w:pPr>
      <w:r>
        <w:rPr/>
        <w:t>​</w:t>
      </w:r>
    </w:p>
    <w:tbl>
      <w:tblPr>
        <w:tblW w:w="6511" w:type="dxa"/>
        <w:jc w:val="left"/>
        <w:tblInd w:w="0" w:type="dxa"/>
        <w:tblCellMar>
          <w:top w:w="0" w:type="dxa"/>
          <w:left w:w="0" w:type="dxa"/>
          <w:bottom w:w="0" w:type="dxa"/>
          <w:right w:w="0" w:type="dxa"/>
        </w:tblCellMar>
      </w:tblPr>
      <w:tblGrid>
        <w:gridCol w:w="3316"/>
        <w:gridCol w:w="326"/>
        <w:gridCol w:w="1096"/>
        <w:gridCol w:w="361"/>
        <w:gridCol w:w="1096"/>
        <w:gridCol w:w="31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05660" cy="175260"/>
                      <wp:effectExtent l="0" t="0" r="0" b="0"/>
                      <wp:wrapNone/>
                      <wp:docPr id="449" name="Frame448"/>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0" name="Frame4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5960" cy="175260"/>
                      <wp:effectExtent l="0" t="0" r="0" b="0"/>
                      <wp:wrapNone/>
                      <wp:docPr id="451" name="Frame450"/>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9235" cy="175260"/>
                      <wp:effectExtent l="0" t="0" r="0" b="0"/>
                      <wp:wrapNone/>
                      <wp:docPr id="452" name="Frame45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5960" cy="175260"/>
                      <wp:effectExtent l="0" t="0" r="0" b="0"/>
                      <wp:wrapNone/>
                      <wp:docPr id="453" name="Frame45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0660" cy="175260"/>
                      <wp:effectExtent l="0" t="0" r="0" b="0"/>
                      <wp:wrapNone/>
                      <wp:docPr id="454" name="Frame45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61"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shd w:fill="auto" w:val="clear"/>
            <w:vAlign w:val="center"/>
          </w:tcPr>
          <w:p>
            <w:pPr>
              <w:pStyle w:val="TableContents"/>
              <w:spacing w:before="0" w:after="0"/>
              <w:ind w:left="0" w:right="0" w:hanging="0"/>
              <w:jc w:val="both"/>
              <w:rPr/>
            </w:pPr>
            <w:r>
              <w:rPr/>
              <w:t> </w:t>
            </w:r>
          </w:p>
        </w:tc>
      </w:tr>
      <w:tr>
        <w:trPr/>
        <w:tc>
          <w:tcPr>
            <w:tcW w:w="3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jc w:val="both"/>
              <w:rPr/>
            </w:pPr>
            <w:r>
              <w:rPr/>
              <w:t> </w:t>
            </w:r>
          </w:p>
        </w:tc>
      </w:tr>
      <w:tr>
        <w:trPr/>
        <w:tc>
          <w:tcPr>
            <w:tcW w:w="331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 years</w:t>
            </w:r>
          </w:p>
        </w:tc>
        <w:tc>
          <w:tcPr>
            <w:tcW w:w="361"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 years</w:t>
            </w:r>
          </w:p>
        </w:tc>
        <w:tc>
          <w:tcPr>
            <w:tcW w:w="316" w:type="dxa"/>
            <w:tcBorders/>
            <w:shd w:fill="CCEEFF" w:val="clear"/>
            <w:vAlign w:val="center"/>
          </w:tcPr>
          <w:p>
            <w:pPr>
              <w:pStyle w:val="TableContents"/>
              <w:spacing w:before="0" w:after="0"/>
              <w:ind w:left="0" w:right="0" w:hanging="0"/>
              <w:jc w:val="both"/>
              <w:rPr/>
            </w:pPr>
            <w:r>
              <w:rPr/>
              <w:t>​</w:t>
            </w:r>
          </w:p>
        </w:tc>
      </w:tr>
      <w:tr>
        <w:trPr/>
        <w:tc>
          <w:tcPr>
            <w:tcW w:w="331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1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operating lease liabilities as of December 31, 2022 were as follows (in thousands):</w:t>
      </w:r>
    </w:p>
    <w:p>
      <w:pPr>
        <w:pStyle w:val="TextBody"/>
        <w:spacing w:before="0" w:after="0"/>
        <w:ind w:left="0" w:right="0" w:hanging="0"/>
        <w:jc w:val="both"/>
        <w:rPr/>
      </w:pPr>
      <w:r>
        <w:rPr/>
        <w:t>​</w:t>
      </w:r>
    </w:p>
    <w:tbl>
      <w:tblPr>
        <w:tblW w:w="3958" w:type="dxa"/>
        <w:jc w:val="left"/>
        <w:tblInd w:w="0" w:type="dxa"/>
        <w:tblCellMar>
          <w:top w:w="0" w:type="dxa"/>
          <w:left w:w="0" w:type="dxa"/>
          <w:bottom w:w="0" w:type="dxa"/>
          <w:right w:w="0" w:type="dxa"/>
        </w:tblCellMar>
      </w:tblPr>
      <w:tblGrid>
        <w:gridCol w:w="2656"/>
        <w:gridCol w:w="326"/>
        <w:gridCol w:w="976"/>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86560" cy="175260"/>
                      <wp:effectExtent l="0" t="0" r="0" b="0"/>
                      <wp:wrapNone/>
                      <wp:docPr id="455" name="Frame454"/>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6" name="Frame4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19760" cy="175260"/>
                      <wp:effectExtent l="0" t="0" r="0" b="0"/>
                      <wp:wrapNone/>
                      <wp:docPr id="457" name="Frame45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297,607</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232,019</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138,099</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102,114</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76,546</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183,808</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lease payments</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1,030,193</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(98,500)</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931,693</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714" w:name="Tc_3psko9wGD0KcJwrhlW5Slw_8_0"/>
      <w:bookmarkStart w:id="1715" w:name="Tc_IUYVl6jJw0KR89GApasagA_7_0"/>
      <w:bookmarkStart w:id="1716" w:name="Tc_EAedqeD8S0mNcM-PtCknHQ_6_0"/>
      <w:bookmarkStart w:id="1717" w:name="Tc_I-no0Ulkf0KztgSYoJfZmw_5_0"/>
      <w:bookmarkStart w:id="1718" w:name="Tc_I3uOhrXw_0WN0N97j-2N4w_4_0"/>
      <w:bookmarkStart w:id="1719" w:name="Tc_oMR2JW7S6U6Wzx6ID8z55w_3_4"/>
      <w:bookmarkStart w:id="1720" w:name="Tc_SeTQqd9omkKxmRFdKniMYw_3_2"/>
      <w:bookmarkStart w:id="1721" w:name="Tc_1PtbPAfB_Umv4aewYjIX3g_2_4"/>
      <w:bookmarkStart w:id="1722" w:name="Tc_oHKeeooRlEOvRwnMvoVU4Q_2_2"/>
      <w:bookmarkStart w:id="1723" w:name="Tc_U0AQCbfLD0W-P66SkYj7aA_1_4"/>
      <w:bookmarkStart w:id="1724" w:name="Tc_o5hv8m2yGUGckDgIGX26aA_1_2"/>
      <w:bookmarkStart w:id="1725" w:name="_0accf0ec_f37f_46bf_8f80_1bc04f5c60a4"/>
      <w:bookmarkStart w:id="1726" w:name="Tc_3psko9wGD0KcJwrhlW5Slw_8_0"/>
      <w:bookmarkStart w:id="1727" w:name="Tc_IUYVl6jJw0KR89GApasagA_7_0"/>
      <w:bookmarkStart w:id="1728" w:name="Tc_EAedqeD8S0mNcM-PtCknHQ_6_0"/>
      <w:bookmarkStart w:id="1729" w:name="Tc_I-no0Ulkf0KztgSYoJfZmw_5_0"/>
      <w:bookmarkStart w:id="1730" w:name="Tc_I3uOhrXw_0WN0N97j-2N4w_4_0"/>
      <w:bookmarkStart w:id="1731" w:name="Tc_oMR2JW7S6U6Wzx6ID8z55w_3_4"/>
      <w:bookmarkStart w:id="1732" w:name="Tc_SeTQqd9omkKxmRFdKniMYw_3_2"/>
      <w:bookmarkStart w:id="1733" w:name="Tc_1PtbPAfB_Umv4aewYjIX3g_2_4"/>
      <w:bookmarkStart w:id="1734" w:name="Tc_oHKeeooRlEOvRwnMvoVU4Q_2_2"/>
      <w:bookmarkStart w:id="1735" w:name="Tc_U0AQCbfLD0W-P66SkYj7aA_1_4"/>
      <w:bookmarkStart w:id="1736" w:name="Tc_o5hv8m2yGUGckDgIGX26aA_1_2"/>
      <w:bookmarkStart w:id="1737" w:name="_0accf0ec_f37f_46bf_8f80_1bc04f5c60a4"/>
      <w:bookmarkEnd w:id="1726"/>
      <w:bookmarkEnd w:id="1727"/>
      <w:bookmarkEnd w:id="1728"/>
      <w:bookmarkEnd w:id="1729"/>
      <w:bookmarkEnd w:id="1730"/>
      <w:bookmarkEnd w:id="1731"/>
      <w:bookmarkEnd w:id="1732"/>
      <w:bookmarkEnd w:id="1733"/>
      <w:bookmarkEnd w:id="1734"/>
      <w:bookmarkEnd w:id="1735"/>
      <w:bookmarkEnd w:id="1736"/>
      <w:bookmarkEnd w:id="1737"/>
    </w:p>
    <w:tbl>
      <w:tblPr>
        <w:tblW w:w="2492" w:type="dxa"/>
        <w:jc w:val="left"/>
        <w:tblInd w:w="0" w:type="dxa"/>
        <w:tblCellMar>
          <w:top w:w="0" w:type="dxa"/>
          <w:left w:w="0" w:type="dxa"/>
          <w:bottom w:w="0" w:type="dxa"/>
          <w:right w:w="0" w:type="dxa"/>
        </w:tblCellMar>
      </w:tblPr>
      <w:tblGrid>
        <w:gridCol w:w="376"/>
        <w:gridCol w:w="211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11.</w:t>
            </w:r>
          </w:p>
        </w:tc>
        <w:tc>
          <w:tcPr>
            <w:tcW w:w="21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Long-term Investments</w:t>
            </w:r>
          </w:p>
        </w:tc>
      </w:tr>
    </w:tbl>
    <w:p>
      <w:pPr>
        <w:pStyle w:val="TextBody"/>
        <w:pBdr/>
        <w:spacing w:before="0" w:after="0"/>
        <w:ind w:left="0" w:right="0" w:hanging="504"/>
        <w:jc w:val="both"/>
        <w:rPr>
          <w:rFonts w:ascii="Times New Roman;Times;serif" w:hAnsi="Times New Roman;Times;serif"/>
          <w:sz w:val="20"/>
        </w:rPr>
      </w:pPr>
      <w:r>
        <w:rPr>
          <w:rFonts w:ascii="Times New Roman;Times;serif" w:hAnsi="Times New Roman;Times;serif"/>
          <w:sz w:val="20"/>
        </w:rPr>
        <w:t>The following is a summary of long-term investments (in thousands):</w:t>
      </w:r>
    </w:p>
    <w:p>
      <w:pPr>
        <w:pStyle w:val="TextBody"/>
        <w:pBdr/>
        <w:spacing w:before="0" w:after="0"/>
        <w:ind w:left="0" w:right="0" w:hanging="504"/>
        <w:jc w:val="both"/>
        <w:rPr/>
      </w:pPr>
      <w:r>
        <w:rPr/>
        <w:t>​</w:t>
      </w:r>
    </w:p>
    <w:tbl>
      <w:tblPr>
        <w:tblW w:w="7870" w:type="dxa"/>
        <w:jc w:val="left"/>
        <w:tblInd w:w="0" w:type="dxa"/>
        <w:tblCellMar>
          <w:top w:w="0" w:type="dxa"/>
          <w:left w:w="0" w:type="dxa"/>
          <w:bottom w:w="0" w:type="dxa"/>
          <w:right w:w="0" w:type="dxa"/>
        </w:tblCellMar>
      </w:tblPr>
      <w:tblGrid>
        <w:gridCol w:w="4981"/>
        <w:gridCol w:w="326"/>
        <w:gridCol w:w="1096"/>
        <w:gridCol w:w="326"/>
        <w:gridCol w:w="1141"/>
      </w:tblGrid>
      <w:tr>
        <w:trPr/>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162935" cy="175260"/>
                      <wp:effectExtent l="0" t="0" r="0" b="0"/>
                      <wp:wrapNone/>
                      <wp:docPr id="458" name="Frame457"/>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9" name="Frame4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5960" cy="175260"/>
                      <wp:effectExtent l="0" t="0" r="0" b="0"/>
                      <wp:wrapNone/>
                      <wp:docPr id="460" name="Frame45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24535" cy="175260"/>
                      <wp:effectExtent l="0" t="0" r="0" b="0"/>
                      <wp:wrapNone/>
                      <wp:docPr id="462" name="Frame46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Investments in equity method investees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3,776,245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5,239,242</w:t>
            </w:r>
          </w:p>
        </w:tc>
      </w:tr>
      <w:tr>
        <w:trPr/>
        <w:tc>
          <w:tcPr>
            <w:tcW w:w="49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5,886,911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r>
      <w:tr>
        <w:trPr/>
        <w:tc>
          <w:tcPr>
            <w:tcW w:w="4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Equity investments without readily determinable fair values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8,802,976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10,463,304</w:t>
            </w:r>
          </w:p>
        </w:tc>
      </w:tr>
      <w:tr>
        <w:trPr/>
        <w:tc>
          <w:tcPr>
            <w:tcW w:w="49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194,280</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r>
      <w:tr>
        <w:trPr/>
        <w:tc>
          <w:tcPr>
            <w:tcW w:w="4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Debt investments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144,490</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28,471</w:t>
            </w:r>
          </w:p>
        </w:tc>
      </w:tr>
      <w:tr>
        <w:trPr/>
        <w:tc>
          <w:tcPr>
            <w:tcW w:w="49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18,804,902</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18,544,358</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752" w:type="dxa"/>
        <w:jc w:val="left"/>
        <w:tblInd w:w="0" w:type="dxa"/>
        <w:tblCellMar>
          <w:top w:w="0" w:type="dxa"/>
          <w:left w:w="0" w:type="dxa"/>
          <w:bottom w:w="0" w:type="dxa"/>
          <w:right w:w="0" w:type="dxa"/>
        </w:tblCellMar>
      </w:tblPr>
      <w:tblGrid>
        <w:gridCol w:w="346"/>
        <w:gridCol w:w="340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34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Investments in equity method investees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recorded equity share of earnings of RMB172.5 million, RMB1,575.5 million and RMB1,259.9 million for the years ended December 31, 2020, 2021, and 2022, respectively, which was included in “Investment income, net” in the consolidated statements of operations and comprehensive income. Significant equity method investments are summarized as follows.</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 August 2013, the Group established a joint venture with China Telecom Corp. Ltd. (“China Telecom”),</w:t>
            </w:r>
            <w:r>
              <w:rPr>
                <w:caps w:val="false"/>
                <w:smallCaps w:val="false"/>
              </w:rPr>
              <w:t xml:space="preserve"> </w:t>
            </w:r>
            <w:r>
              <w:rPr>
                <w:rFonts w:ascii="Times New Roman;Times;serif" w:hAnsi="Times New Roman;Times;serif"/>
                <w:b w:val="false"/>
                <w:i w:val="false"/>
                <w:caps w:val="false"/>
                <w:smallCaps w:val="false"/>
                <w:sz w:val="20"/>
              </w:rPr>
              <w:t>Zhejiang Yixin Technology Co., Ltd. (formerly known as Hangzhou Yixin Technology Co., Ltd.) (“Yixin”) to launch “YiChat”, a proprietary social instant messaging application for smart phones. The Group contributed RMB200.0</w:t>
            </w:r>
            <w:r>
              <w:rPr>
                <w:caps w:val="false"/>
                <w:smallCaps w:val="false"/>
              </w:rPr>
              <w:t xml:space="preserve"> </w:t>
            </w:r>
            <w:r>
              <w:rPr>
                <w:rFonts w:ascii="Times New Roman;Times;serif" w:hAnsi="Times New Roman;Times;serif"/>
                <w:b w:val="false"/>
                <w:i w:val="false"/>
                <w:caps w:val="false"/>
                <w:smallCaps w:val="false"/>
                <w:sz w:val="20"/>
              </w:rPr>
              <w:t>million cash</w:t>
            </w:r>
            <w:r>
              <w:rPr>
                <w:caps w:val="false"/>
                <w:smallCaps w:val="false"/>
              </w:rPr>
              <w:t xml:space="preserve"> </w:t>
            </w:r>
            <w:r>
              <w:rPr>
                <w:rFonts w:ascii="Times New Roman;Times;serif" w:hAnsi="Times New Roman;Times;serif"/>
                <w:b w:val="false"/>
                <w:i w:val="false"/>
                <w:caps w:val="false"/>
                <w:smallCaps w:val="false"/>
                <w:sz w:val="20"/>
              </w:rPr>
              <w:t>in exchange for a 27.0%</w:t>
            </w:r>
            <w:r>
              <w:rPr>
                <w:caps w:val="false"/>
                <w:smallCaps w:val="false"/>
              </w:rPr>
              <w:t xml:space="preserve"> </w:t>
            </w:r>
            <w:r>
              <w:rPr>
                <w:rFonts w:ascii="Times New Roman;Times;serif" w:hAnsi="Times New Roman;Times;serif"/>
                <w:b w:val="false"/>
                <w:i w:val="false"/>
                <w:caps w:val="false"/>
                <w:smallCaps w:val="false"/>
                <w:sz w:val="20"/>
              </w:rPr>
              <w:t>equity interest in Yixin. In July 2015, the Group increased its equity shares in Yixin to 35.0%</w:t>
            </w:r>
            <w:r>
              <w:rPr>
                <w:caps w:val="false"/>
                <w:smallCaps w:val="false"/>
              </w:rPr>
              <w:t xml:space="preserve"> </w:t>
            </w:r>
            <w:r>
              <w:rPr>
                <w:rFonts w:ascii="Times New Roman;Times;serif" w:hAnsi="Times New Roman;Times;serif"/>
                <w:b w:val="false"/>
                <w:i w:val="false"/>
                <w:caps w:val="false"/>
                <w:smallCaps w:val="false"/>
                <w:sz w:val="20"/>
              </w:rPr>
              <w:t>with a cash consideration of approximately RMB127.5</w:t>
            </w:r>
            <w:r>
              <w:rPr>
                <w:caps w:val="false"/>
                <w:smallCaps w:val="false"/>
              </w:rPr>
              <w:t xml:space="preserve"> </w:t>
            </w:r>
            <w:r>
              <w:rPr>
                <w:rFonts w:ascii="Times New Roman;Times;serif" w:hAnsi="Times New Roman;Times;serif"/>
                <w:b w:val="false"/>
                <w:i w:val="false"/>
                <w:caps w:val="false"/>
                <w:smallCaps w:val="false"/>
                <w:sz w:val="20"/>
              </w:rPr>
              <w:t>million.</w:t>
            </w:r>
            <w:r>
              <w:rPr>
                <w:caps w:val="false"/>
                <w:smallCaps w:val="false"/>
              </w:rPr>
              <w:t xml:space="preserve"> </w:t>
            </w:r>
            <w:r>
              <w:rPr>
                <w:rFonts w:ascii="Times New Roman;Times;serif" w:hAnsi="Times New Roman;Times;serif"/>
                <w:b w:val="false"/>
                <w:i w:val="false"/>
                <w:caps w:val="false"/>
                <w:smallCaps w:val="false"/>
                <w:sz w:val="20"/>
              </w:rPr>
              <w:t>Full impairment amounted to RMB197.7</w:t>
            </w:r>
            <w:r>
              <w:rPr>
                <w:caps w:val="false"/>
                <w:smallCaps w:val="false"/>
              </w:rPr>
              <w:t xml:space="preserve"> </w:t>
            </w:r>
            <w:r>
              <w:rPr>
                <w:rFonts w:ascii="Times New Roman;Times;serif" w:hAnsi="Times New Roman;Times;serif"/>
                <w:b w:val="false"/>
                <w:i w:val="false"/>
                <w:caps w:val="false"/>
                <w:smallCaps w:val="false"/>
                <w:sz w:val="20"/>
              </w:rPr>
              <w:t>million was made for this investment due to the investee not performing to expectation for the year ended December 31, 2022.</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As of December 31, 2021, the Group invested an aggregated cash consideration of RMB1,643.2</w:t>
            </w:r>
            <w:r>
              <w:rPr>
                <w:caps w:val="false"/>
                <w:smallCaps w:val="false"/>
              </w:rPr>
              <w:t xml:space="preserve"> </w:t>
            </w:r>
            <w:r>
              <w:rPr>
                <w:rFonts w:ascii="Times New Roman;Times;serif" w:hAnsi="Times New Roman;Times;serif"/>
                <w:b w:val="false"/>
                <w:i w:val="false"/>
                <w:caps w:val="false"/>
                <w:smallCaps w:val="false"/>
                <w:sz w:val="20"/>
              </w:rPr>
              <w:t>million in five</w:t>
            </w:r>
            <w:r>
              <w:rPr>
                <w:caps w:val="false"/>
                <w:smallCaps w:val="false"/>
              </w:rPr>
              <w:t xml:space="preserve"> </w:t>
            </w:r>
            <w:r>
              <w:rPr>
                <w:rFonts w:ascii="Times New Roman;Times;serif" w:hAnsi="Times New Roman;Times;serif"/>
                <w:b w:val="false"/>
                <w:i w:val="false"/>
                <w:caps w:val="false"/>
                <w:smallCaps w:val="false"/>
                <w:sz w:val="20"/>
              </w:rPr>
              <w:t>limited partnerships as a limited partner, and in 2022, the Group further contributed RMB32.9</w:t>
            </w:r>
            <w:r>
              <w:rPr>
                <w:caps w:val="false"/>
                <w:smallCaps w:val="false"/>
              </w:rPr>
              <w:t xml:space="preserve"> </w:t>
            </w:r>
            <w:r>
              <w:rPr>
                <w:rFonts w:ascii="Times New Roman;Times;serif" w:hAnsi="Times New Roman;Times;serif"/>
                <w:b w:val="false"/>
                <w:i w:val="false"/>
                <w:caps w:val="false"/>
                <w:smallCaps w:val="false"/>
                <w:sz w:val="20"/>
              </w:rPr>
              <w:t>million, RMB58.1</w:t>
            </w:r>
            <w:r>
              <w:rPr>
                <w:caps w:val="false"/>
                <w:smallCaps w:val="false"/>
              </w:rPr>
              <w:t xml:space="preserve"> </w:t>
            </w:r>
            <w:r>
              <w:rPr>
                <w:rFonts w:ascii="Times New Roman;Times;serif" w:hAnsi="Times New Roman;Times;serif"/>
                <w:b w:val="false"/>
                <w:i w:val="false"/>
                <w:caps w:val="false"/>
                <w:smallCaps w:val="false"/>
                <w:sz w:val="20"/>
              </w:rPr>
              <w:t>million and RMB121.4</w:t>
            </w:r>
            <w:r>
              <w:rPr>
                <w:caps w:val="false"/>
                <w:smallCaps w:val="false"/>
              </w:rPr>
              <w:t xml:space="preserve"> </w:t>
            </w:r>
            <w:r>
              <w:rPr>
                <w:rFonts w:ascii="Times New Roman;Times;serif" w:hAnsi="Times New Roman;Times;serif"/>
                <w:b w:val="false"/>
                <w:i w:val="false"/>
                <w:caps w:val="false"/>
                <w:smallCaps w:val="false"/>
                <w:sz w:val="20"/>
              </w:rPr>
              <w:t>million cash in three of them, respectively. The objectives of these limited partnerships are to engage in investment in online game business. The Group accounted such investments under the equity method.</w:t>
            </w:r>
          </w:p>
        </w:tc>
      </w:tr>
    </w:tbl>
    <w:tbl>
      <w:tblPr>
        <w:tblW w:w="5282" w:type="dxa"/>
        <w:jc w:val="left"/>
        <w:tblInd w:w="0" w:type="dxa"/>
        <w:tblCellMar>
          <w:top w:w="0" w:type="dxa"/>
          <w:left w:w="0" w:type="dxa"/>
          <w:bottom w:w="0" w:type="dxa"/>
          <w:right w:w="0" w:type="dxa"/>
        </w:tblCellMar>
      </w:tblPr>
      <w:tblGrid>
        <w:gridCol w:w="346"/>
        <w:gridCol w:w="493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493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Equity investments with readily determinable fair values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equity investments with readily determinable fair values included RMB1,099.0 million invested in shares of Alibaba, RMB374.1 million invested in shares of Huatai Securities Company Limited (“Huatai”), RMB283.3 million invested in shares of Shenzhen Transsion Holding Limited, RMB257.7 million invested in shares of AppLovin Corporation, RMB247.5 million invested in shares of Embracer Group AB (publ), RMB187.8 million invested in shares of Devolver Digital, Inc., and RMB117.9 million invested in shares of tinyBuild Inc. The Group recorded fair value gain of RMB720.6 million, RMB91.1 million and fair value loss of RMB3,414.7 million related to the equity investments with readily determinable fair value for the year ended December 31, 2020, 2021 and 2022,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received cash dividends of RMB12.7 million, RMB18.9 million and RMB21.1 million from Huatai for the years ended December 31, 2020, 2021 and 2022, respectively.</w:t>
      </w:r>
    </w:p>
    <w:tbl>
      <w:tblPr>
        <w:tblW w:w="5462" w:type="dxa"/>
        <w:jc w:val="left"/>
        <w:tblInd w:w="0" w:type="dxa"/>
        <w:tblCellMar>
          <w:top w:w="0" w:type="dxa"/>
          <w:left w:w="0" w:type="dxa"/>
          <w:bottom w:w="0" w:type="dxa"/>
          <w:right w:w="0" w:type="dxa"/>
        </w:tblCellMar>
      </w:tblPr>
      <w:tblGrid>
        <w:gridCol w:w="331"/>
        <w:gridCol w:w="5131"/>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51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Equity investments without readily determinable fair value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 ended December 31, 2020, 2021 and 2022, nil, RMB380.8 million and nil upward adjustments to the carrying value of equity securities without readily determinable fair value resulted from such transactions were recognized as “Investment income, net” in the consolidated statements of operations and comprehensive income,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recognized a gain of RMB36.1 million, RMB172.5 million and RMB1,784.9 million related to the disposal of the Group’s investments in equity securities without readily determinable fair value as “Investment income, net” in the consolidated statements of operations and comprehensive income for the years ended December 31, 2020, 2021 and 2022,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Group recognized impairment provision of RMB55.6 million, RMB19.2 million and RMB85.2 million related to certain of the equity investments without readily determinable fair value as “Investment income, net” in the consolidated statements of operations and comprehensive income for the years ended December 31, 2020, 2021 and 2022, respectively. </w:t>
      </w:r>
    </w:p>
    <w:p>
      <w:pPr>
        <w:pStyle w:val="TextBody"/>
        <w:spacing w:before="0" w:after="0"/>
        <w:ind w:left="0" w:right="0" w:hanging="0"/>
        <w:jc w:val="both"/>
        <w:rPr/>
      </w:pPr>
      <w:r>
        <w:rPr/>
        <w:t>​</w:t>
      </w:r>
    </w:p>
    <w:p>
      <w:pPr>
        <w:pStyle w:val="TextBody"/>
        <w:spacing w:before="0" w:after="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738" w:name="Tc__rkT2LyABUueVye1R46YeA_6_0"/>
      <w:bookmarkStart w:id="1739" w:name="Tc_-XCqn5S_2Eq-5stgT20xsw_5_0"/>
      <w:bookmarkStart w:id="1740" w:name="Tc_R3zuzFnu10GHTQoUVFJKkA_4_0"/>
      <w:bookmarkStart w:id="1741" w:name="Tc_5Hh8dRp4Z0Gs1d1nrC5woA_3_4"/>
      <w:bookmarkStart w:id="1742" w:name="Tc_LVElx0k9ZEChC9iOEj38wQ_3_2"/>
      <w:bookmarkStart w:id="1743" w:name="Tc_q1r6lOWjckSo6sRAU1_d1g_2_4"/>
      <w:bookmarkStart w:id="1744" w:name="Tc_hJTn0OoOb0qmOz1IaNYIfA_2_2"/>
      <w:bookmarkStart w:id="1745" w:name="Tc_VqRltZz_5UGTh-_xZ5UBQQ_1_4"/>
      <w:bookmarkStart w:id="1746" w:name="Tc_OB20jhFImEaMTleYWrfGIw_1_2"/>
      <w:bookmarkStart w:id="1747" w:name="Tc_SVEz1RkjJECeEXOQ8G80mA_10_0"/>
      <w:bookmarkStart w:id="1748" w:name="Tc_X_ffrvy0BkiFL2dTYuqAAg_9_0"/>
      <w:bookmarkStart w:id="1749" w:name="Tc_6ma11G3E9kK5zPQaWwBpfg_8_0"/>
      <w:bookmarkStart w:id="1750" w:name="Tc_IRYSDRrkFES2BLKfP_WCyg_7_0"/>
      <w:bookmarkStart w:id="1751" w:name="Tc_KEfVHfzDHk-TN4KOYpB_1Q_6_0"/>
      <w:bookmarkStart w:id="1752" w:name="Tc_m3lDpIQOtket0Kosfi9U1A_5_0"/>
      <w:bookmarkStart w:id="1753" w:name="Tc_ueA9tkpO2UiauMEEH3XhCg_4_0"/>
      <w:bookmarkStart w:id="1754" w:name="Tc_3xjAGNWodkusMyJAtyNvvA_3_4"/>
      <w:bookmarkStart w:id="1755" w:name="Tc_yotJA6HnlEyfkf2RpCgMrA_3_2"/>
      <w:bookmarkStart w:id="1756" w:name="Tc_r_S5It15KkWusKTEdi1cNA_2_4"/>
      <w:bookmarkStart w:id="1757" w:name="Tc_8gKEiEwVJkOy6xENl8JFlw_2_2"/>
      <w:bookmarkStart w:id="1758" w:name="Tc_yE3pkfAxiECPw6l0GOEkIg_1_4"/>
      <w:bookmarkStart w:id="1759" w:name="Tc_XQ8UKOw-1k6cCG1dlf8AmQ_1_2"/>
      <w:bookmarkStart w:id="1760" w:name="_4444197e_c498_4272_9f02_88f636774a75"/>
      <w:bookmarkStart w:id="1761" w:name="Tc__rkT2LyABUueVye1R46YeA_6_0"/>
      <w:bookmarkStart w:id="1762" w:name="Tc_-XCqn5S_2Eq-5stgT20xsw_5_0"/>
      <w:bookmarkStart w:id="1763" w:name="Tc_R3zuzFnu10GHTQoUVFJKkA_4_0"/>
      <w:bookmarkStart w:id="1764" w:name="Tc_5Hh8dRp4Z0Gs1d1nrC5woA_3_4"/>
      <w:bookmarkStart w:id="1765" w:name="Tc_LVElx0k9ZEChC9iOEj38wQ_3_2"/>
      <w:bookmarkStart w:id="1766" w:name="Tc_q1r6lOWjckSo6sRAU1_d1g_2_4"/>
      <w:bookmarkStart w:id="1767" w:name="Tc_hJTn0OoOb0qmOz1IaNYIfA_2_2"/>
      <w:bookmarkStart w:id="1768" w:name="Tc_VqRltZz_5UGTh-_xZ5UBQQ_1_4"/>
      <w:bookmarkStart w:id="1769" w:name="Tc_OB20jhFImEaMTleYWrfGIw_1_2"/>
      <w:bookmarkStart w:id="1770" w:name="Tc_SVEz1RkjJECeEXOQ8G80mA_10_0"/>
      <w:bookmarkStart w:id="1771" w:name="Tc_X_ffrvy0BkiFL2dTYuqAAg_9_0"/>
      <w:bookmarkStart w:id="1772" w:name="Tc_6ma11G3E9kK5zPQaWwBpfg_8_0"/>
      <w:bookmarkStart w:id="1773" w:name="Tc_IRYSDRrkFES2BLKfP_WCyg_7_0"/>
      <w:bookmarkStart w:id="1774" w:name="Tc_KEfVHfzDHk-TN4KOYpB_1Q_6_0"/>
      <w:bookmarkStart w:id="1775" w:name="Tc_m3lDpIQOtket0Kosfi9U1A_5_0"/>
      <w:bookmarkStart w:id="1776" w:name="Tc_ueA9tkpO2UiauMEEH3XhCg_4_0"/>
      <w:bookmarkStart w:id="1777" w:name="Tc_3xjAGNWodkusMyJAtyNvvA_3_4"/>
      <w:bookmarkStart w:id="1778" w:name="Tc_yotJA6HnlEyfkf2RpCgMrA_3_2"/>
      <w:bookmarkStart w:id="1779" w:name="Tc_r_S5It15KkWusKTEdi1cNA_2_4"/>
      <w:bookmarkStart w:id="1780" w:name="Tc_8gKEiEwVJkOy6xENl8JFlw_2_2"/>
      <w:bookmarkStart w:id="1781" w:name="Tc_yE3pkfAxiECPw6l0GOEkIg_1_4"/>
      <w:bookmarkStart w:id="1782" w:name="Tc_XQ8UKOw-1k6cCG1dlf8AmQ_1_2"/>
      <w:bookmarkStart w:id="1783" w:name="_4444197e_c498_4272_9f02_88f636774a75"/>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p>
    <w:tbl>
      <w:tblPr>
        <w:tblW w:w="2537" w:type="dxa"/>
        <w:jc w:val="left"/>
        <w:tblInd w:w="0" w:type="dxa"/>
        <w:tblCellMar>
          <w:top w:w="0" w:type="dxa"/>
          <w:left w:w="0" w:type="dxa"/>
          <w:bottom w:w="0" w:type="dxa"/>
          <w:right w:w="0" w:type="dxa"/>
        </w:tblCellMar>
      </w:tblPr>
      <w:tblGrid>
        <w:gridCol w:w="376"/>
        <w:gridCol w:w="216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12.</w:t>
            </w:r>
          </w:p>
        </w:tc>
        <w:tc>
          <w:tcPr>
            <w:tcW w:w="216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Other Long-term Assets</w:t>
            </w:r>
          </w:p>
        </w:tc>
      </w:tr>
    </w:tbl>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The following is a summary of other long-term assets (in thousands):</w:t>
      </w:r>
    </w:p>
    <w:p>
      <w:pPr>
        <w:pStyle w:val="TextBody"/>
        <w:pBdr/>
        <w:spacing w:before="0" w:after="0"/>
        <w:ind w:left="0" w:right="0" w:hanging="360"/>
        <w:jc w:val="both"/>
        <w:rPr/>
      </w:pPr>
      <w:r>
        <w:rPr/>
        <w:t>​</w:t>
      </w:r>
    </w:p>
    <w:tbl>
      <w:tblPr>
        <w:tblW w:w="8140" w:type="dxa"/>
        <w:jc w:val="left"/>
        <w:tblInd w:w="0" w:type="dxa"/>
        <w:tblCellMar>
          <w:top w:w="0" w:type="dxa"/>
          <w:left w:w="0" w:type="dxa"/>
          <w:bottom w:w="0" w:type="dxa"/>
          <w:right w:w="0" w:type="dxa"/>
        </w:tblCellMar>
      </w:tblPr>
      <w:tblGrid>
        <w:gridCol w:w="5251"/>
        <w:gridCol w:w="326"/>
        <w:gridCol w:w="1096"/>
        <w:gridCol w:w="326"/>
        <w:gridCol w:w="1141"/>
      </w:tblGrid>
      <w:tr>
        <w:trPr/>
        <w:tc>
          <w:tcPr>
            <w:tcW w:w="5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334385" cy="175260"/>
                      <wp:effectExtent l="0" t="0" r="0" b="0"/>
                      <wp:wrapNone/>
                      <wp:docPr id="463" name="Frame462"/>
                      <a:graphic xmlns:a="http://schemas.openxmlformats.org/drawingml/2006/main">
                        <a:graphicData uri="http://schemas.microsoft.com/office/word/2010/wordprocessingShape">
                          <wps:wsp>
                            <wps:cNvSpPr txBox="1"/>
                            <wps:spPr>
                              <a:xfrm>
                                <a:off x="0" y="0"/>
                                <a:ext cx="33343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4"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5960" cy="175260"/>
                      <wp:effectExtent l="0" t="0" r="0" b="0"/>
                      <wp:wrapNone/>
                      <wp:docPr id="465" name="Frame46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6"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24535" cy="175260"/>
                      <wp:effectExtent l="0" t="0" r="0" b="0"/>
                      <wp:wrapNone/>
                      <wp:docPr id="467" name="Frame46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525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25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5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2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Copyrights, licenses, domain names, trademark and technology</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2,617,164</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2,117,688</w:t>
            </w:r>
          </w:p>
        </w:tc>
      </w:tr>
      <w:tr>
        <w:trPr/>
        <w:tc>
          <w:tcPr>
            <w:tcW w:w="52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Long-term receivable</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58,366</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1,638,572</w:t>
            </w:r>
          </w:p>
        </w:tc>
      </w:tr>
      <w:tr>
        <w:trPr/>
        <w:tc>
          <w:tcPr>
            <w:tcW w:w="52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Long-term interest receivables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98,594</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100,397</w:t>
            </w:r>
          </w:p>
        </w:tc>
      </w:tr>
      <w:tr>
        <w:trPr/>
        <w:tc>
          <w:tcPr>
            <w:tcW w:w="52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595,280</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2,166,486</w:t>
            </w:r>
          </w:p>
        </w:tc>
      </w:tr>
      <w:tr>
        <w:trPr/>
        <w:tc>
          <w:tcPr>
            <w:tcW w:w="52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Staff housing loans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55,275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39,228</w:t>
            </w:r>
          </w:p>
        </w:tc>
      </w:tr>
      <w:tr>
        <w:trPr/>
        <w:tc>
          <w:tcPr>
            <w:tcW w:w="52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Non-current deposits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150,666</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174,357</w:t>
            </w:r>
          </w:p>
        </w:tc>
      </w:tr>
      <w:tr>
        <w:trPr/>
        <w:tc>
          <w:tcPr>
            <w:tcW w:w="52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433,111</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569,727</w:t>
            </w:r>
          </w:p>
        </w:tc>
      </w:tr>
      <w:tr>
        <w:trPr/>
        <w:tc>
          <w:tcPr>
            <w:tcW w:w="525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4,008,456</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6,806,455</w:t>
            </w:r>
          </w:p>
        </w:tc>
      </w:tr>
    </w:tbl>
    <w:p>
      <w:pPr>
        <w:pStyle w:val="TextBody"/>
        <w:pBdr/>
        <w:spacing w:before="0" w:after="0"/>
        <w:ind w:left="0" w:right="0" w:hanging="36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Balances of copyrights and licenses represents prepaid minimum royalties for exploitation of related intellectual properties, which was amortized over the term of the respective licensing agreements or estimated amortization periods.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spacing w:before="0" w:after="0"/>
        <w:ind w:left="0" w:right="0" w:hanging="0"/>
        <w:rPr/>
      </w:pPr>
      <w:r>
        <w:rPr/>
        <w:t>​</w:t>
      </w:r>
    </w:p>
    <w:tbl>
      <w:tblPr>
        <w:tblW w:w="4555" w:type="dxa"/>
        <w:jc w:val="left"/>
        <w:tblInd w:w="0" w:type="dxa"/>
        <w:tblCellMar>
          <w:top w:w="0" w:type="dxa"/>
          <w:left w:w="0" w:type="dxa"/>
          <w:bottom w:w="0" w:type="dxa"/>
          <w:right w:w="0" w:type="dxa"/>
        </w:tblCellMar>
      </w:tblPr>
      <w:tblGrid>
        <w:gridCol w:w="1666"/>
        <w:gridCol w:w="326"/>
        <w:gridCol w:w="1096"/>
        <w:gridCol w:w="326"/>
        <w:gridCol w:w="114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057910" cy="175260"/>
                      <wp:effectExtent l="0" t="0" r="0" b="0"/>
                      <wp:wrapNone/>
                      <wp:docPr id="468" name="Frame467"/>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9"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5960" cy="175260"/>
                      <wp:effectExtent l="0" t="0" r="0" b="0"/>
                      <wp:wrapNone/>
                      <wp:docPr id="470" name="Frame46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1"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24535" cy="175260"/>
                      <wp:effectExtent l="0" t="0" r="0" b="0"/>
                      <wp:wrapNone/>
                      <wp:docPr id="472" name="Frame47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6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6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318,943</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595,280</w:t>
            </w:r>
          </w:p>
        </w:tc>
      </w:tr>
      <w:tr>
        <w:trPr/>
        <w:tc>
          <w:tcPr>
            <w:tcW w:w="16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276,337</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1,571,206</w:t>
            </w:r>
          </w:p>
        </w:tc>
      </w:tr>
      <w:tr>
        <w:trPr/>
        <w:tc>
          <w:tcPr>
            <w:tcW w:w="16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595,280</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2,166,486</w:t>
            </w:r>
          </w:p>
        </w:tc>
      </w:tr>
    </w:tbl>
    <w:p>
      <w:pPr>
        <w:pStyle w:val="TextBody"/>
        <w:pBdr/>
        <w:spacing w:before="0" w:after="0"/>
        <w:ind w:left="0" w:right="0" w:hanging="36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2021 and 2022, the carrying value of goodwill was mainly recorded under the games and related value-added services segment.The Group performed impairment tests using the qualitative and quantitative method and concluded that the goodwill was not impaired as at December 31, 2021 and 2022, therefore, no provision was recorded.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4.75% and 2.1% to 4.75% per annum for the years ended December 31, 2021 and 2022, respectively. The outstanding portion of the staff housing loans repayable within 12 months as of December 31, 2021 and 2022 amounted to approximately RMB29.2 million and RMB22.7 million, respectively. The amounts are reported under “Prepayments and other current assets” in the consolidated balance sheets (see Note 6).</w:t>
      </w:r>
    </w:p>
    <w:p>
      <w:pPr>
        <w:pStyle w:val="TextBody"/>
        <w:spacing w:before="0" w:after="0"/>
        <w:ind w:left="0" w:right="0" w:hanging="0"/>
        <w:jc w:val="both"/>
        <w:rPr/>
      </w:pPr>
      <w:r>
        <w:rPr/>
        <w:t>​</w:t>
      </w:r>
    </w:p>
    <w:p>
      <w:pPr>
        <w:pStyle w:val="TextBody"/>
        <w:pBdr/>
        <w:spacing w:before="0" w:after="0"/>
        <w:ind w:left="0" w:right="0" w:hanging="360"/>
        <w:jc w:val="both"/>
        <w:rPr/>
      </w:pPr>
      <w:r>
        <w:rPr/>
        <w:t>​</w:t>
      </w:r>
    </w:p>
    <w:tbl>
      <w:tblPr>
        <w:tblW w:w="1307" w:type="dxa"/>
        <w:jc w:val="left"/>
        <w:tblInd w:w="0" w:type="dxa"/>
        <w:tblCellMar>
          <w:top w:w="0" w:type="dxa"/>
          <w:left w:w="0" w:type="dxa"/>
          <w:bottom w:w="0" w:type="dxa"/>
          <w:right w:w="0" w:type="dxa"/>
        </w:tblCellMar>
      </w:tblPr>
      <w:tblGrid>
        <w:gridCol w:w="376"/>
        <w:gridCol w:w="93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13.</w:t>
            </w:r>
          </w:p>
        </w:tc>
        <w:tc>
          <w:tcPr>
            <w:tcW w:w="9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Taxation</w:t>
            </w:r>
          </w:p>
        </w:tc>
      </w:tr>
    </w:tbl>
    <w:tbl>
      <w:tblPr>
        <w:tblW w:w="1607" w:type="dxa"/>
        <w:jc w:val="left"/>
        <w:tblInd w:w="0" w:type="dxa"/>
        <w:tblCellMar>
          <w:top w:w="0" w:type="dxa"/>
          <w:left w:w="0" w:type="dxa"/>
          <w:bottom w:w="0" w:type="dxa"/>
          <w:right w:w="0" w:type="dxa"/>
        </w:tblCellMar>
      </w:tblPr>
      <w:tblGrid>
        <w:gridCol w:w="346"/>
        <w:gridCol w:w="126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26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Cayman Islands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British Virgin Islands (“BVI”)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Subsidiaries in the BVI are exempted from income tax on its foreign-derived income in the BVI. There are no withholding taxes in the BVI.</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bookmarkStart w:id="1784" w:name="Tc_JV_RJM8FdE2kkvYJ8YfDwA_6_0"/>
      <w:bookmarkStart w:id="1785" w:name="Tc_ruAbOVpi8Eet-fOOWCyRCQ_5_0"/>
      <w:bookmarkStart w:id="1786" w:name="Tc_ayLXdTAd60Kj-WQzZyHRlw_4_0"/>
      <w:bookmarkStart w:id="1787" w:name="Tc_c2S4z-7OyEWJJvYD22QTMQ_3_6"/>
      <w:bookmarkStart w:id="1788" w:name="Tc_54TBObYMXk-aJfe90emk4A_3_4"/>
      <w:bookmarkStart w:id="1789" w:name="Tc_GL2_YnV3GUm4LRGiPUpS0Q_3_2"/>
      <w:bookmarkStart w:id="1790" w:name="Tc_lz8rcpetnk2y-3tn-2E4mg_2_6"/>
      <w:bookmarkStart w:id="1791" w:name="Tc_iOEj85TP_E69MsNB1OOQ0Q_2_4"/>
      <w:bookmarkStart w:id="1792" w:name="Tc_MvIHDDB8PUi7_aeQ765Zig_2_2"/>
      <w:bookmarkStart w:id="1793" w:name="Tc_aIoM62_zsUaj9fXT46uhpw_1_2"/>
      <w:bookmarkStart w:id="1794" w:name="_bfbc79ae_16e4_43d3_8cc2_82cb294c55eb"/>
      <w:bookmarkStart w:id="1795" w:name="Tc_HfMKvgR2ekOLFwNlz7CY2g_6_0"/>
      <w:bookmarkStart w:id="1796" w:name="Tc_pkCKS_C7m0mgP4BrnkP_jQ_5_0"/>
      <w:bookmarkStart w:id="1797" w:name="Tc__ERB0P0DJEm-LGqhYrkJcA_4_0"/>
      <w:bookmarkStart w:id="1798" w:name="Tc_HETYQxcuBkeboNrVxj8o8g_3_6"/>
      <w:bookmarkStart w:id="1799" w:name="Tc_6KBRT-eehkuIhsHGoUApRg_3_4"/>
      <w:bookmarkStart w:id="1800" w:name="Tc_Gt9AjAgH6EusI-zxAAPVVw_3_2"/>
      <w:bookmarkStart w:id="1801" w:name="Tc_npgmV8Z6oUydAlk-_DbinQ_2_6"/>
      <w:bookmarkStart w:id="1802" w:name="Tc_Xkg4Nosq8kGqyTawNvZdjA_2_4"/>
      <w:bookmarkStart w:id="1803" w:name="Tc_N39kHwY2y0Gs9abiTJHp7g_2_2"/>
      <w:bookmarkStart w:id="1804" w:name="Tc_RbQ-3zFNuEOdky7huKncKA_1_2"/>
      <w:bookmarkStart w:id="1805" w:name="_f2433783_8458_43b0_8361_886efdb9d81a"/>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r>
        <w:rPr>
          <w:rFonts w:ascii="Times New Roman;Times;serif" w:hAnsi="Times New Roman;Times;serif"/>
          <w:i/>
          <w:sz w:val="20"/>
        </w:rPr>
        <w:t>Hong Kong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Subsidiaries in Hong Kong are subject to 16.5% income tax on their taxable income generated from operations in Hong Kong. For the years ended December 31, 2020, 2021 and 2022,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China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EIT Law, Foreign Invested Enterprises (“FIEs”) and domestic companies would be subject to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Boguan, NetEase Hangzhou and certain other PRC subsidiaries were qualified as HNTEs and enjoyed a preferential tax rate of 15% for 2020, 2021 and 2022. In 2020, Boguan, NetEase Hangzhou and certain other PRC subsidiaries were also qualified as a Key Software Enterprise to enjoy preferential tax rate of 10% for 2019. The related tax benefit was recorded in 2020. The Key Software Enterprise status is subject to review by the relevant authorities every year. In 2021 and 2022, no subsidiaries were qualified as a Key Software Enterprise for 2020 and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aforementioned preferential tax rates are subject to annual review by the relevant tax authorities in China.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combined effects of EIT exemptions and tax rate reductions enjoyed by the Group for the years ended December 31, 2020, 2021 and 2022 (in thousands except per share data):</w:t>
      </w:r>
    </w:p>
    <w:p>
      <w:pPr>
        <w:pStyle w:val="TextBody"/>
        <w:pBdr/>
        <w:spacing w:before="0" w:after="0"/>
        <w:ind w:left="0" w:right="0" w:hanging="357"/>
        <w:jc w:val="both"/>
        <w:rPr/>
      </w:pPr>
      <w:r>
        <w:rPr/>
        <w:t>​</w:t>
      </w:r>
    </w:p>
    <w:tbl>
      <w:tblPr>
        <w:tblW w:w="8872" w:type="dxa"/>
        <w:jc w:val="left"/>
        <w:tblInd w:w="0" w:type="dxa"/>
        <w:tblCellMar>
          <w:top w:w="0" w:type="dxa"/>
          <w:left w:w="0" w:type="dxa"/>
          <w:bottom w:w="0" w:type="dxa"/>
          <w:right w:w="0" w:type="dxa"/>
        </w:tblCellMar>
      </w:tblPr>
      <w:tblGrid>
        <w:gridCol w:w="5056"/>
        <w:gridCol w:w="326"/>
        <w:gridCol w:w="931"/>
        <w:gridCol w:w="326"/>
        <w:gridCol w:w="931"/>
        <w:gridCol w:w="326"/>
        <w:gridCol w:w="976"/>
      </w:tblGrid>
      <w:tr>
        <w:trPr/>
        <w:tc>
          <w:tcPr>
            <w:tcW w:w="5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210560" cy="175260"/>
                      <wp:effectExtent l="0" t="0" r="0" b="0"/>
                      <wp:wrapNone/>
                      <wp:docPr id="473" name="Frame472"/>
                      <a:graphic xmlns:a="http://schemas.openxmlformats.org/drawingml/2006/main">
                        <a:graphicData uri="http://schemas.microsoft.com/office/word/2010/wordprocessingShape">
                          <wps:wsp>
                            <wps:cNvSpPr txBox="1"/>
                            <wps:spPr>
                              <a:xfrm>
                                <a:off x="0" y="0"/>
                                <a:ext cx="32105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4" name="Frame4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91185" cy="175260"/>
                      <wp:effectExtent l="0" t="0" r="0" b="0"/>
                      <wp:wrapNone/>
                      <wp:docPr id="475" name="Frame47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6"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91185" cy="175260"/>
                      <wp:effectExtent l="0" t="0" r="0" b="0"/>
                      <wp:wrapNone/>
                      <wp:docPr id="477" name="Frame47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8"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19760" cy="175260"/>
                      <wp:effectExtent l="0" t="0" r="0" b="0"/>
                      <wp:wrapNone/>
                      <wp:docPr id="479" name="Frame478"/>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50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4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0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5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0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Aggregate amount of EIT exemptions and tax rate reductions</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1,969,414</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2,238,907</w:t>
            </w:r>
          </w:p>
        </w:tc>
        <w:tc>
          <w:tcPr>
            <w:tcW w:w="326" w:type="dxa"/>
            <w:tcBorders/>
            <w:shd w:fill="CCEEFF" w:val="clear"/>
            <w:vAlign w:val="center"/>
          </w:tcPr>
          <w:p>
            <w:pPr>
              <w:pStyle w:val="TableContents"/>
              <w:spacing w:before="0" w:after="0"/>
              <w:ind w:left="0" w:right="0" w:hanging="0"/>
              <w:jc w:val="both"/>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2,631,764</w:t>
            </w:r>
          </w:p>
        </w:tc>
      </w:tr>
      <w:tr>
        <w:trPr/>
        <w:tc>
          <w:tcPr>
            <w:tcW w:w="50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Earnings per share effect, basic</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shd w:fill="auto" w:val="clear"/>
            <w:vAlign w:val="center"/>
          </w:tcPr>
          <w:p>
            <w:pPr>
              <w:pStyle w:val="TableContents"/>
              <w:spacing w:before="0" w:after="0"/>
              <w:ind w:left="0" w:right="0" w:hanging="0"/>
              <w:jc w:val="both"/>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50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Earnings per share effect, diluted</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shd w:fill="CCEEFF" w:val="clear"/>
            <w:vAlign w:val="center"/>
          </w:tcPr>
          <w:p>
            <w:pPr>
              <w:pStyle w:val="TableContents"/>
              <w:spacing w:before="0" w:after="0"/>
              <w:ind w:left="0" w:right="0" w:hanging="0"/>
              <w:jc w:val="both"/>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0.80</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component of income tax expenses of the Group for the years ended December 31, 2020, 2021 and 2022 (in thousands):</w:t>
      </w:r>
    </w:p>
    <w:p>
      <w:pPr>
        <w:pStyle w:val="TextBody"/>
        <w:spacing w:before="0" w:after="0"/>
        <w:ind w:left="0" w:right="0" w:hanging="0"/>
        <w:jc w:val="both"/>
        <w:rPr/>
      </w:pPr>
      <w:r>
        <w:rPr/>
        <w:t>​</w:t>
      </w:r>
    </w:p>
    <w:tbl>
      <w:tblPr>
        <w:tblW w:w="5692" w:type="dxa"/>
        <w:jc w:val="left"/>
        <w:tblInd w:w="0" w:type="dxa"/>
        <w:tblCellMar>
          <w:top w:w="0" w:type="dxa"/>
          <w:left w:w="0" w:type="dxa"/>
          <w:bottom w:w="0" w:type="dxa"/>
          <w:right w:w="0" w:type="dxa"/>
        </w:tblCellMar>
      </w:tblPr>
      <w:tblGrid>
        <w:gridCol w:w="1816"/>
        <w:gridCol w:w="326"/>
        <w:gridCol w:w="931"/>
        <w:gridCol w:w="326"/>
        <w:gridCol w:w="931"/>
        <w:gridCol w:w="326"/>
        <w:gridCol w:w="1036"/>
      </w:tblGrid>
      <w:tr>
        <w:trPr/>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153160" cy="175260"/>
                      <wp:effectExtent l="0" t="0" r="0" b="0"/>
                      <wp:wrapNone/>
                      <wp:docPr id="480" name="Frame479"/>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1" name="Frame4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91185" cy="175260"/>
                      <wp:effectExtent l="0" t="0" r="0" b="0"/>
                      <wp:wrapNone/>
                      <wp:docPr id="482" name="Frame48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3" name="Frame4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91185" cy="175260"/>
                      <wp:effectExtent l="0" t="0" r="0" b="0"/>
                      <wp:wrapNone/>
                      <wp:docPr id="484" name="Frame48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5" name="Frame4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57860" cy="175260"/>
                      <wp:effectExtent l="0" t="0" r="0" b="0"/>
                      <wp:wrapNone/>
                      <wp:docPr id="486" name="Frame48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tax expense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2,953,670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3,720,321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4,542,168</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expense</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88,179</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407,948</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489,670</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3,041,849</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4,128,269</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5,031,838</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806" w:name="Tc_Gt6c-H6dQUuHrREV4O625w_12_0"/>
      <w:bookmarkStart w:id="1807" w:name="Tc_1-SNe2jfsUuYki8sL1QqpQ_11_0"/>
      <w:bookmarkStart w:id="1808" w:name="Tc_yzbvQGDRG0q2L3ZxUOmWOg_9_0"/>
      <w:bookmarkStart w:id="1809" w:name="Tc_S0GSfp5d5UGUiFrrRE0IwQ_8_0"/>
      <w:bookmarkStart w:id="1810" w:name="Tc_hnFoKl7gvkWrWyFwq7mhoQ_7_0"/>
      <w:bookmarkStart w:id="1811" w:name="Tc_5gaV_UGqc06H0EK2oZoTSA_6_0"/>
      <w:bookmarkStart w:id="1812" w:name="Tc_vHlE3yOfq0mjjf8ZYPvXng_5_0"/>
      <w:bookmarkStart w:id="1813" w:name="Tc_dSF3Dt0kfkahg7c-M_NNPg_4_0"/>
      <w:bookmarkStart w:id="1814" w:name="Tc_vV2BYRTPUU-CDpjvteDSPg_3_4"/>
      <w:bookmarkStart w:id="1815" w:name="Tc_3gUf21b01kmbpuGwlCd4vw_3_2"/>
      <w:bookmarkStart w:id="1816" w:name="Tc_yhpN8xTXhUWuD6FeMCE00A_2_4"/>
      <w:bookmarkStart w:id="1817" w:name="Tc_wJ6UgUTpr0Sv9I7filxSWA_2_2"/>
      <w:bookmarkStart w:id="1818" w:name="Tc_5p7t-92aLk20t5Kn_LrQvA_1_4"/>
      <w:bookmarkStart w:id="1819" w:name="Tc_aSXTJj-_0UilC9K0LA-B4A_1_2"/>
      <w:bookmarkStart w:id="1820" w:name="_0f72dd55_4ddd_4c48_86b7_4d94c3d24d75"/>
      <w:bookmarkStart w:id="1821" w:name="Tc_pb48NMZ27E2zDxTMiiB09A_6_0"/>
      <w:bookmarkStart w:id="1822" w:name="Tc_BAwueNYHkkqcg7wJO54sVQ_5_0"/>
      <w:bookmarkStart w:id="1823" w:name="Tc_YqJMtUfkB0uOIcV_6xStFw_4_0"/>
      <w:bookmarkStart w:id="1824" w:name="Tc_M827kZFVnEivZ1dicBWZIw_3_0"/>
      <w:bookmarkStart w:id="1825" w:name="Tc_1poGZo8liE-z0uJeat3l6Q_2_0"/>
      <w:bookmarkStart w:id="1826" w:name="Tc_DITubF2gzEaIxvIIlGfZ3w_1_2"/>
      <w:bookmarkStart w:id="1827" w:name="_8c6216e6_3afd_4ab9_b7a7_ff1f2c3add32"/>
      <w:bookmarkStart w:id="1828" w:name="Tc_Oqsxg7rwbkej3FQi_scw-A_10_0"/>
      <w:bookmarkStart w:id="1829" w:name="Tc_N-atouAgIUe8NZnZd4b6Uw_9_0"/>
      <w:bookmarkStart w:id="1830" w:name="Tc_UBdagiKtKkKLmbxnH2WfJQ_8_0"/>
      <w:bookmarkStart w:id="1831" w:name="Tc_Kd6W-luhoECvoScm3VuYNg_7_0"/>
      <w:bookmarkStart w:id="1832" w:name="Tc_lce75SE800iriSb5dh4y3g_6_0"/>
      <w:bookmarkStart w:id="1833" w:name="Tc_tnSGJz3_skOjIJnc2e33hQ_5_0"/>
      <w:bookmarkStart w:id="1834" w:name="Tc_jFzpU92r2k2zGRj1fP74-g_4_0"/>
      <w:bookmarkStart w:id="1835" w:name="Tc_p9OQTaFN7kyk1KMTmcuZBQ_3_6"/>
      <w:bookmarkStart w:id="1836" w:name="Tc_0KZh-DQVwkOzz-LylCjXWw_3_4"/>
      <w:bookmarkStart w:id="1837" w:name="Tc_8OsmfbdXyUCypZ382aXsag_3_2"/>
      <w:bookmarkStart w:id="1838" w:name="Tc_lcrf2KJ-J0KuQU8Ip85OPw_2_6"/>
      <w:bookmarkStart w:id="1839" w:name="Tc_9EK8mwEr20uQXXv8stIb7A_2_4"/>
      <w:bookmarkStart w:id="1840" w:name="Tc_cE7s-usLS0eKpdQc5HmkpA_2_2"/>
      <w:bookmarkStart w:id="1841" w:name="Tc_JkxZzSz2SkiGx5OMMbzjZw_1_2"/>
      <w:bookmarkStart w:id="1842" w:name="_04ce4e7a_59c8_44fb_ab6d_723d11b9ac01"/>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sz w:val="20"/>
        </w:rPr>
        <w:t>The following table presents a reconciliation of the differences between the statutory income tax rate and the Group’s effective income tax rate for the years ended December 31, 2020, 2021 and 2022:</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7334"/>
        <w:gridCol w:w="326"/>
        <w:gridCol w:w="606"/>
        <w:gridCol w:w="339"/>
        <w:gridCol w:w="606"/>
        <w:gridCol w:w="339"/>
        <w:gridCol w:w="655"/>
      </w:tblGrid>
      <w:tr>
        <w:trPr/>
        <w:tc>
          <w:tcPr>
            <w:tcW w:w="7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657090" cy="175260"/>
                      <wp:effectExtent l="0" t="0" r="0" b="0"/>
                      <wp:wrapNone/>
                      <wp:docPr id="487" name="Frame486"/>
                      <a:graphic xmlns:a="http://schemas.openxmlformats.org/drawingml/2006/main">
                        <a:graphicData uri="http://schemas.microsoft.com/office/word/2010/wordprocessingShape">
                          <wps:wsp>
                            <wps:cNvSpPr txBox="1"/>
                            <wps:spPr>
                              <a:xfrm>
                                <a:off x="0" y="0"/>
                                <a:ext cx="465709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8" name="Frame4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84810" cy="175260"/>
                      <wp:effectExtent l="0" t="0" r="0" b="0"/>
                      <wp:wrapNone/>
                      <wp:docPr id="489" name="Frame488"/>
                      <a:graphic xmlns:a="http://schemas.openxmlformats.org/drawingml/2006/main">
                        <a:graphicData uri="http://schemas.microsoft.com/office/word/2010/wordprocessingShape">
                          <wps:wsp>
                            <wps:cNvSpPr txBox="1"/>
                            <wps:spPr>
                              <a:xfrm>
                                <a:off x="0" y="0"/>
                                <a:ext cx="3848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5265" cy="175260"/>
                      <wp:effectExtent l="0" t="0" r="0" b="0"/>
                      <wp:wrapNone/>
                      <wp:docPr id="490" name="Frame489"/>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84810" cy="175260"/>
                      <wp:effectExtent l="0" t="0" r="0" b="0"/>
                      <wp:wrapNone/>
                      <wp:docPr id="491" name="Frame490"/>
                      <a:graphic xmlns:a="http://schemas.openxmlformats.org/drawingml/2006/main">
                        <a:graphicData uri="http://schemas.microsoft.com/office/word/2010/wordprocessingShape">
                          <wps:wsp>
                            <wps:cNvSpPr txBox="1"/>
                            <wps:spPr>
                              <a:xfrm>
                                <a:off x="0" y="0"/>
                                <a:ext cx="3848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5265" cy="175260"/>
                      <wp:effectExtent l="0" t="0" r="0" b="0"/>
                      <wp:wrapNone/>
                      <wp:docPr id="492" name="Frame491"/>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15925" cy="175260"/>
                      <wp:effectExtent l="0" t="0" r="0" b="0"/>
                      <wp:wrapNone/>
                      <wp:docPr id="493" name="Frame492"/>
                      <a:graphic xmlns:a="http://schemas.openxmlformats.org/drawingml/2006/main">
                        <a:graphicData uri="http://schemas.microsoft.com/office/word/2010/wordprocessingShape">
                          <wps:wsp>
                            <wps:cNvSpPr txBox="1"/>
                            <wps:spPr>
                              <a:xfrm>
                                <a:off x="0" y="0"/>
                                <a:ext cx="41592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733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25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733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6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9" w:type="dxa"/>
            <w:tcBorders/>
            <w:shd w:fill="auto" w:val="clear"/>
            <w:vAlign w:val="center"/>
          </w:tcPr>
          <w:p>
            <w:pPr>
              <w:pStyle w:val="TableContents"/>
              <w:spacing w:before="0" w:after="0"/>
              <w:ind w:left="0" w:right="0" w:hanging="0"/>
              <w:jc w:val="both"/>
              <w:rPr/>
            </w:pPr>
            <w:r>
              <w:rPr/>
              <w:t>    </w:t>
            </w:r>
          </w:p>
        </w:tc>
        <w:tc>
          <w:tcPr>
            <w:tcW w:w="6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9" w:type="dxa"/>
            <w:tcBorders/>
            <w:shd w:fill="auto" w:val="clear"/>
            <w:vAlign w:val="center"/>
          </w:tcPr>
          <w:p>
            <w:pPr>
              <w:pStyle w:val="TableContents"/>
              <w:spacing w:before="0" w:after="0"/>
              <w:ind w:left="0" w:right="0" w:hanging="0"/>
              <w:jc w:val="both"/>
              <w:rPr/>
            </w:pPr>
            <w:r>
              <w:rPr/>
              <w:t>    </w:t>
            </w:r>
          </w:p>
        </w:tc>
        <w:tc>
          <w:tcPr>
            <w:tcW w:w="65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34"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6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39" w:type="dxa"/>
            <w:tcBorders/>
            <w:shd w:fill="auto" w:val="clear"/>
            <w:vAlign w:val="center"/>
          </w:tcPr>
          <w:p>
            <w:pPr>
              <w:pStyle w:val="TableContents"/>
              <w:spacing w:before="0" w:after="0"/>
              <w:ind w:left="0" w:right="0" w:hanging="0"/>
              <w:jc w:val="both"/>
              <w:rPr/>
            </w:pPr>
            <w:r>
              <w:rPr/>
              <w:t>​</w:t>
            </w:r>
          </w:p>
        </w:tc>
        <w:tc>
          <w:tcPr>
            <w:tcW w:w="6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39" w:type="dxa"/>
            <w:tcBorders/>
            <w:shd w:fill="auto" w:val="clear"/>
            <w:vAlign w:val="center"/>
          </w:tcPr>
          <w:p>
            <w:pPr>
              <w:pStyle w:val="TableContents"/>
              <w:spacing w:before="0" w:after="0"/>
              <w:ind w:left="0" w:right="0" w:hanging="0"/>
              <w:jc w:val="both"/>
              <w:rPr/>
            </w:pPr>
            <w:r>
              <w:rPr/>
              <w:t>​</w:t>
            </w:r>
          </w:p>
        </w:tc>
        <w:tc>
          <w:tcPr>
            <w:tcW w:w="65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334"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Statutory income tax rate</w:t>
            </w:r>
          </w:p>
        </w:tc>
        <w:tc>
          <w:tcPr>
            <w:tcW w:w="326"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39"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39" w:type="dxa"/>
            <w:tcBorders/>
            <w:shd w:fill="CCEEFF" w:val="clear"/>
            <w:vAlign w:val="center"/>
          </w:tcPr>
          <w:p>
            <w:pPr>
              <w:pStyle w:val="TableContents"/>
              <w:spacing w:before="0" w:after="0"/>
              <w:ind w:left="0" w:right="0" w:hanging="0"/>
              <w:jc w:val="both"/>
              <w:rPr/>
            </w:pPr>
            <w:r>
              <w:rPr/>
              <w:t> </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7334"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Permanent differences </w:t>
            </w:r>
          </w:p>
        </w:tc>
        <w:tc>
          <w:tcPr>
            <w:tcW w:w="326" w:type="dxa"/>
            <w:tcBorders/>
            <w:shd w:fill="auto" w:val="clear"/>
            <w:vAlign w:val="center"/>
          </w:tcPr>
          <w:p>
            <w:pPr>
              <w:pStyle w:val="TableContents"/>
              <w:spacing w:before="0" w:after="0"/>
              <w:ind w:left="0" w:right="0" w:hanging="0"/>
              <w:jc w:val="both"/>
              <w:rPr/>
            </w:pPr>
            <w:r>
              <w:rPr/>
              <w:t> </w:t>
            </w:r>
          </w:p>
        </w:tc>
        <w:tc>
          <w:tcPr>
            <w:tcW w:w="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39" w:type="dxa"/>
            <w:tcBorders/>
            <w:shd w:fill="auto" w:val="clear"/>
            <w:vAlign w:val="center"/>
          </w:tcPr>
          <w:p>
            <w:pPr>
              <w:pStyle w:val="TableContents"/>
              <w:spacing w:before="0" w:after="0"/>
              <w:ind w:left="0" w:right="0" w:hanging="0"/>
              <w:jc w:val="both"/>
              <w:rPr/>
            </w:pPr>
            <w:r>
              <w:rPr/>
              <w:t> </w:t>
            </w:r>
          </w:p>
        </w:tc>
        <w:tc>
          <w:tcPr>
            <w:tcW w:w="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39" w:type="dxa"/>
            <w:tcBorders/>
            <w:shd w:fill="auto" w:val="clear"/>
            <w:vAlign w:val="center"/>
          </w:tcPr>
          <w:p>
            <w:pPr>
              <w:pStyle w:val="TableContents"/>
              <w:spacing w:before="0" w:after="0"/>
              <w:ind w:left="0" w:right="0" w:hanging="0"/>
              <w:jc w:val="both"/>
              <w:rPr/>
            </w:pPr>
            <w:r>
              <w:rPr/>
              <w:t> </w:t>
            </w:r>
          </w:p>
        </w:tc>
        <w:tc>
          <w:tcPr>
            <w:tcW w:w="6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334"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Effect due to different tax rates applicable to overseas entities</w:t>
            </w:r>
          </w:p>
        </w:tc>
        <w:tc>
          <w:tcPr>
            <w:tcW w:w="326"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39"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39" w:type="dxa"/>
            <w:tcBorders/>
            <w:shd w:fill="CCEEFF" w:val="clear"/>
            <w:vAlign w:val="center"/>
          </w:tcPr>
          <w:p>
            <w:pPr>
              <w:pStyle w:val="TableContents"/>
              <w:spacing w:before="0" w:after="0"/>
              <w:ind w:left="0" w:right="0" w:hanging="0"/>
              <w:jc w:val="both"/>
              <w:rPr/>
            </w:pPr>
            <w:r>
              <w:rPr/>
              <w:t> </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7334"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Effect of lower tax rate applicable to Software Enterprises, Key Software Enterprise and HNTEs</w:t>
            </w:r>
          </w:p>
        </w:tc>
        <w:tc>
          <w:tcPr>
            <w:tcW w:w="326" w:type="dxa"/>
            <w:tcBorders/>
            <w:shd w:fill="auto" w:val="clear"/>
            <w:vAlign w:val="center"/>
          </w:tcPr>
          <w:p>
            <w:pPr>
              <w:pStyle w:val="TableContents"/>
              <w:spacing w:before="0" w:after="0"/>
              <w:ind w:left="0" w:right="0" w:hanging="0"/>
              <w:jc w:val="both"/>
              <w:rPr/>
            </w:pPr>
            <w:r>
              <w:rPr/>
              <w:t> </w:t>
            </w:r>
          </w:p>
        </w:tc>
        <w:tc>
          <w:tcPr>
            <w:tcW w:w="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39" w:type="dxa"/>
            <w:tcBorders/>
            <w:shd w:fill="auto" w:val="clear"/>
            <w:vAlign w:val="center"/>
          </w:tcPr>
          <w:p>
            <w:pPr>
              <w:pStyle w:val="TableContents"/>
              <w:spacing w:before="0" w:after="0"/>
              <w:ind w:left="0" w:right="0" w:hanging="0"/>
              <w:jc w:val="both"/>
              <w:rPr/>
            </w:pPr>
            <w:r>
              <w:rPr/>
              <w:t> </w:t>
            </w:r>
          </w:p>
        </w:tc>
        <w:tc>
          <w:tcPr>
            <w:tcW w:w="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39" w:type="dxa"/>
            <w:tcBorders/>
            <w:shd w:fill="auto" w:val="clear"/>
            <w:vAlign w:val="center"/>
          </w:tcPr>
          <w:p>
            <w:pPr>
              <w:pStyle w:val="TableContents"/>
              <w:spacing w:before="0" w:after="0"/>
              <w:ind w:left="0" w:right="0" w:hanging="0"/>
              <w:jc w:val="both"/>
              <w:rPr/>
            </w:pPr>
            <w:r>
              <w:rPr/>
              <w:t> </w:t>
            </w:r>
          </w:p>
        </w:tc>
        <w:tc>
          <w:tcPr>
            <w:tcW w:w="6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7334"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39" w:type="dxa"/>
            <w:tcBorders/>
            <w:shd w:fill="CCEEFF" w:val="clear"/>
            <w:vAlign w:val="center"/>
          </w:tcPr>
          <w:p>
            <w:pPr>
              <w:pStyle w:val="TableContents"/>
              <w:spacing w:before="0" w:after="0"/>
              <w:ind w:left="0" w:right="0" w:hanging="0"/>
              <w:jc w:val="both"/>
              <w:rPr/>
            </w:pPr>
            <w:r>
              <w:rPr/>
              <w:t> </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39" w:type="dxa"/>
            <w:tcBorders/>
            <w:shd w:fill="CCEEFF" w:val="clear"/>
            <w:vAlign w:val="center"/>
          </w:tcPr>
          <w:p>
            <w:pPr>
              <w:pStyle w:val="TableContents"/>
              <w:spacing w:before="0" w:after="0"/>
              <w:ind w:left="0" w:right="0" w:hanging="0"/>
              <w:jc w:val="both"/>
              <w:rPr/>
            </w:pPr>
            <w:r>
              <w:rPr/>
              <w:t> </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334"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 of withholding income tax </w:t>
            </w:r>
            <w:r>
              <w:rPr>
                <w:rFonts w:ascii="Times New Roman;Times;serif" w:hAnsi="Times New Roman;Times;serif"/>
                <w:sz w:val="15"/>
              </w:rPr>
              <w:t>(d)</w:t>
            </w:r>
          </w:p>
        </w:tc>
        <w:tc>
          <w:tcPr>
            <w:tcW w:w="326" w:type="dxa"/>
            <w:tcBorders/>
            <w:shd w:fill="auto" w:val="clear"/>
            <w:vAlign w:val="center"/>
          </w:tcPr>
          <w:p>
            <w:pPr>
              <w:pStyle w:val="TableContents"/>
              <w:spacing w:before="0" w:after="0"/>
              <w:ind w:left="0" w:right="0" w:hanging="0"/>
              <w:jc w:val="both"/>
              <w:rPr/>
            </w:pPr>
            <w:r>
              <w:rPr/>
              <w:t> </w:t>
            </w:r>
          </w:p>
        </w:tc>
        <w:tc>
          <w:tcPr>
            <w:tcW w:w="6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39" w:type="dxa"/>
            <w:tcBorders/>
            <w:shd w:fill="auto" w:val="clear"/>
            <w:vAlign w:val="center"/>
          </w:tcPr>
          <w:p>
            <w:pPr>
              <w:pStyle w:val="TableContents"/>
              <w:spacing w:before="0" w:after="0"/>
              <w:ind w:left="0" w:right="0" w:hanging="0"/>
              <w:jc w:val="both"/>
              <w:rPr/>
            </w:pPr>
            <w:r>
              <w:rPr/>
              <w:t> </w:t>
            </w:r>
          </w:p>
        </w:tc>
        <w:tc>
          <w:tcPr>
            <w:tcW w:w="6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39" w:type="dxa"/>
            <w:tcBorders/>
            <w:shd w:fill="auto" w:val="clear"/>
            <w:vAlign w:val="center"/>
          </w:tcPr>
          <w:p>
            <w:pPr>
              <w:pStyle w:val="TableContents"/>
              <w:spacing w:before="0" w:after="0"/>
              <w:ind w:left="0" w:right="0" w:hanging="0"/>
              <w:jc w:val="both"/>
              <w:rPr/>
            </w:pPr>
            <w:r>
              <w:rPr/>
              <w:t> </w:t>
            </w:r>
          </w:p>
        </w:tc>
        <w:tc>
          <w:tcPr>
            <w:tcW w:w="6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334"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Effective income tax rate</w:t>
            </w:r>
          </w:p>
        </w:tc>
        <w:tc>
          <w:tcPr>
            <w:tcW w:w="326" w:type="dxa"/>
            <w:tcBorders/>
            <w:shd w:fill="CCEEFF" w:val="clear"/>
            <w:vAlign w:val="center"/>
          </w:tcPr>
          <w:p>
            <w:pPr>
              <w:pStyle w:val="TableContents"/>
              <w:spacing w:before="0" w:after="0"/>
              <w:ind w:left="0" w:right="0" w:hanging="0"/>
              <w:jc w:val="both"/>
              <w:rPr/>
            </w:pPr>
            <w:r>
              <w:rPr/>
              <w:t> </w:t>
            </w:r>
          </w:p>
        </w:tc>
        <w:tc>
          <w:tcPr>
            <w:tcW w:w="6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39" w:type="dxa"/>
            <w:tcBorders/>
            <w:shd w:fill="CCEEFF" w:val="clear"/>
            <w:vAlign w:val="center"/>
          </w:tcPr>
          <w:p>
            <w:pPr>
              <w:pStyle w:val="TableContents"/>
              <w:spacing w:before="0" w:after="0"/>
              <w:ind w:left="0" w:right="0" w:hanging="0"/>
              <w:jc w:val="both"/>
              <w:rPr/>
            </w:pPr>
            <w:r>
              <w:rPr/>
              <w:t> </w:t>
            </w:r>
          </w:p>
        </w:tc>
        <w:tc>
          <w:tcPr>
            <w:tcW w:w="6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39" w:type="dxa"/>
            <w:tcBorders/>
            <w:shd w:fill="CCEEFF" w:val="clear"/>
            <w:vAlign w:val="center"/>
          </w:tcPr>
          <w:p>
            <w:pPr>
              <w:pStyle w:val="TableContents"/>
              <w:spacing w:before="0" w:after="0"/>
              <w:ind w:left="0" w:right="0" w:hanging="0"/>
              <w:jc w:val="both"/>
              <w:rPr/>
            </w:pPr>
            <w:r>
              <w:rPr/>
              <w:t> </w:t>
            </w:r>
          </w:p>
        </w:tc>
        <w:tc>
          <w:tcPr>
            <w:tcW w:w="65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20.7</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certain entities of the Group had net operating tax loss carry forwards as follows (in thousands):</w:t>
      </w:r>
    </w:p>
    <w:p>
      <w:pPr>
        <w:pStyle w:val="TextBody"/>
        <w:spacing w:before="0" w:after="0"/>
        <w:ind w:left="0" w:right="0" w:hanging="0"/>
        <w:jc w:val="both"/>
        <w:rPr/>
      </w:pPr>
      <w:r>
        <w:rPr/>
        <w:t>​</w:t>
      </w:r>
    </w:p>
    <w:tbl>
      <w:tblPr>
        <w:tblW w:w="3568" w:type="dxa"/>
        <w:jc w:val="left"/>
        <w:tblInd w:w="0" w:type="dxa"/>
        <w:tblCellMar>
          <w:top w:w="0" w:type="dxa"/>
          <w:left w:w="0" w:type="dxa"/>
          <w:bottom w:w="0" w:type="dxa"/>
          <w:right w:w="0" w:type="dxa"/>
        </w:tblCellMar>
      </w:tblPr>
      <w:tblGrid>
        <w:gridCol w:w="2101"/>
        <w:gridCol w:w="326"/>
        <w:gridCol w:w="1141"/>
      </w:tblGrid>
      <w:tr>
        <w:trPr/>
        <w:tc>
          <w:tcPr>
            <w:tcW w:w="2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4135" cy="175260"/>
                      <wp:effectExtent l="0" t="0" r="0" b="0"/>
                      <wp:wrapNone/>
                      <wp:docPr id="494" name="Frame493"/>
                      <a:graphic xmlns:a="http://schemas.openxmlformats.org/drawingml/2006/main">
                        <a:graphicData uri="http://schemas.microsoft.com/office/word/2010/wordprocessingShape">
                          <wps:wsp>
                            <wps:cNvSpPr txBox="1"/>
                            <wps:spPr>
                              <a:xfrm>
                                <a:off x="0" y="0"/>
                                <a:ext cx="13341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5"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724535" cy="175260"/>
                      <wp:effectExtent l="0" t="0" r="0" b="0"/>
                      <wp:wrapNone/>
                      <wp:docPr id="496" name="Frame49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10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1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expiring in 2023</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3,371,946</w:t>
            </w:r>
          </w:p>
        </w:tc>
      </w:tr>
      <w:tr>
        <w:trPr/>
        <w:tc>
          <w:tcPr>
            <w:tcW w:w="21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expiring in 2024</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3,054,886</w:t>
            </w:r>
          </w:p>
        </w:tc>
      </w:tr>
      <w:tr>
        <w:trPr/>
        <w:tc>
          <w:tcPr>
            <w:tcW w:w="21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expiring in 2025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2,191,529</w:t>
            </w:r>
          </w:p>
        </w:tc>
      </w:tr>
      <w:tr>
        <w:trPr/>
        <w:tc>
          <w:tcPr>
            <w:tcW w:w="21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expiring in 2026</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2,571,936</w:t>
            </w:r>
          </w:p>
        </w:tc>
      </w:tr>
      <w:tr>
        <w:trPr/>
        <w:tc>
          <w:tcPr>
            <w:tcW w:w="21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expiring after 2027</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3,934,633</w:t>
            </w:r>
          </w:p>
        </w:tc>
      </w:tr>
      <w:tr>
        <w:trPr/>
        <w:tc>
          <w:tcPr>
            <w:tcW w:w="210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15,124,930</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Full valuation allowance was provided on the related deferred tax assets as the Group’s management does not believe that sufficient positive evidence exists to conclude that recoverability of such deferred tax assets is more likely than not to be realized.</w:t>
      </w:r>
    </w:p>
    <w:tbl>
      <w:tblPr>
        <w:tblW w:w="1292" w:type="dxa"/>
        <w:jc w:val="left"/>
        <w:tblInd w:w="0" w:type="dxa"/>
        <w:tblCellMar>
          <w:top w:w="0" w:type="dxa"/>
          <w:left w:w="0" w:type="dxa"/>
          <w:bottom w:w="0" w:type="dxa"/>
          <w:right w:w="0" w:type="dxa"/>
        </w:tblCellMar>
      </w:tblPr>
      <w:tblGrid>
        <w:gridCol w:w="346"/>
        <w:gridCol w:w="94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9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 xml:space="preserve">Sales tax </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provision regulation of the PRC on VAT and its implementation rules, the Company’s subsidiaries and the VIEs are generally subject to VAT at a rate of 6% from revenues earned from services provided or 16% from sales of general goods, which was reduced to 13% effective from 1 April, 2019.</w:t>
      </w:r>
    </w:p>
    <w:tbl>
      <w:tblPr>
        <w:tblW w:w="3272" w:type="dxa"/>
        <w:jc w:val="left"/>
        <w:tblInd w:w="0" w:type="dxa"/>
        <w:tblCellMar>
          <w:top w:w="0" w:type="dxa"/>
          <w:left w:w="0" w:type="dxa"/>
          <w:bottom w:w="0" w:type="dxa"/>
          <w:right w:w="0" w:type="dxa"/>
        </w:tblCellMar>
      </w:tblPr>
      <w:tblGrid>
        <w:gridCol w:w="331"/>
        <w:gridCol w:w="2941"/>
      </w:tblGrid>
      <w:tr>
        <w:trPr/>
        <w:tc>
          <w:tcPr>
            <w:tcW w:w="3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294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Deferred tax assets and liabilities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tax impact of significant temporary differences that give rise to the deferred tax assets and liabilities as of December 31, 2021 and 2022 (in thousands):</w:t>
      </w:r>
    </w:p>
    <w:p>
      <w:pPr>
        <w:pStyle w:val="TextBody"/>
        <w:spacing w:before="0" w:after="0"/>
        <w:ind w:left="0" w:right="0" w:hanging="0"/>
        <w:jc w:val="both"/>
        <w:rPr/>
      </w:pPr>
      <w:r>
        <w:rPr/>
        <w:t>​</w:t>
      </w:r>
    </w:p>
    <w:tbl>
      <w:tblPr>
        <w:tblW w:w="9700" w:type="dxa"/>
        <w:jc w:val="left"/>
        <w:tblInd w:w="0" w:type="dxa"/>
        <w:tblCellMar>
          <w:top w:w="0" w:type="dxa"/>
          <w:left w:w="0" w:type="dxa"/>
          <w:bottom w:w="0" w:type="dxa"/>
          <w:right w:w="0" w:type="dxa"/>
        </w:tblCellMar>
      </w:tblPr>
      <w:tblGrid>
        <w:gridCol w:w="6811"/>
        <w:gridCol w:w="326"/>
        <w:gridCol w:w="1096"/>
        <w:gridCol w:w="326"/>
        <w:gridCol w:w="1141"/>
      </w:tblGrid>
      <w:tr>
        <w:trPr/>
        <w:tc>
          <w:tcPr>
            <w:tcW w:w="6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324985" cy="175260"/>
                      <wp:effectExtent l="0" t="0" r="0" b="0"/>
                      <wp:wrapNone/>
                      <wp:docPr id="497" name="Frame496"/>
                      <a:graphic xmlns:a="http://schemas.openxmlformats.org/drawingml/2006/main">
                        <a:graphicData uri="http://schemas.microsoft.com/office/word/2010/wordprocessingShape">
                          <wps:wsp>
                            <wps:cNvSpPr txBox="1"/>
                            <wps:spPr>
                              <a:xfrm>
                                <a:off x="0" y="0"/>
                                <a:ext cx="4324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8" name="Frame4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5960" cy="175260"/>
                      <wp:effectExtent l="0" t="0" r="0" b="0"/>
                      <wp:wrapNone/>
                      <wp:docPr id="499" name="Frame49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0"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24535" cy="175260"/>
                      <wp:effectExtent l="0" t="0" r="0" b="0"/>
                      <wp:wrapNone/>
                      <wp:docPr id="501" name="Frame50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68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8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both"/>
              <w:rPr/>
            </w:pPr>
            <w:r>
              <w:rPr/>
              <w:t>​</w:t>
            </w:r>
          </w:p>
        </w:tc>
      </w:tr>
      <w:tr>
        <w:trPr/>
        <w:tc>
          <w:tcPr>
            <w:tcW w:w="6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Contract liabilities, primarily for advanced payments from online games customers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776,719</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1,009,624</w:t>
            </w:r>
          </w:p>
        </w:tc>
      </w:tr>
      <w:tr>
        <w:trPr/>
        <w:tc>
          <w:tcPr>
            <w:tcW w:w="68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Accruals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641,198</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654,348</w:t>
            </w:r>
          </w:p>
        </w:tc>
      </w:tr>
      <w:tr>
        <w:trPr/>
        <w:tc>
          <w:tcPr>
            <w:tcW w:w="6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Depreciation of fixed assets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11,557</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r>
      <w:tr>
        <w:trPr/>
        <w:tc>
          <w:tcPr>
            <w:tcW w:w="68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r>
      <w:tr>
        <w:trPr/>
        <w:tc>
          <w:tcPr>
            <w:tcW w:w="6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operating tax loss carry forward</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3,513,019</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3,781,233</w:t>
            </w:r>
          </w:p>
        </w:tc>
      </w:tr>
      <w:tr>
        <w:trPr/>
        <w:tc>
          <w:tcPr>
            <w:tcW w:w="6811"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4,946,824</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5,452,305</w:t>
            </w:r>
          </w:p>
        </w:tc>
      </w:tr>
      <w:tr>
        <w:trPr/>
        <w:tc>
          <w:tcPr>
            <w:tcW w:w="6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(3,648,870)</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(3,971,516)</w:t>
            </w:r>
          </w:p>
        </w:tc>
      </w:tr>
      <w:tr>
        <w:trPr/>
        <w:tc>
          <w:tcPr>
            <w:tcW w:w="68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1,297,954</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1,480,789</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bookmarkStart w:id="1843" w:name="Tc_ngf2ygJXCUeSsN2vGQZbDQ_6_0"/>
      <w:bookmarkStart w:id="1844" w:name="Tc_ZP9ir_auiEGHesrc70enPg_5_0"/>
      <w:bookmarkStart w:id="1845" w:name="Tc_1_iJOmd7DEa8hJw3_PEC7Q_4_0"/>
      <w:bookmarkStart w:id="1846" w:name="Tc_wxHtT2BLQEi9LuaN3cGAPw_3_6"/>
      <w:bookmarkStart w:id="1847" w:name="Tc_6TwVu7JdoU6xMeXGsNAvkA_3_4"/>
      <w:bookmarkStart w:id="1848" w:name="Tc_1sn9a70deUeT6G5x5HMSdQ_3_2"/>
      <w:bookmarkStart w:id="1849" w:name="Tc_AoUTmUOCkE6ocdTR1Eievg_2_6"/>
      <w:bookmarkStart w:id="1850" w:name="Tc_-kraT65GVkuUd_f4Pb3rwQ_2_4"/>
      <w:bookmarkStart w:id="1851" w:name="Tc_Hu3E5qC5iEyHJJG9ICUpdw_2_2"/>
      <w:bookmarkStart w:id="1852" w:name="Tc_GCzPaj3AYkeZ7Onrkrcbjg_1_6"/>
      <w:bookmarkStart w:id="1853" w:name="Tc_OxnBvIwy1UGDaPPndUYHYA_1_4"/>
      <w:bookmarkStart w:id="1854" w:name="Tc_kd2XzIwy6UKyhBD6_eFSEQ_1_2"/>
      <w:bookmarkStart w:id="1855" w:name="_c43d6c6d_688c_4f60_9fc1_1468f7bc5e82"/>
      <w:bookmarkStart w:id="1856" w:name="Tc_is2IA2l3oEChVgw1d8vwQA_7_0"/>
      <w:bookmarkStart w:id="1857" w:name="Tc_mhUDiE5Y4Ua3wf_VnWgNvw_6_0"/>
      <w:bookmarkStart w:id="1858" w:name="Tc_D0O8ZCNZ-k2cPoEvyW78nA_5_0"/>
      <w:bookmarkStart w:id="1859" w:name="Tc_EMafdmCqFE-E9Q1s-4e9YA_4_0"/>
      <w:bookmarkStart w:id="1860" w:name="Tc_9SJsQG9qjkGUi3Dx9nIffw_3_4"/>
      <w:bookmarkStart w:id="1861" w:name="Tc_aEwvUK3RoUKXPjD4AbTlPg_3_2"/>
      <w:bookmarkStart w:id="1862" w:name="Tc_mnm6xABznEG6i_xz6z7TSA_2_4"/>
      <w:bookmarkStart w:id="1863" w:name="Tc_LgMSRwbfeUCuYhX9V7PVGQ_2_2"/>
      <w:bookmarkStart w:id="1864" w:name="Tc_DTwsJxwgH0W7riBsLbMIlg_1_4"/>
      <w:bookmarkStart w:id="1865" w:name="Tc_d0qpVHOnKU-4zkfENpmjPg_1_2"/>
      <w:bookmarkStart w:id="1866" w:name="_1500c02c_f3b6_431d_b006_ce4bc3809a46"/>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r>
        <w:rPr/>
        <w:t>​</w:t>
      </w:r>
    </w:p>
    <w:tbl>
      <w:tblPr>
        <w:tblW w:w="5170" w:type="dxa"/>
        <w:jc w:val="left"/>
        <w:tblInd w:w="0" w:type="dxa"/>
        <w:tblCellMar>
          <w:top w:w="0" w:type="dxa"/>
          <w:left w:w="0" w:type="dxa"/>
          <w:bottom w:w="0" w:type="dxa"/>
          <w:right w:w="0" w:type="dxa"/>
        </w:tblCellMar>
      </w:tblPr>
      <w:tblGrid>
        <w:gridCol w:w="2281"/>
        <w:gridCol w:w="326"/>
        <w:gridCol w:w="1096"/>
        <w:gridCol w:w="326"/>
        <w:gridCol w:w="1141"/>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48435" cy="175260"/>
                      <wp:effectExtent l="0" t="0" r="0" b="0"/>
                      <wp:wrapNone/>
                      <wp:docPr id="502" name="Frame501"/>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3" name="Frame5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95960" cy="175260"/>
                      <wp:effectExtent l="0" t="0" r="0" b="0"/>
                      <wp:wrapNone/>
                      <wp:docPr id="504" name="Frame50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5" name="Frame5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24535" cy="175260"/>
                      <wp:effectExtent l="0" t="0" r="0" b="0"/>
                      <wp:wrapNone/>
                      <wp:docPr id="506" name="Frame50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2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8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2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both"/>
              <w:rPr/>
            </w:pPr>
            <w:r>
              <w:rPr/>
              <w:t>​</w:t>
            </w:r>
          </w:p>
        </w:tc>
      </w:tr>
      <w:tr>
        <w:trPr/>
        <w:tc>
          <w:tcPr>
            <w:tcW w:w="2281"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Withholding income tax</w:t>
            </w:r>
            <w:r>
              <w:rPr>
                <w:rFonts w:ascii="Times New Roman;Times;serif" w:hAnsi="Times New Roman;Times;serif"/>
                <w:sz w:val="15"/>
              </w:rPr>
              <w:t>(d)</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1,257,552</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1,947,190</w:t>
            </w:r>
          </w:p>
        </w:tc>
      </w:tr>
      <w:tr>
        <w:trPr/>
        <w:tc>
          <w:tcPr>
            <w:tcW w:w="22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88,322</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178,930</w:t>
            </w:r>
          </w:p>
        </w:tc>
      </w:tr>
      <w:tr>
        <w:trPr/>
        <w:tc>
          <w:tcPr>
            <w:tcW w:w="22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1,345,874</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2,126,120</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pStyle w:val="TextBody"/>
        <w:spacing w:before="0" w:after="0"/>
        <w:ind w:left="0" w:right="0" w:hanging="0"/>
        <w:jc w:val="both"/>
        <w:rPr/>
      </w:pPr>
      <w:r>
        <w:rPr/>
        <w:t>​</w:t>
      </w:r>
    </w:p>
    <w:tbl>
      <w:tblPr>
        <w:tblW w:w="4522" w:type="dxa"/>
        <w:jc w:val="left"/>
        <w:tblInd w:w="0" w:type="dxa"/>
        <w:tblCellMar>
          <w:top w:w="0" w:type="dxa"/>
          <w:left w:w="0" w:type="dxa"/>
          <w:bottom w:w="0" w:type="dxa"/>
          <w:right w:w="0" w:type="dxa"/>
        </w:tblCellMar>
      </w:tblPr>
      <w:tblGrid>
        <w:gridCol w:w="541"/>
        <w:gridCol w:w="326"/>
        <w:gridCol w:w="931"/>
        <w:gridCol w:w="326"/>
        <w:gridCol w:w="976"/>
        <w:gridCol w:w="326"/>
        <w:gridCol w:w="1096"/>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43535" cy="175260"/>
                      <wp:effectExtent l="0" t="0" r="0" b="0"/>
                      <wp:wrapNone/>
                      <wp:docPr id="507" name="Frame506"/>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8" name="Frame5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91185" cy="175260"/>
                      <wp:effectExtent l="0" t="0" r="0" b="0"/>
                      <wp:wrapNone/>
                      <wp:docPr id="509" name="Frame50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0" name="Frame5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19760" cy="175260"/>
                      <wp:effectExtent l="0" t="0" r="0" b="0"/>
                      <wp:wrapNone/>
                      <wp:docPr id="511" name="Frame51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2"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5960" cy="175260"/>
                      <wp:effectExtent l="0" t="0" r="0" b="0"/>
                      <wp:wrapNone/>
                      <wp:docPr id="513" name="Frame51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26" w:type="dxa"/>
            <w:tcBorders/>
            <w:shd w:fill="auto" w:val="clear"/>
            <w:vAlign w:val="center"/>
          </w:tcPr>
          <w:p>
            <w:pPr>
              <w:pStyle w:val="TableContents"/>
              <w:spacing w:before="0" w:after="0"/>
              <w:ind w:left="0" w:right="0" w:hanging="0"/>
              <w:jc w:val="both"/>
              <w:rPr/>
            </w:pPr>
            <w:r>
              <w:rPr/>
              <w:t>    </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Provision</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5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26" w:type="dxa"/>
            <w:tcBorders/>
            <w:shd w:fill="auto" w:val="clear"/>
            <w:vAlign w:val="center"/>
          </w:tcPr>
          <w:p>
            <w:pPr>
              <w:pStyle w:val="TableContents"/>
              <w:spacing w:before="0" w:after="0"/>
              <w:ind w:left="0" w:right="0" w:hanging="0"/>
              <w:jc w:val="both"/>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2,148,879</w:t>
            </w:r>
          </w:p>
        </w:tc>
        <w:tc>
          <w:tcPr>
            <w:tcW w:w="326" w:type="dxa"/>
            <w:tcBorders/>
            <w:shd w:fill="CCEEFF" w:val="clear"/>
            <w:vAlign w:val="center"/>
          </w:tcPr>
          <w:p>
            <w:pPr>
              <w:pStyle w:val="TableContents"/>
              <w:spacing w:before="0" w:after="0"/>
              <w:ind w:left="0" w:right="0" w:hanging="0"/>
              <w:jc w:val="both"/>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1,106,975</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3,255,854</w:t>
            </w:r>
          </w:p>
        </w:tc>
      </w:tr>
      <w:tr>
        <w:trPr/>
        <w:tc>
          <w:tcPr>
            <w:tcW w:w="5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3,255,854</w:t>
            </w:r>
          </w:p>
        </w:tc>
        <w:tc>
          <w:tcPr>
            <w:tcW w:w="326" w:type="dxa"/>
            <w:tcBorders/>
            <w:shd w:fill="auto" w:val="clear"/>
            <w:vAlign w:val="center"/>
          </w:tcPr>
          <w:p>
            <w:pPr>
              <w:pStyle w:val="TableContents"/>
              <w:spacing w:before="0" w:after="0"/>
              <w:ind w:left="0" w:right="0" w:hanging="0"/>
              <w:jc w:val="both"/>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393,016</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3,648,870</w:t>
            </w:r>
          </w:p>
        </w:tc>
      </w:tr>
      <w:tr>
        <w:trPr/>
        <w:tc>
          <w:tcPr>
            <w:tcW w:w="5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3,648,870</w:t>
            </w:r>
          </w:p>
        </w:tc>
        <w:tc>
          <w:tcPr>
            <w:tcW w:w="326" w:type="dxa"/>
            <w:tcBorders/>
            <w:shd w:fill="CCEEFF" w:val="clear"/>
            <w:vAlign w:val="center"/>
          </w:tcPr>
          <w:p>
            <w:pPr>
              <w:pStyle w:val="TableContents"/>
              <w:spacing w:before="0" w:after="0"/>
              <w:ind w:left="0" w:right="0" w:hanging="0"/>
              <w:jc w:val="both"/>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322,646</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3,971,516</w:t>
            </w:r>
          </w:p>
        </w:tc>
      </w:tr>
    </w:tbl>
    <w:p>
      <w:pPr>
        <w:pStyle w:val="TextBody"/>
        <w:spacing w:before="0" w:after="0"/>
        <w:ind w:left="0" w:right="0" w:hanging="0"/>
        <w:jc w:val="both"/>
        <w:rPr/>
      </w:pPr>
      <w:r>
        <w:rPr/>
        <w:t>​</w:t>
      </w:r>
    </w:p>
    <w:tbl>
      <w:tblPr>
        <w:tblW w:w="2537" w:type="dxa"/>
        <w:jc w:val="left"/>
        <w:tblInd w:w="0" w:type="dxa"/>
        <w:tblCellMar>
          <w:top w:w="0" w:type="dxa"/>
          <w:left w:w="0" w:type="dxa"/>
          <w:bottom w:w="0" w:type="dxa"/>
          <w:right w:w="0" w:type="dxa"/>
        </w:tblCellMar>
      </w:tblPr>
      <w:tblGrid>
        <w:gridCol w:w="346"/>
        <w:gridCol w:w="219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21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Withholding income tax</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EIT Law also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accrued RMB1,056.9 million, RMB1,124.4 million and RMB2,144.4 million (US$310.9 million) withholding tax liabilities associated with all of its earnings expected to be distributed from its PRC subsidiaries to overseas for general corporate purposes in 2020, 2021 and 2022, respectively. The Group have repatriated a portion of these earnings and paid related withholding income tax in 2020, 2021 and 2022.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2021, there were approximately RMB1,104.2 million unrecognized deferred tax liabilities related to undistributed earnings of the Group’s PRC subsidiaries.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867" w:name="Tc_VYB1xrckI0OzEKgzxTLpRQ_7_0"/>
      <w:bookmarkStart w:id="1868" w:name="Tc_elkJVaBaL0avRhqBXFEf0A_6_0"/>
      <w:bookmarkStart w:id="1869" w:name="Tc_QE42oCxbGk2zBqHjWZHCzQ_5_0"/>
      <w:bookmarkStart w:id="1870" w:name="Tc_69CmuERMNEqzHu1168ZAvw_4_0"/>
      <w:bookmarkStart w:id="1871" w:name="Tc_tyR6PK37_kakRgb7hN8-kw_3_4"/>
      <w:bookmarkStart w:id="1872" w:name="Tc_25ZH0jPQTk6duhyK7y0J9A_3_2"/>
      <w:bookmarkStart w:id="1873" w:name="Tc__txQhNMdo0qpXYc_1r7pyA_2_4"/>
      <w:bookmarkStart w:id="1874" w:name="Tc_L_OU9hVdu0C1sozyxoYHtw_2_2"/>
      <w:bookmarkStart w:id="1875" w:name="Tc_dTDV5qr54Uurf34M_sQ9pw_1_4"/>
      <w:bookmarkStart w:id="1876" w:name="Tc_Hodux0e_ok-ucLZaomPspw_1_2"/>
      <w:bookmarkStart w:id="1877" w:name="_ef4f33b5_ad0f_4dd0_9e38_3a87ec4c27b2"/>
      <w:bookmarkStart w:id="1878" w:name="Tc_VYB1xrckI0OzEKgzxTLpRQ_7_0"/>
      <w:bookmarkStart w:id="1879" w:name="Tc_elkJVaBaL0avRhqBXFEf0A_6_0"/>
      <w:bookmarkStart w:id="1880" w:name="Tc_QE42oCxbGk2zBqHjWZHCzQ_5_0"/>
      <w:bookmarkStart w:id="1881" w:name="Tc_69CmuERMNEqzHu1168ZAvw_4_0"/>
      <w:bookmarkStart w:id="1882" w:name="Tc_tyR6PK37_kakRgb7hN8-kw_3_4"/>
      <w:bookmarkStart w:id="1883" w:name="Tc_25ZH0jPQTk6duhyK7y0J9A_3_2"/>
      <w:bookmarkStart w:id="1884" w:name="Tc__txQhNMdo0qpXYc_1r7pyA_2_4"/>
      <w:bookmarkStart w:id="1885" w:name="Tc_L_OU9hVdu0C1sozyxoYHtw_2_2"/>
      <w:bookmarkStart w:id="1886" w:name="Tc_dTDV5qr54Uurf34M_sQ9pw_1_4"/>
      <w:bookmarkStart w:id="1887" w:name="Tc_Hodux0e_ok-ucLZaomPspw_1_2"/>
      <w:bookmarkStart w:id="1888" w:name="_ef4f33b5_ad0f_4dd0_9e38_3a87ec4c27b2"/>
      <w:bookmarkEnd w:id="1878"/>
      <w:bookmarkEnd w:id="1879"/>
      <w:bookmarkEnd w:id="1880"/>
      <w:bookmarkEnd w:id="1881"/>
      <w:bookmarkEnd w:id="1882"/>
      <w:bookmarkEnd w:id="1883"/>
      <w:bookmarkEnd w:id="1884"/>
      <w:bookmarkEnd w:id="1885"/>
      <w:bookmarkEnd w:id="1886"/>
      <w:bookmarkEnd w:id="1887"/>
      <w:bookmarkEnd w:id="1888"/>
    </w:p>
    <w:tbl>
      <w:tblPr>
        <w:tblW w:w="1772" w:type="dxa"/>
        <w:jc w:val="left"/>
        <w:tblInd w:w="0" w:type="dxa"/>
        <w:tblCellMar>
          <w:top w:w="0" w:type="dxa"/>
          <w:left w:w="0" w:type="dxa"/>
          <w:bottom w:w="0" w:type="dxa"/>
          <w:right w:w="0" w:type="dxa"/>
        </w:tblCellMar>
      </w:tblPr>
      <w:tblGrid>
        <w:gridCol w:w="376"/>
        <w:gridCol w:w="139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14.</w:t>
            </w:r>
          </w:p>
        </w:tc>
        <w:tc>
          <w:tcPr>
            <w:tcW w:w="13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Taxes Payable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taxes payable as of December 31, 2021 and 2022 (in thousands):</w:t>
      </w:r>
    </w:p>
    <w:p>
      <w:pPr>
        <w:pStyle w:val="TextBody"/>
        <w:spacing w:before="0" w:after="0"/>
        <w:ind w:left="0" w:right="0" w:hanging="0"/>
        <w:jc w:val="both"/>
        <w:rPr/>
      </w:pPr>
      <w:r>
        <w:rPr/>
        <w:t>​</w:t>
      </w:r>
    </w:p>
    <w:tbl>
      <w:tblPr>
        <w:tblW w:w="7255" w:type="dxa"/>
        <w:jc w:val="left"/>
        <w:tblInd w:w="0" w:type="dxa"/>
        <w:tblCellMar>
          <w:top w:w="0" w:type="dxa"/>
          <w:left w:w="0" w:type="dxa"/>
          <w:bottom w:w="0" w:type="dxa"/>
          <w:right w:w="0" w:type="dxa"/>
        </w:tblCellMar>
      </w:tblPr>
      <w:tblGrid>
        <w:gridCol w:w="4366"/>
        <w:gridCol w:w="326"/>
        <w:gridCol w:w="1096"/>
        <w:gridCol w:w="326"/>
        <w:gridCol w:w="1141"/>
      </w:tblGrid>
      <w:tr>
        <w:trPr/>
        <w:tc>
          <w:tcPr>
            <w:tcW w:w="4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772410" cy="175260"/>
                      <wp:effectExtent l="0" t="0" r="0" b="0"/>
                      <wp:wrapNone/>
                      <wp:docPr id="514" name="Frame513"/>
                      <a:graphic xmlns:a="http://schemas.openxmlformats.org/drawingml/2006/main">
                        <a:graphicData uri="http://schemas.microsoft.com/office/word/2010/wordprocessingShape">
                          <wps:wsp>
                            <wps:cNvSpPr txBox="1"/>
                            <wps:spPr>
                              <a:xfrm>
                                <a:off x="0" y="0"/>
                                <a:ext cx="27724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5" name="Frame5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5960" cy="175260"/>
                      <wp:effectExtent l="0" t="0" r="0" b="0"/>
                      <wp:wrapNone/>
                      <wp:docPr id="516" name="Frame515"/>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7" name="Frame5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24535" cy="175260"/>
                      <wp:effectExtent l="0" t="0" r="0" b="0"/>
                      <wp:wrapNone/>
                      <wp:docPr id="518" name="Frame51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3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Sales Tax payable</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681,815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290,272</w:t>
            </w:r>
          </w:p>
        </w:tc>
      </w:tr>
      <w:tr>
        <w:trPr/>
        <w:tc>
          <w:tcPr>
            <w:tcW w:w="43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Withholding individual income taxes for employees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263,845</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306,861</w:t>
            </w:r>
          </w:p>
        </w:tc>
      </w:tr>
      <w:tr>
        <w:trPr/>
        <w:tc>
          <w:tcPr>
            <w:tcW w:w="43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EIT payable</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3,459,307</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2,116,014</w:t>
            </w:r>
          </w:p>
        </w:tc>
      </w:tr>
      <w:tr>
        <w:trPr/>
        <w:tc>
          <w:tcPr>
            <w:tcW w:w="43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132,083</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99,949</w:t>
            </w:r>
          </w:p>
        </w:tc>
      </w:tr>
      <w:tr>
        <w:trPr/>
        <w:tc>
          <w:tcPr>
            <w:tcW w:w="436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4,537,050</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2,813,096</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889" w:name="_0e35f510_d010_4049_87f4_454d6f7d9bfd_3"/>
      <w:bookmarkStart w:id="1890" w:name="_0e35f510_d010_4049_87f4_454d6f7d9bfd_2"/>
      <w:bookmarkStart w:id="1891" w:name="_0e35f510_d010_4049_87f4_454d6f7d9bfd"/>
      <w:bookmarkStart w:id="1892" w:name="_0e35f510_d010_4049_87f4_454d6f7d9bfd_3"/>
      <w:bookmarkStart w:id="1893" w:name="_0e35f510_d010_4049_87f4_454d6f7d9bfd_2"/>
      <w:bookmarkStart w:id="1894" w:name="_0e35f510_d010_4049_87f4_454d6f7d9bfd"/>
      <w:bookmarkEnd w:id="1892"/>
      <w:bookmarkEnd w:id="1893"/>
      <w:bookmarkEnd w:id="1894"/>
    </w:p>
    <w:tbl>
      <w:tblPr>
        <w:tblW w:w="2027" w:type="dxa"/>
        <w:jc w:val="left"/>
        <w:tblInd w:w="0" w:type="dxa"/>
        <w:tblCellMar>
          <w:top w:w="0" w:type="dxa"/>
          <w:left w:w="0" w:type="dxa"/>
          <w:bottom w:w="0" w:type="dxa"/>
          <w:right w:w="0" w:type="dxa"/>
        </w:tblCellMar>
      </w:tblPr>
      <w:tblGrid>
        <w:gridCol w:w="376"/>
        <w:gridCol w:w="165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15.</w:t>
            </w:r>
          </w:p>
        </w:tc>
        <w:tc>
          <w:tcPr>
            <w:tcW w:w="16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Short-term Loans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2021 and 2022, the short-term loans balances represent short-term loan arrangements with banks which were repayable within a maturity term ranging from one week to one year and charged at a fixed interest rates ranging 0.65% and 5.13% per annum. As of December 31, 2021 and 2022, the weighted average interest rate for the outstanding short-term loans was approximately 0.79% and 4.36%, respectively. The short-term loans are denominated in US$ and other currencies.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9, 2018, the Group entered into a three-year US$500 million syndicated facility agreement with a group of four mandated lead arrangers and bookrunners. The facility is priced at 95 basis points over London interbank offered rate (“LIBOR”) and has a commitment fee of 0.20% on the undrawn portion. This syndicated facility agreement was expired on August 9,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2022, the Group also entered into several uncommitted loan credit facility agreements provided by certain financial institutions. As of December 31, 2022, US$2,084.7 million of such credit facilities has not been utilized.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2022, the Group also entered into several guarantee agreements in the aggregate amount of US$2,575.0 million in respect of certain credit facilities taken by its subsidiaries. As at December 31, 2022, US$461.0 million of such credit facilities had not been utilized.</w:t>
      </w:r>
    </w:p>
    <w:p>
      <w:pPr>
        <w:pStyle w:val="TextBody"/>
        <w:spacing w:before="0" w:after="0"/>
        <w:ind w:left="0" w:right="0" w:hanging="0"/>
        <w:jc w:val="both"/>
        <w:rPr/>
      </w:pPr>
      <w:r>
        <w:rPr/>
        <w:t>​</w:t>
      </w:r>
    </w:p>
    <w:tbl>
      <w:tblPr>
        <w:tblW w:w="2192" w:type="dxa"/>
        <w:jc w:val="left"/>
        <w:tblInd w:w="0" w:type="dxa"/>
        <w:tblCellMar>
          <w:top w:w="0" w:type="dxa"/>
          <w:left w:w="0" w:type="dxa"/>
          <w:bottom w:w="0" w:type="dxa"/>
          <w:right w:w="0" w:type="dxa"/>
        </w:tblCellMar>
      </w:tblPr>
      <w:tblGrid>
        <w:gridCol w:w="376"/>
        <w:gridCol w:w="181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16.</w:t>
            </w:r>
          </w:p>
        </w:tc>
        <w:tc>
          <w:tcPr>
            <w:tcW w:w="18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Contract Liabilities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represents sales proceeds from prepaid points sold, unamortized mobile game in-game spending, prepaid products fees before delivery and prepaid subscription fees for internet value-added services for which services are yet to be provided as of the balance sheet dates.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2022, the additions to the contract liabilities balance were primarily due to cash payments received or due in advance of satisfying the Group’s performance obligations, while the reductions to the contract liabilities balance were primarily due to the recognition of revenues upon fulfillment of the Group’s performance obligations, both of which were in the ordinary course of business. During the year ended December 31, 2021 and 2022, RMB10,513.0 million and RMB11,822.3 million of revenues recognized were included in the contract liabilities balance at the beginning of the year,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the aggregate amount of transaction price allocated to the unsatisfied performance obligations is RMB12,793.6 million, which includes the contract liabilities balances and amounts to be invoiced and recognized as revenues in future periods. The Group expects to recognize RMB12,518.9 million as revenues over the next 12 months, and the remaining unsatisfied performance obligations expected to be recognized thereafter was recognized in other long-term liabilities. This balance does not include an estimate for variable consideration arising from sales rebates to advertising service customers and estimated breakage for online points.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895" w:name="Tc_yazf08o6h06l-pVg8Uvkjw_16_0"/>
      <w:bookmarkStart w:id="1896" w:name="Tc_3xSPdBTlKECyXneDb93HiQ_15_2"/>
      <w:bookmarkStart w:id="1897" w:name="Tc_xF2YtUTTm06mmzypiakEEA_15_0"/>
      <w:bookmarkStart w:id="1898" w:name="Tc_-rqNpAenPEmhEdODZ_y_vg_14_2"/>
      <w:bookmarkStart w:id="1899" w:name="Tc_E7QopVWZK0GxO8Zu5e7Blg_14_0"/>
      <w:bookmarkStart w:id="1900" w:name="Tc_TQPO7U0x30Gs2s64KqId8g_13_0"/>
      <w:bookmarkStart w:id="1901" w:name="Tc_FAk_g_jkfke8wLyGWxWJ8Q_12_0"/>
      <w:bookmarkStart w:id="1902" w:name="Tc_kxWTRNP600S3NlYj8kI7Qw_11_0"/>
      <w:bookmarkStart w:id="1903" w:name="Tc_RSyeIqnazECJTtUzFWTPLA_10_0"/>
      <w:bookmarkStart w:id="1904" w:name="Tc_TffXHxJ1UkOP2LpGfUiJjQ_9_0"/>
      <w:bookmarkStart w:id="1905" w:name="Tc_E9r467v3cketVCbiWYapZg_8_0"/>
      <w:bookmarkStart w:id="1906" w:name="Tc_7nbzue6y2EueSZhUhNlWYw_7_0"/>
      <w:bookmarkStart w:id="1907" w:name="Tc_JgGCArjG9kWEAXApEabz7g_6_0"/>
      <w:bookmarkStart w:id="1908" w:name="Tc_vMPi_0hbkkO03ASKCikuTg_5_0"/>
      <w:bookmarkStart w:id="1909" w:name="Tc_trp_9xg1WUW5xkMMiLqK1A_4_0"/>
      <w:bookmarkStart w:id="1910" w:name="Tc_VbH7aUCfjEG4yLDHOXYpxg_3_4"/>
      <w:bookmarkStart w:id="1911" w:name="Tc_Dj4J_F7uPkSkgwVCqcV2aw_3_2"/>
      <w:bookmarkStart w:id="1912" w:name="Tc_7ATYsgg8KU6v54HUjckORw_2_4"/>
      <w:bookmarkStart w:id="1913" w:name="Tc_vs5CcUrcakuBsZuNRlo72w_2_2"/>
      <w:bookmarkStart w:id="1914" w:name="Tc_5beGEurWG0yQbbnSP0NB5Q_1_4"/>
      <w:bookmarkStart w:id="1915" w:name="Tc_I6IugMCk7EidasjmKsHc1g_1_2"/>
      <w:bookmarkStart w:id="1916" w:name="_c7727ad0_e298_4707_b9f9_cba974e60d3c"/>
      <w:bookmarkStart w:id="1917" w:name="Tc_yazf08o6h06l-pVg8Uvkjw_16_0"/>
      <w:bookmarkStart w:id="1918" w:name="Tc_3xSPdBTlKECyXneDb93HiQ_15_2"/>
      <w:bookmarkStart w:id="1919" w:name="Tc_xF2YtUTTm06mmzypiakEEA_15_0"/>
      <w:bookmarkStart w:id="1920" w:name="Tc_-rqNpAenPEmhEdODZ_y_vg_14_2"/>
      <w:bookmarkStart w:id="1921" w:name="Tc_E7QopVWZK0GxO8Zu5e7Blg_14_0"/>
      <w:bookmarkStart w:id="1922" w:name="Tc_TQPO7U0x30Gs2s64KqId8g_13_0"/>
      <w:bookmarkStart w:id="1923" w:name="Tc_FAk_g_jkfke8wLyGWxWJ8Q_12_0"/>
      <w:bookmarkStart w:id="1924" w:name="Tc_kxWTRNP600S3NlYj8kI7Qw_11_0"/>
      <w:bookmarkStart w:id="1925" w:name="Tc_RSyeIqnazECJTtUzFWTPLA_10_0"/>
      <w:bookmarkStart w:id="1926" w:name="Tc_TffXHxJ1UkOP2LpGfUiJjQ_9_0"/>
      <w:bookmarkStart w:id="1927" w:name="Tc_E9r467v3cketVCbiWYapZg_8_0"/>
      <w:bookmarkStart w:id="1928" w:name="Tc_7nbzue6y2EueSZhUhNlWYw_7_0"/>
      <w:bookmarkStart w:id="1929" w:name="Tc_JgGCArjG9kWEAXApEabz7g_6_0"/>
      <w:bookmarkStart w:id="1930" w:name="Tc_vMPi_0hbkkO03ASKCikuTg_5_0"/>
      <w:bookmarkStart w:id="1931" w:name="Tc_trp_9xg1WUW5xkMMiLqK1A_4_0"/>
      <w:bookmarkStart w:id="1932" w:name="Tc_VbH7aUCfjEG4yLDHOXYpxg_3_4"/>
      <w:bookmarkStart w:id="1933" w:name="Tc_Dj4J_F7uPkSkgwVCqcV2aw_3_2"/>
      <w:bookmarkStart w:id="1934" w:name="Tc_7ATYsgg8KU6v54HUjckORw_2_4"/>
      <w:bookmarkStart w:id="1935" w:name="Tc_vs5CcUrcakuBsZuNRlo72w_2_2"/>
      <w:bookmarkStart w:id="1936" w:name="Tc_5beGEurWG0yQbbnSP0NB5Q_1_4"/>
      <w:bookmarkStart w:id="1937" w:name="Tc_I6IugMCk7EidasjmKsHc1g_1_2"/>
      <w:bookmarkStart w:id="1938" w:name="_c7727ad0_e298_4707_b9f9_cba974e60d3c"/>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p>
    <w:tbl>
      <w:tblPr>
        <w:tblW w:w="3857" w:type="dxa"/>
        <w:jc w:val="left"/>
        <w:tblInd w:w="0" w:type="dxa"/>
        <w:tblCellMar>
          <w:top w:w="0" w:type="dxa"/>
          <w:left w:w="0" w:type="dxa"/>
          <w:bottom w:w="0" w:type="dxa"/>
          <w:right w:w="0" w:type="dxa"/>
        </w:tblCellMar>
      </w:tblPr>
      <w:tblGrid>
        <w:gridCol w:w="376"/>
        <w:gridCol w:w="348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17.</w:t>
            </w:r>
          </w:p>
        </w:tc>
        <w:tc>
          <w:tcPr>
            <w:tcW w:w="34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Accrued Liabilities and Other Payables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accrued liabilities and other payables as of December 31, 2021 and 2022 (in thousands):</w:t>
      </w:r>
    </w:p>
    <w:p>
      <w:pPr>
        <w:pStyle w:val="TextBody"/>
        <w:spacing w:before="0" w:after="0"/>
        <w:ind w:left="0" w:right="0" w:hanging="0"/>
        <w:jc w:val="both"/>
        <w:rPr/>
      </w:pPr>
      <w:r>
        <w:rPr/>
        <w:t>​</w:t>
      </w:r>
    </w:p>
    <w:tbl>
      <w:tblPr>
        <w:tblW w:w="7180" w:type="dxa"/>
        <w:jc w:val="left"/>
        <w:tblInd w:w="0" w:type="dxa"/>
        <w:tblCellMar>
          <w:top w:w="0" w:type="dxa"/>
          <w:left w:w="0" w:type="dxa"/>
          <w:bottom w:w="0" w:type="dxa"/>
          <w:right w:w="0" w:type="dxa"/>
        </w:tblCellMar>
      </w:tblPr>
      <w:tblGrid>
        <w:gridCol w:w="4291"/>
        <w:gridCol w:w="326"/>
        <w:gridCol w:w="1096"/>
        <w:gridCol w:w="326"/>
        <w:gridCol w:w="1141"/>
      </w:tblGrid>
      <w:tr>
        <w:trPr/>
        <w:tc>
          <w:tcPr>
            <w:tcW w:w="4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724785" cy="175260"/>
                      <wp:effectExtent l="0" t="0" r="0" b="0"/>
                      <wp:wrapNone/>
                      <wp:docPr id="519" name="Frame518"/>
                      <a:graphic xmlns:a="http://schemas.openxmlformats.org/drawingml/2006/main">
                        <a:graphicData uri="http://schemas.microsoft.com/office/word/2010/wordprocessingShape">
                          <wps:wsp>
                            <wps:cNvSpPr txBox="1"/>
                            <wps:spPr>
                              <a:xfrm>
                                <a:off x="0" y="0"/>
                                <a:ext cx="27247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0" name="Frame5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5960" cy="175260"/>
                      <wp:effectExtent l="0" t="0" r="0" b="0"/>
                      <wp:wrapNone/>
                      <wp:docPr id="521" name="Frame520"/>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2" name="Frame5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724535" cy="175260"/>
                      <wp:effectExtent l="0" t="0" r="0" b="0"/>
                      <wp:wrapNone/>
                      <wp:docPr id="523" name="Frame52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2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2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Customer deposits on NetEase Pay accounts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2,388,546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3,113,107</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Marketing expenses and promotion materials</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1,857,133</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2,046,559</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fixed assets related payables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706,583</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635,566</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Server and bandwidth service fees </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264,513</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246,243</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revenue sharing</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1,176,349</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1,032,559</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Content cost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838,293</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1,703,218</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Professional fees and technical charges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608,752</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595,491</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 and warehousing charge</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84,490</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105,356</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Administrative expenses and other staff related cost</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399,753</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414,214</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government grants</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174,241</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179,961</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Acquisition considerations</w:t>
            </w:r>
          </w:p>
        </w:tc>
        <w:tc>
          <w:tcPr>
            <w:tcW w:w="326" w:type="dxa"/>
            <w:tcBorders/>
            <w:shd w:fill="CCEEFF" w:val="clear"/>
            <w:vAlign w:val="center"/>
          </w:tcPr>
          <w:p>
            <w:pPr>
              <w:pStyle w:val="TableContents"/>
              <w:spacing w:before="0" w:after="0"/>
              <w:ind w:left="0" w:right="0" w:hanging="0"/>
              <w:jc w:val="both"/>
              <w:rPr/>
            </w:pPr>
            <w:r>
              <w:rPr/>
              <w:t>​</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203,584</w:t>
            </w:r>
          </w:p>
        </w:tc>
      </w:tr>
      <w:tr>
        <w:trPr/>
        <w:tc>
          <w:tcPr>
            <w:tcW w:w="4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Customer refund for licensed games</w:t>
            </w:r>
          </w:p>
        </w:tc>
        <w:tc>
          <w:tcPr>
            <w:tcW w:w="326" w:type="dxa"/>
            <w:tcBorders/>
            <w:shd w:fill="auto" w:val="clear"/>
            <w:vAlign w:val="center"/>
          </w:tcPr>
          <w:p>
            <w:pPr>
              <w:pStyle w:val="TableContents"/>
              <w:spacing w:before="0" w:after="0"/>
              <w:ind w:left="0" w:right="0" w:hanging="0"/>
              <w:jc w:val="both"/>
              <w:rPr/>
            </w:pPr>
            <w:r>
              <w:rPr/>
              <w:t>​</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283,763</w:t>
            </w:r>
          </w:p>
        </w:tc>
      </w:tr>
      <w:tr>
        <w:trPr/>
        <w:tc>
          <w:tcPr>
            <w:tcW w:w="4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527,855</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562,401</w:t>
            </w:r>
          </w:p>
        </w:tc>
      </w:tr>
      <w:tr>
        <w:trPr/>
        <w:tc>
          <w:tcPr>
            <w:tcW w:w="42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9,026,508</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11,122,022</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Long-term loans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2, 2021, the Group entered into a five-year term loan facility and revolving loan facility agreement with aggregate commitments of US$1.0 billion. The facility is priced at 85 basis points per annum over LIBOR and has a commitment fee of 0.20% on the undrawn portion. There were US$200.0 million and US$500.0 million of borrowings outstanding under the syndicated facility as of December 31, 2021 and 2022 with no pledge, respectively. The Group was subject to certain covenants under the syndicated facility agreement and was in compliance with these financial covenants as of December 31, 2022.</w:t>
      </w:r>
    </w:p>
    <w:p>
      <w:pPr>
        <w:pStyle w:val="TextBody"/>
        <w:spacing w:before="0" w:after="0"/>
        <w:ind w:left="0" w:right="0" w:hanging="0"/>
        <w:jc w:val="both"/>
        <w:rPr/>
      </w:pPr>
      <w:r>
        <w:rPr/>
        <w:t>​</w:t>
      </w:r>
    </w:p>
    <w:tbl>
      <w:tblPr>
        <w:tblW w:w="6122" w:type="dxa"/>
        <w:jc w:val="left"/>
        <w:tblInd w:w="0" w:type="dxa"/>
        <w:tblCellMar>
          <w:top w:w="0" w:type="dxa"/>
          <w:left w:w="0" w:type="dxa"/>
          <w:bottom w:w="0" w:type="dxa"/>
          <w:right w:w="0" w:type="dxa"/>
        </w:tblCellMar>
      </w:tblPr>
      <w:tblGrid>
        <w:gridCol w:w="376"/>
        <w:gridCol w:w="574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19.</w:t>
            </w:r>
          </w:p>
        </w:tc>
        <w:tc>
          <w:tcPr>
            <w:tcW w:w="57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Noncontrolling Interests and Redeemable Noncontrolling Interests</w:t>
            </w:r>
          </w:p>
        </w:tc>
      </w:tr>
    </w:tbl>
    <w:p>
      <w:pPr>
        <w:pStyle w:val="TextBody"/>
        <w:pBdr/>
        <w:spacing w:before="0" w:after="240"/>
        <w:ind w:left="0" w:right="0" w:hanging="490"/>
        <w:jc w:val="both"/>
        <w:rPr>
          <w:rFonts w:ascii="Times New Roman;Times;serif" w:hAnsi="Times New Roman;Times;serif"/>
          <w:sz w:val="20"/>
        </w:rPr>
      </w:pPr>
      <w:r>
        <w:rPr>
          <w:rFonts w:ascii="Times New Roman;Times;serif" w:hAnsi="Times New Roman;Times;serif"/>
          <w:sz w:val="20"/>
        </w:rPr>
        <w:t>Cloud Music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2018 and 2019, Cloud Music issued preferred shares (“Cloud Music Preferred Shares”) to certain investors for an aggregated cash consideration of US$716.3 million and US$711.6 million, respectively.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2020, pursuant to the agreements entered between one of the redeemable noncontrolling interest and Cloud Music, Cloud Music repurchased this redeemable noncontrolling interest at a cash consideration of US$66.3 million. The Group accounted for the repurchase as an equity transaction, no gains or losses were recognized from the repurchase. The excess of the consideration transferred over the carrying amount of the redeemable noncontrolling interests surrendered, amounting to RMB207.0 million was recognized as a deemed dividend to preferred shareholders, among which RMB204.7 million attributable to the Company’s shareholders also reduces the numerator for EPS calculation.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 Upon completion of the IPO of Cloud Music in December 2021, all Cloud Music Preferred Shares held by external preferred shareholders were automatically re-designated and converted on a one-for-one basis into ordinary shares of Cloud Music.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Youdao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2018, Youdao issued equity interests with preferential rights (“Youdao Preferred Shares”) to two investors for a total cash consideration of 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pStyle w:val="TextBody"/>
        <w:spacing w:before="0" w:after="0"/>
        <w:ind w:left="0" w:right="0" w:hanging="0"/>
        <w:jc w:val="both"/>
        <w:rPr/>
      </w:pPr>
      <w:r>
        <w:rPr/>
        <w:t>​</w:t>
      </w:r>
    </w:p>
    <w:tbl>
      <w:tblPr>
        <w:tblW w:w="1997" w:type="dxa"/>
        <w:jc w:val="left"/>
        <w:tblInd w:w="0" w:type="dxa"/>
        <w:tblCellMar>
          <w:top w:w="0" w:type="dxa"/>
          <w:left w:w="0" w:type="dxa"/>
          <w:bottom w:w="0" w:type="dxa"/>
          <w:right w:w="0" w:type="dxa"/>
        </w:tblCellMar>
      </w:tblPr>
      <w:tblGrid>
        <w:gridCol w:w="376"/>
        <w:gridCol w:w="162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20.</w:t>
            </w:r>
          </w:p>
        </w:tc>
        <w:tc>
          <w:tcPr>
            <w:tcW w:w="162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Capital Structure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939" w:name="Tc_FKIHGFv7TkOYOog-C7i0XA_5_0"/>
      <w:bookmarkStart w:id="1940" w:name="Tc_D4E4DVXmZkKJrDbJb4cY7Q_4_0"/>
      <w:bookmarkStart w:id="1941" w:name="Tc_g7I0zulk6kKQMYZL_LpMNA_3_6"/>
      <w:bookmarkStart w:id="1942" w:name="Tc_7Li7kQAGHUSzb7SGrbADXg_3_4"/>
      <w:bookmarkStart w:id="1943" w:name="Tc_Knzs0MwgykS3ZVTbflaE6g_3_2"/>
      <w:bookmarkStart w:id="1944" w:name="Tc_9irtT_nWok-NvMGeBOP-QA_2_6"/>
      <w:bookmarkStart w:id="1945" w:name="Tc_ZgJMq0LQOEidIluSyxJ0Jw_2_4"/>
      <w:bookmarkStart w:id="1946" w:name="Tc_3lSNF6b7g02aTe9pmsrZUQ_2_2"/>
      <w:bookmarkStart w:id="1947" w:name="Tc_Im2ir9R8g0K7qRFE291Ngg_1_2"/>
      <w:bookmarkStart w:id="1948" w:name="Tc_FKIHGFv7TkOYOog-C7i0XA_5_0"/>
      <w:bookmarkStart w:id="1949" w:name="Tc_D4E4DVXmZkKJrDbJb4cY7Q_4_0"/>
      <w:bookmarkStart w:id="1950" w:name="Tc_g7I0zulk6kKQMYZL_LpMNA_3_6"/>
      <w:bookmarkStart w:id="1951" w:name="Tc_7Li7kQAGHUSzb7SGrbADXg_3_4"/>
      <w:bookmarkStart w:id="1952" w:name="Tc_Knzs0MwgykS3ZVTbflaE6g_3_2"/>
      <w:bookmarkStart w:id="1953" w:name="Tc_9irtT_nWok-NvMGeBOP-QA_2_6"/>
      <w:bookmarkStart w:id="1954" w:name="Tc_ZgJMq0LQOEidIluSyxJ0Jw_2_4"/>
      <w:bookmarkStart w:id="1955" w:name="Tc_3lSNF6b7g02aTe9pmsrZUQ_2_2"/>
      <w:bookmarkStart w:id="1956" w:name="Tc_Im2ir9R8g0K7qRFE291Ngg_1_2"/>
      <w:bookmarkEnd w:id="1948"/>
      <w:bookmarkEnd w:id="1949"/>
      <w:bookmarkEnd w:id="1950"/>
      <w:bookmarkEnd w:id="1951"/>
      <w:bookmarkEnd w:id="1952"/>
      <w:bookmarkEnd w:id="1953"/>
      <w:bookmarkEnd w:id="1954"/>
      <w:bookmarkEnd w:id="1955"/>
      <w:bookmarkEnd w:id="1956"/>
    </w:p>
    <w:tbl>
      <w:tblPr>
        <w:tblW w:w="2102" w:type="dxa"/>
        <w:jc w:val="left"/>
        <w:tblInd w:w="0" w:type="dxa"/>
        <w:tblCellMar>
          <w:top w:w="0" w:type="dxa"/>
          <w:left w:w="0" w:type="dxa"/>
          <w:bottom w:w="0" w:type="dxa"/>
          <w:right w:w="0" w:type="dxa"/>
        </w:tblCellMar>
      </w:tblPr>
      <w:tblGrid>
        <w:gridCol w:w="376"/>
        <w:gridCol w:w="172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21.</w:t>
            </w:r>
          </w:p>
        </w:tc>
        <w:tc>
          <w:tcPr>
            <w:tcW w:w="172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Employee Benefits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subsidiaries and the VIEs incorporated in China participate in a government-mandated multi-employer defined contribution plan under which certain retirement, medical, housing and other welfare benefits are provided to employees. Chinese labor regulations require the Company’s Chinese subsidiaries and the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2020, 2021 and 2022 (in millions):</w:t>
      </w:r>
    </w:p>
    <w:p>
      <w:pPr>
        <w:pStyle w:val="TextBody"/>
        <w:spacing w:before="0" w:after="0"/>
        <w:ind w:left="0" w:right="0" w:hanging="0"/>
        <w:jc w:val="both"/>
        <w:rPr/>
      </w:pPr>
      <w:r>
        <w:rPr/>
        <w:t>​</w:t>
      </w:r>
    </w:p>
    <w:tbl>
      <w:tblPr>
        <w:tblW w:w="7162" w:type="dxa"/>
        <w:jc w:val="left"/>
        <w:tblInd w:w="0" w:type="dxa"/>
        <w:tblCellMar>
          <w:top w:w="0" w:type="dxa"/>
          <w:left w:w="0" w:type="dxa"/>
          <w:bottom w:w="0" w:type="dxa"/>
          <w:right w:w="0" w:type="dxa"/>
        </w:tblCellMar>
      </w:tblPr>
      <w:tblGrid>
        <w:gridCol w:w="3916"/>
        <w:gridCol w:w="326"/>
        <w:gridCol w:w="721"/>
        <w:gridCol w:w="326"/>
        <w:gridCol w:w="721"/>
        <w:gridCol w:w="326"/>
        <w:gridCol w:w="82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486660" cy="175260"/>
                      <wp:effectExtent l="0" t="0" r="0" b="0"/>
                      <wp:wrapNone/>
                      <wp:docPr id="524" name="Frame523"/>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5" name="Frame5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57835" cy="175260"/>
                      <wp:effectExtent l="0" t="0" r="0" b="0"/>
                      <wp:wrapNone/>
                      <wp:docPr id="526" name="Frame52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7" name="Frame5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57835" cy="175260"/>
                      <wp:effectExtent l="0" t="0" r="0" b="0"/>
                      <wp:wrapNone/>
                      <wp:docPr id="528" name="Frame527"/>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29" name="Frame5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24510" cy="175260"/>
                      <wp:effectExtent l="0" t="0" r="0" b="0"/>
                      <wp:wrapNone/>
                      <wp:docPr id="530" name="Frame52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29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9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1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Contributions to medical and pension schemes</w:t>
            </w:r>
          </w:p>
        </w:tc>
        <w:tc>
          <w:tcPr>
            <w:tcW w:w="326" w:type="dxa"/>
            <w:tcBorders/>
            <w:shd w:fill="CCEEFF" w:val="clear"/>
            <w:vAlign w:val="center"/>
          </w:tcPr>
          <w:p>
            <w:pPr>
              <w:pStyle w:val="TableContents"/>
              <w:spacing w:before="0" w:after="0"/>
              <w:ind w:left="0" w:right="0" w:hanging="0"/>
              <w:jc w:val="both"/>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769.4</w:t>
            </w:r>
          </w:p>
        </w:tc>
        <w:tc>
          <w:tcPr>
            <w:tcW w:w="326" w:type="dxa"/>
            <w:tcBorders/>
            <w:shd w:fill="CCEEFF" w:val="clear"/>
            <w:vAlign w:val="center"/>
          </w:tcPr>
          <w:p>
            <w:pPr>
              <w:pStyle w:val="TableContents"/>
              <w:spacing w:before="0" w:after="0"/>
              <w:ind w:left="0" w:right="0" w:hanging="0"/>
              <w:jc w:val="both"/>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1,463.8</w:t>
            </w:r>
          </w:p>
        </w:tc>
        <w:tc>
          <w:tcPr>
            <w:tcW w:w="326" w:type="dxa"/>
            <w:tcBorders/>
            <w:shd w:fill="CCEEFF" w:val="clear"/>
            <w:vAlign w:val="center"/>
          </w:tcPr>
          <w:p>
            <w:pPr>
              <w:pStyle w:val="TableContents"/>
              <w:spacing w:before="0" w:after="0"/>
              <w:ind w:left="0" w:right="0" w:hanging="0"/>
              <w:jc w:val="both"/>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1,710.4</w:t>
            </w:r>
          </w:p>
        </w:tc>
      </w:tr>
      <w:tr>
        <w:trPr/>
        <w:tc>
          <w:tcPr>
            <w:tcW w:w="391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employee benefits</w:t>
            </w:r>
          </w:p>
        </w:tc>
        <w:tc>
          <w:tcPr>
            <w:tcW w:w="326" w:type="dxa"/>
            <w:tcBorders/>
            <w:shd w:fill="auto" w:val="clear"/>
            <w:vAlign w:val="center"/>
          </w:tcPr>
          <w:p>
            <w:pPr>
              <w:pStyle w:val="TableContents"/>
              <w:spacing w:before="0" w:after="0"/>
              <w:ind w:left="0" w:right="0" w:hanging="0"/>
              <w:jc w:val="both"/>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766.8</w:t>
            </w:r>
          </w:p>
        </w:tc>
        <w:tc>
          <w:tcPr>
            <w:tcW w:w="326" w:type="dxa"/>
            <w:tcBorders/>
            <w:shd w:fill="auto" w:val="clear"/>
            <w:vAlign w:val="center"/>
          </w:tcPr>
          <w:p>
            <w:pPr>
              <w:pStyle w:val="TableContents"/>
              <w:spacing w:before="0" w:after="0"/>
              <w:ind w:left="0" w:right="0" w:hanging="0"/>
              <w:jc w:val="both"/>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326" w:type="dxa"/>
            <w:tcBorders/>
            <w:shd w:fill="auto" w:val="clear"/>
            <w:vAlign w:val="center"/>
          </w:tcPr>
          <w:p>
            <w:pPr>
              <w:pStyle w:val="TableContents"/>
              <w:spacing w:before="0" w:after="0"/>
              <w:ind w:left="0" w:right="0" w:hanging="0"/>
              <w:jc w:val="both"/>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r>
      <w:tr>
        <w:trPr/>
        <w:tc>
          <w:tcPr>
            <w:tcW w:w="391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1,536.2</w:t>
            </w:r>
          </w:p>
        </w:tc>
        <w:tc>
          <w:tcPr>
            <w:tcW w:w="326" w:type="dxa"/>
            <w:tcBorders/>
            <w:shd w:fill="CCEEFF" w:val="clear"/>
            <w:vAlign w:val="center"/>
          </w:tcPr>
          <w:p>
            <w:pPr>
              <w:pStyle w:val="TableContents"/>
              <w:spacing w:before="0" w:after="0"/>
              <w:ind w:left="0" w:right="0" w:hanging="0"/>
              <w:jc w:val="both"/>
              <w:rPr/>
            </w:pPr>
            <w:r>
              <w:rPr/>
              <w:t> </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2,508.3</w:t>
            </w:r>
          </w:p>
        </w:tc>
        <w:tc>
          <w:tcPr>
            <w:tcW w:w="326" w:type="dxa"/>
            <w:tcBorders/>
            <w:shd w:fill="CCEEFF" w:val="clear"/>
            <w:vAlign w:val="center"/>
          </w:tcPr>
          <w:p>
            <w:pPr>
              <w:pStyle w:val="TableContents"/>
              <w:spacing w:before="0" w:after="0"/>
              <w:ind w:left="0" w:right="0" w:hanging="0"/>
              <w:jc w:val="both"/>
              <w:rPr/>
            </w:pPr>
            <w:r>
              <w:rPr/>
              <w:t> </w:t>
            </w:r>
          </w:p>
        </w:tc>
        <w:tc>
          <w:tcPr>
            <w:tcW w:w="82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2,913.2</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957" w:name="Tc_434Cvhg3tkeJR6dNmfZhYw_7_0"/>
      <w:bookmarkStart w:id="1958" w:name="Tc_2YKqk-YGM0i3PSLIG87dxw_6_0"/>
      <w:bookmarkStart w:id="1959" w:name="Tc_VLbrYC9VvEaIVbP0mLztVg_5_0"/>
      <w:bookmarkStart w:id="1960" w:name="Tc_c7OOTXQGo0KlTpuVaUObBA_4_0"/>
      <w:bookmarkStart w:id="1961" w:name="Tc_2SzEK08mKkG6JUMEt6LJGA_3_6"/>
      <w:bookmarkStart w:id="1962" w:name="Tc_aDk9cFCp4k6T56jFnQbsKA_3_4"/>
      <w:bookmarkStart w:id="1963" w:name="Tc_vAonub-nmU-a4b-lnVhd4A_3_2"/>
      <w:bookmarkStart w:id="1964" w:name="Tc_TSYX99Sz4Uu01GGyLh4NDg_2_6"/>
      <w:bookmarkStart w:id="1965" w:name="Tc_Z2i4hG44cEqmg-zr_HRSrg_2_4"/>
      <w:bookmarkStart w:id="1966" w:name="Tc_9oddUd1K0UujdIkKv6cVmw_2_2"/>
      <w:bookmarkStart w:id="1967" w:name="Tc_3k6YAtYqTkChWXY3Wp1urQ_1_2"/>
      <w:bookmarkStart w:id="1968" w:name="Tc_434Cvhg3tkeJR6dNmfZhYw_7_0"/>
      <w:bookmarkStart w:id="1969" w:name="Tc_2YKqk-YGM0i3PSLIG87dxw_6_0"/>
      <w:bookmarkStart w:id="1970" w:name="Tc_VLbrYC9VvEaIVbP0mLztVg_5_0"/>
      <w:bookmarkStart w:id="1971" w:name="Tc_c7OOTXQGo0KlTpuVaUObBA_4_0"/>
      <w:bookmarkStart w:id="1972" w:name="Tc_2SzEK08mKkG6JUMEt6LJGA_3_6"/>
      <w:bookmarkStart w:id="1973" w:name="Tc_aDk9cFCp4k6T56jFnQbsKA_3_4"/>
      <w:bookmarkStart w:id="1974" w:name="Tc_vAonub-nmU-a4b-lnVhd4A_3_2"/>
      <w:bookmarkStart w:id="1975" w:name="Tc_TSYX99Sz4Uu01GGyLh4NDg_2_6"/>
      <w:bookmarkStart w:id="1976" w:name="Tc_Z2i4hG44cEqmg-zr_HRSrg_2_4"/>
      <w:bookmarkStart w:id="1977" w:name="Tc_9oddUd1K0UujdIkKv6cVmw_2_2"/>
      <w:bookmarkStart w:id="1978" w:name="Tc_3k6YAtYqTkChWXY3Wp1urQ_1_2"/>
      <w:bookmarkEnd w:id="1968"/>
      <w:bookmarkEnd w:id="1969"/>
      <w:bookmarkEnd w:id="1970"/>
      <w:bookmarkEnd w:id="1971"/>
      <w:bookmarkEnd w:id="1972"/>
      <w:bookmarkEnd w:id="1973"/>
      <w:bookmarkEnd w:id="1974"/>
      <w:bookmarkEnd w:id="1975"/>
      <w:bookmarkEnd w:id="1976"/>
      <w:bookmarkEnd w:id="1977"/>
      <w:bookmarkEnd w:id="1978"/>
    </w:p>
    <w:tbl>
      <w:tblPr>
        <w:tblW w:w="2822" w:type="dxa"/>
        <w:jc w:val="left"/>
        <w:tblInd w:w="0" w:type="dxa"/>
        <w:tblCellMar>
          <w:top w:w="0" w:type="dxa"/>
          <w:left w:w="0" w:type="dxa"/>
          <w:bottom w:w="0" w:type="dxa"/>
          <w:right w:w="0" w:type="dxa"/>
        </w:tblCellMar>
      </w:tblPr>
      <w:tblGrid>
        <w:gridCol w:w="376"/>
        <w:gridCol w:w="244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22.</w:t>
            </w:r>
          </w:p>
        </w:tc>
        <w:tc>
          <w:tcPr>
            <w:tcW w:w="24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total share-based compensation expenses recognized were RMB2,663.5 million, RMB3,041.5 million and RMB3,174.2 million, respectively. The table below presents a summary of the Group’s share-based compensation cost (in thousands):</w:t>
      </w:r>
    </w:p>
    <w:p>
      <w:pPr>
        <w:pStyle w:val="TextBody"/>
        <w:spacing w:before="0" w:after="0"/>
        <w:ind w:left="0" w:right="0" w:hanging="0"/>
        <w:rPr/>
      </w:pPr>
      <w:r>
        <w:rPr/>
        <w:t>​</w:t>
      </w:r>
    </w:p>
    <w:tbl>
      <w:tblPr>
        <w:tblW w:w="6967" w:type="dxa"/>
        <w:jc w:val="left"/>
        <w:tblInd w:w="0" w:type="dxa"/>
        <w:tblCellMar>
          <w:top w:w="0" w:type="dxa"/>
          <w:left w:w="0" w:type="dxa"/>
          <w:bottom w:w="0" w:type="dxa"/>
          <w:right w:w="0" w:type="dxa"/>
        </w:tblCellMar>
      </w:tblPr>
      <w:tblGrid>
        <w:gridCol w:w="3091"/>
        <w:gridCol w:w="326"/>
        <w:gridCol w:w="931"/>
        <w:gridCol w:w="326"/>
        <w:gridCol w:w="931"/>
        <w:gridCol w:w="326"/>
        <w:gridCol w:w="103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962785" cy="175260"/>
                      <wp:effectExtent l="0" t="0" r="0" b="0"/>
                      <wp:wrapNone/>
                      <wp:docPr id="531" name="Frame530"/>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2" name="Frame5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91185" cy="175260"/>
                      <wp:effectExtent l="0" t="0" r="0" b="0"/>
                      <wp:wrapNone/>
                      <wp:docPr id="533" name="Frame53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4" name="Frame5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91185" cy="175260"/>
                      <wp:effectExtent l="0" t="0" r="0" b="0"/>
                      <wp:wrapNone/>
                      <wp:docPr id="535" name="Frame5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6" name="Frame5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57860" cy="175260"/>
                      <wp:effectExtent l="0" t="0" r="0" b="0"/>
                      <wp:wrapNone/>
                      <wp:docPr id="537" name="Frame53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794,855</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r>
      <w:tr>
        <w:trPr/>
        <w:tc>
          <w:tcPr>
            <w:tcW w:w="30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102,300</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r>
      <w:tr>
        <w:trPr/>
        <w:tc>
          <w:tcPr>
            <w:tcW w:w="30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929,013</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r>
      <w:tr>
        <w:trPr/>
        <w:tc>
          <w:tcPr>
            <w:tcW w:w="30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837,321</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r>
      <w:tr>
        <w:trPr/>
        <w:tc>
          <w:tcPr>
            <w:tcW w:w="3091"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2,663,489</w:t>
            </w:r>
          </w:p>
        </w:tc>
        <w:tc>
          <w:tcPr>
            <w:tcW w:w="326" w:type="dxa"/>
            <w:tcBorders/>
            <w:shd w:fill="CCEEFF" w:val="clear"/>
            <w:vAlign w:val="center"/>
          </w:tcPr>
          <w:p>
            <w:pPr>
              <w:pStyle w:val="TableContents"/>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3,041,492</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3,174,160</w:t>
            </w:r>
          </w:p>
        </w:tc>
      </w:tr>
    </w:tbl>
    <w:p>
      <w:pPr>
        <w:pStyle w:val="TextBody"/>
        <w:pBdr/>
        <w:spacing w:before="0" w:after="0"/>
        <w:ind w:left="0" w:right="0" w:hanging="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979" w:name="Tc_Au84fmd8fkugtaI8Ax1Gyg_21_0"/>
      <w:bookmarkStart w:id="1980" w:name="Tc_SsX_fMUkSkGd5kfZlle1qA_20_0"/>
      <w:bookmarkStart w:id="1981" w:name="Tc_apy0-yrWKkKWrWyXKaSmmw_19_0"/>
      <w:bookmarkStart w:id="1982" w:name="Tc_r4G9mOs7OEWWwRQyC-4vxw_18_0"/>
      <w:bookmarkStart w:id="1983" w:name="Tc_IICkFCTEy0yajcofOrXSaw_17_0"/>
      <w:bookmarkStart w:id="1984" w:name="Tc_ZSR4KYsqQ0O2TjNg2qXT_w_15_0"/>
      <w:bookmarkStart w:id="1985" w:name="Tc_3vosVAl_MEWwWHeM4-r-6g_14_0"/>
      <w:bookmarkStart w:id="1986" w:name="Tc_zf6FxamFO02toeDAJuf84g_13_0"/>
      <w:bookmarkStart w:id="1987" w:name="Tc_UT4xdUNKFUWsuyc497Q_Mw_12_0"/>
      <w:bookmarkStart w:id="1988" w:name="Tc_QMDW7HkmMkmAeEB2qBGPRQ_11_0"/>
      <w:bookmarkStart w:id="1989" w:name="Tc_rbHV4aSEC0yNpvacBc32WA_9_0"/>
      <w:bookmarkStart w:id="1990" w:name="Tc_7waAgwxGB0C-47DRYaPcSA_8_0"/>
      <w:bookmarkStart w:id="1991" w:name="Tc_4Sh9y-mIaEab5-5iQsJQuw_7_0"/>
      <w:bookmarkStart w:id="1992" w:name="Tc_2fZlLn-kk0O6nqJOHukbvw_6_0"/>
      <w:bookmarkStart w:id="1993" w:name="Tc_Pv7HnQ1yTkSlsAOcCJZD0A_5_0"/>
      <w:bookmarkStart w:id="1994" w:name="Tc_-GV9grekSkiusOo301o26w_4_4"/>
      <w:bookmarkStart w:id="1995" w:name="Tc_9KH4Pk9MoEmscQnzhrNMwg_4_2"/>
      <w:bookmarkStart w:id="1996" w:name="Tc_7hgtn6HuuE-DHUktbjtViw_3_4"/>
      <w:bookmarkStart w:id="1997" w:name="Tc_CXorH1lgsUC3dejcJ0LjpA_3_2"/>
      <w:bookmarkStart w:id="1998" w:name="Tc_FbLjbPQKk02L2VtaF6hydw_2_4"/>
      <w:bookmarkStart w:id="1999" w:name="Tc_91XF_-XaMUe_w9JjW7-RUQ_1_4"/>
      <w:bookmarkStart w:id="2000" w:name="_78bbea1c_690e_4689_adff_a4366c4565c6"/>
      <w:bookmarkStart w:id="2001" w:name="Tc_Au84fmd8fkugtaI8Ax1Gyg_21_0"/>
      <w:bookmarkStart w:id="2002" w:name="Tc_SsX_fMUkSkGd5kfZlle1qA_20_0"/>
      <w:bookmarkStart w:id="2003" w:name="Tc_apy0-yrWKkKWrWyXKaSmmw_19_0"/>
      <w:bookmarkStart w:id="2004" w:name="Tc_r4G9mOs7OEWWwRQyC-4vxw_18_0"/>
      <w:bookmarkStart w:id="2005" w:name="Tc_IICkFCTEy0yajcofOrXSaw_17_0"/>
      <w:bookmarkStart w:id="2006" w:name="Tc_ZSR4KYsqQ0O2TjNg2qXT_w_15_0"/>
      <w:bookmarkStart w:id="2007" w:name="Tc_3vosVAl_MEWwWHeM4-r-6g_14_0"/>
      <w:bookmarkStart w:id="2008" w:name="Tc_zf6FxamFO02toeDAJuf84g_13_0"/>
      <w:bookmarkStart w:id="2009" w:name="Tc_UT4xdUNKFUWsuyc497Q_Mw_12_0"/>
      <w:bookmarkStart w:id="2010" w:name="Tc_QMDW7HkmMkmAeEB2qBGPRQ_11_0"/>
      <w:bookmarkStart w:id="2011" w:name="Tc_rbHV4aSEC0yNpvacBc32WA_9_0"/>
      <w:bookmarkStart w:id="2012" w:name="Tc_7waAgwxGB0C-47DRYaPcSA_8_0"/>
      <w:bookmarkStart w:id="2013" w:name="Tc_4Sh9y-mIaEab5-5iQsJQuw_7_0"/>
      <w:bookmarkStart w:id="2014" w:name="Tc_2fZlLn-kk0O6nqJOHukbvw_6_0"/>
      <w:bookmarkStart w:id="2015" w:name="Tc_Pv7HnQ1yTkSlsAOcCJZD0A_5_0"/>
      <w:bookmarkStart w:id="2016" w:name="Tc_-GV9grekSkiusOo301o26w_4_4"/>
      <w:bookmarkStart w:id="2017" w:name="Tc_9KH4Pk9MoEmscQnzhrNMwg_4_2"/>
      <w:bookmarkStart w:id="2018" w:name="Tc_7hgtn6HuuE-DHUktbjtViw_3_4"/>
      <w:bookmarkStart w:id="2019" w:name="Tc_CXorH1lgsUC3dejcJ0LjpA_3_2"/>
      <w:bookmarkStart w:id="2020" w:name="Tc_FbLjbPQKk02L2VtaF6hydw_2_4"/>
      <w:bookmarkStart w:id="2021" w:name="Tc_91XF_-XaMUe_w9JjW7-RUQ_1_4"/>
      <w:bookmarkStart w:id="2022" w:name="_78bbea1c_690e_4689_adff_a4366c4565c6"/>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p>
    <w:tbl>
      <w:tblPr>
        <w:tblW w:w="2807" w:type="dxa"/>
        <w:jc w:val="left"/>
        <w:tblInd w:w="0" w:type="dxa"/>
        <w:tblCellMar>
          <w:top w:w="0" w:type="dxa"/>
          <w:left w:w="0" w:type="dxa"/>
          <w:bottom w:w="0" w:type="dxa"/>
          <w:right w:w="0" w:type="dxa"/>
        </w:tblCellMar>
      </w:tblPr>
      <w:tblGrid>
        <w:gridCol w:w="346"/>
        <w:gridCol w:w="246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246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Restricted Share Units Plan</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2009 RSU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2009, the Company adopted 2009 Restricted Share Unit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 The 2009 RSU Plan was expired on November 16, 2019.</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2019 Share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2019, the Company adopted 2019 Restricted Share Unit Plan for the Company’s employees, directors and others, with a ten-year term and a maximum number of 322,458,300 ordinary shares available for issuance pursuant to all awards under the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February 22, 2023, the Company amended and restated the 2019 Restricted Share Unit Plan to permit to grant stock option awards to the Company’s employees, directors and others, and renamed it as Amended and Restated 2019 Share Incentive Plan (the “2019 Share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share-based compensation cost related to RSUs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total unrecognized compensation cost related to unvested awards under the 2009 RSU Plan and the 2019 Share Plan, adjusted for estimated forfeitures, was US$436.3 million (RMB3,009.0 million) and is expected to be recognized through the remaining vesting period of each grant. As of December 31, 2022, the weighted average remaining vesting periods was 1.75 years.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Restricted Share Unit Award Activities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RSUs award activities for the years ended December 31, 2020, 2021 and 2022:</w:t>
      </w:r>
    </w:p>
    <w:p>
      <w:pPr>
        <w:pStyle w:val="TextBody"/>
        <w:spacing w:before="0" w:after="0"/>
        <w:ind w:left="0" w:right="0" w:hanging="0"/>
        <w:jc w:val="both"/>
        <w:rPr/>
      </w:pPr>
      <w:r>
        <w:rPr/>
        <w:t>​</w:t>
      </w:r>
    </w:p>
    <w:tbl>
      <w:tblPr>
        <w:tblW w:w="6531" w:type="dxa"/>
        <w:jc w:val="left"/>
        <w:tblInd w:w="0" w:type="dxa"/>
        <w:tblCellMar>
          <w:top w:w="0" w:type="dxa"/>
          <w:left w:w="0" w:type="dxa"/>
          <w:bottom w:w="0" w:type="dxa"/>
          <w:right w:w="0" w:type="dxa"/>
        </w:tblCellMar>
      </w:tblPr>
      <w:tblGrid>
        <w:gridCol w:w="2941"/>
        <w:gridCol w:w="326"/>
        <w:gridCol w:w="1321"/>
        <w:gridCol w:w="326"/>
        <w:gridCol w:w="1426"/>
        <w:gridCol w:w="19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867535" cy="175260"/>
                      <wp:effectExtent l="0" t="0" r="0" b="0"/>
                      <wp:wrapNone/>
                      <wp:docPr id="538" name="Frame537"/>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9" name="Frame5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838835" cy="175260"/>
                      <wp:effectExtent l="0" t="0" r="0" b="0"/>
                      <wp:wrapNone/>
                      <wp:docPr id="540" name="Frame539"/>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1" name="Frame5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905510" cy="175260"/>
                      <wp:effectExtent l="0" t="0" r="0" b="0"/>
                      <wp:wrapNone/>
                      <wp:docPr id="542" name="Frame541"/>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21285" cy="175260"/>
                      <wp:effectExtent l="0" t="0" r="0" b="0"/>
                      <wp:wrapNone/>
                      <wp:docPr id="543" name="Frame542"/>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jc w:val="both"/>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January 1, 2020</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14,075</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68.35</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(5,832)</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48.02</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54.47</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December 31, 2020</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14,096</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57.85</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42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14,096</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57.85</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110.19</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(5,067)</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58.02</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75.29</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75.40</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42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both"/>
              <w:rPr/>
            </w:pPr>
            <w:r>
              <w:rPr/>
              <w:t>​</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75.40</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93.98</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75.01</w:t>
            </w:r>
          </w:p>
        </w:tc>
        <w:tc>
          <w:tcPr>
            <w:tcW w:w="191" w:type="dxa"/>
            <w:tcBorders/>
            <w:shd w:fill="CCEEFF" w:val="clear"/>
            <w:vAlign w:val="center"/>
          </w:tcPr>
          <w:p>
            <w:pPr>
              <w:pStyle w:val="TableContents"/>
              <w:spacing w:before="0" w:after="0"/>
              <w:ind w:left="0" w:right="0" w:hanging="0"/>
              <w:jc w:val="both"/>
              <w:rPr/>
            </w:pPr>
            <w:r>
              <w:rPr/>
              <w:t> </w:t>
            </w:r>
          </w:p>
        </w:tc>
      </w:tr>
      <w:tr>
        <w:trPr/>
        <w:tc>
          <w:tcPr>
            <w:tcW w:w="2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jc w:val="both"/>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auto" w:val="clear"/>
            <w:vAlign w:val="center"/>
          </w:tcPr>
          <w:p>
            <w:pPr>
              <w:pStyle w:val="TableContents"/>
              <w:spacing w:before="0" w:after="0"/>
              <w:ind w:left="0" w:right="0" w:hanging="0"/>
              <w:jc w:val="both"/>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191" w:type="dxa"/>
            <w:tcBorders/>
            <w:shd w:fill="auto" w:val="clear"/>
            <w:vAlign w:val="center"/>
          </w:tcPr>
          <w:p>
            <w:pPr>
              <w:pStyle w:val="TableContents"/>
              <w:spacing w:before="0" w:after="0"/>
              <w:ind w:left="0" w:right="0" w:hanging="0"/>
              <w:jc w:val="both"/>
              <w:rPr/>
            </w:pPr>
            <w:r>
              <w:rPr/>
              <w:t> </w:t>
            </w:r>
          </w:p>
        </w:tc>
      </w:tr>
      <w:tr>
        <w:trPr/>
        <w:tc>
          <w:tcPr>
            <w:tcW w:w="29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spacing w:before="0" w:after="0"/>
              <w:ind w:left="0" w:right="0" w:hanging="0"/>
              <w:jc w:val="both"/>
              <w:rPr/>
            </w:pPr>
            <w:r>
              <w:rPr/>
              <w:t> </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13,005</w:t>
            </w:r>
          </w:p>
        </w:tc>
        <w:tc>
          <w:tcPr>
            <w:tcW w:w="326" w:type="dxa"/>
            <w:tcBorders/>
            <w:shd w:fill="CCEEFF" w:val="clear"/>
            <w:vAlign w:val="center"/>
          </w:tcPr>
          <w:p>
            <w:pPr>
              <w:pStyle w:val="TableContents"/>
              <w:spacing w:before="0" w:after="0"/>
              <w:ind w:left="0" w:right="0" w:hanging="0"/>
              <w:jc w:val="both"/>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191" w:type="dxa"/>
            <w:tcBorders/>
            <w:shd w:fill="CCEEFF" w:val="cle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aggregate intrinsic value of RSUs outstanding as of December 31, 2022 was US$944.5 million. The intrinsic value was calculated based on the Company’s closing stock price of US$72.63 per ADS as of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practice is to issue new shares or utilize treasury stock upon vesting of RSUs. The number of shares available for future grant under the Company’s 2019 RSU Plan was 258,221,415 as of December 31, 2022.</w:t>
      </w:r>
    </w:p>
    <w:tbl>
      <w:tblPr>
        <w:tblW w:w="2792" w:type="dxa"/>
        <w:jc w:val="left"/>
        <w:tblInd w:w="0" w:type="dxa"/>
        <w:tblCellMar>
          <w:top w:w="0" w:type="dxa"/>
          <w:left w:w="0" w:type="dxa"/>
          <w:bottom w:w="0" w:type="dxa"/>
          <w:right w:w="0" w:type="dxa"/>
        </w:tblCellMar>
      </w:tblPr>
      <w:tblGrid>
        <w:gridCol w:w="346"/>
        <w:gridCol w:w="244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24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Other Share Incentive Plan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subsidiaries have adopted stock incentive plans, most of which are stock option plans and allow the related subsidiaries to grant options to certain employees of the Group. The options expire in four to ten years from the date of grant and either vest or have a vesting commencement date upon certain conditions being met (“Vesting Commencement Date”). The award can become 100% vested on the Vesting Commencement Date, or vests in three, four or five substantially equal annual installments with the first installment vesting on the Vesting Commencement Date. But for certain share options granted with vesting conditions outside the Group’s control, no expenses will be recorded until the occurrence of the vesting conditions when the Group determine that it is probable that the vesting conditions will be satisfied.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has used the binomial model to estimate the fair value of the options granted. For the years ended December 31, 2020, 2021, and 2022, RMB117.7 million, RMB528.2 million and RMB327.9 million compensation expenses were recorded for the share options granted.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there were approximately RMB28.3 million unrecognized share-based compensation expenses related to share options for which the service condition had been met and are expected to be recognized when the vesting conditions are achieved.</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2023" w:name="Tc_JuOx5dYb5kO27gkuQsG1ZA_17_0"/>
      <w:bookmarkStart w:id="2024" w:name="Tc_YQ30Rn1OHU2ngMMrjBdz5A_16_4"/>
      <w:bookmarkStart w:id="2025" w:name="Tc_NBAQjvPFNEaqYa0wLAA5lg_16_2"/>
      <w:bookmarkStart w:id="2026" w:name="Tc_sKiH2KxMrEq39iWa-bMo9Q_16_0"/>
      <w:bookmarkStart w:id="2027" w:name="Tc_OMHhlklGhEeK7JBUh1R8Qg_15_0"/>
      <w:bookmarkStart w:id="2028" w:name="Tc_J_HuHXEml0C19PAQY3PHxw_14_0"/>
      <w:bookmarkStart w:id="2029" w:name="Tc_Bcaeopeju0Gvf3OXQ3L0GQ_13_4"/>
      <w:bookmarkStart w:id="2030" w:name="Tc_hxNFCx68pUWbl-F6kekXKQ_13_2"/>
      <w:bookmarkStart w:id="2031" w:name="Tc_gEc-Lfx7VEKd6ylaFHyUpA_13_0"/>
      <w:bookmarkStart w:id="2032" w:name="Tc_WinYSjJqOEWnzuhPfs5Y1w_12_0"/>
      <w:bookmarkStart w:id="2033" w:name="Tc_GaM2mWt4_06yE3gpo_wcCQ_11_0"/>
      <w:bookmarkStart w:id="2034" w:name="Tc_fmf1c4_dEkOQinoVzLc-yg_10_0"/>
      <w:bookmarkStart w:id="2035" w:name="Tc_wLhz2ihGnUuwK1b52KvBwg_9_0"/>
      <w:bookmarkStart w:id="2036" w:name="Tc_M_DlIdtPvUGSVHQyVp0T-A_8_0"/>
      <w:bookmarkStart w:id="2037" w:name="Tc_b1TBo17gg0Ki8PXOEDIo5g_6_0"/>
      <w:bookmarkStart w:id="2038" w:name="Tc__HskTO2fiEO9BuEPAgVWNQ_5_4"/>
      <w:bookmarkStart w:id="2039" w:name="Tc_alWS9poaBUiS8uVDx_ujTg_5_2"/>
      <w:bookmarkStart w:id="2040" w:name="Tc_VSorn3XVJ0ySmcUCSZTNKg_5_0"/>
      <w:bookmarkStart w:id="2041" w:name="Tc_OKs9kB3xtUC_SfGUtrFTKQ_4_0"/>
      <w:bookmarkStart w:id="2042" w:name="Tc_NHFO0Eyaw0-j3Xm7vjIUIg_3_0"/>
      <w:bookmarkStart w:id="2043" w:name="Tc_PYZ2RXcFxkaYTtVCeME-Bw_2_6"/>
      <w:bookmarkStart w:id="2044" w:name="Tc_0fK7Q7nTcEWVPxWqe670UA_2_4"/>
      <w:bookmarkStart w:id="2045" w:name="Tc_gYGTlM1VBkiXKI_cbBtidw_2_2"/>
      <w:bookmarkStart w:id="2046" w:name="Tc_vNG9jU4m7kaahydMMV259w_1_2"/>
      <w:bookmarkStart w:id="2047" w:name="_3aaa042b_a8e3_4164_9f48_dfadc6b9692f"/>
      <w:bookmarkStart w:id="2048" w:name="Tc_JuOx5dYb5kO27gkuQsG1ZA_17_0"/>
      <w:bookmarkStart w:id="2049" w:name="Tc_YQ30Rn1OHU2ngMMrjBdz5A_16_4"/>
      <w:bookmarkStart w:id="2050" w:name="Tc_NBAQjvPFNEaqYa0wLAA5lg_16_2"/>
      <w:bookmarkStart w:id="2051" w:name="Tc_sKiH2KxMrEq39iWa-bMo9Q_16_0"/>
      <w:bookmarkStart w:id="2052" w:name="Tc_OMHhlklGhEeK7JBUh1R8Qg_15_0"/>
      <w:bookmarkStart w:id="2053" w:name="Tc_J_HuHXEml0C19PAQY3PHxw_14_0"/>
      <w:bookmarkStart w:id="2054" w:name="Tc_Bcaeopeju0Gvf3OXQ3L0GQ_13_4"/>
      <w:bookmarkStart w:id="2055" w:name="Tc_hxNFCx68pUWbl-F6kekXKQ_13_2"/>
      <w:bookmarkStart w:id="2056" w:name="Tc_gEc-Lfx7VEKd6ylaFHyUpA_13_0"/>
      <w:bookmarkStart w:id="2057" w:name="Tc_WinYSjJqOEWnzuhPfs5Y1w_12_0"/>
      <w:bookmarkStart w:id="2058" w:name="Tc_GaM2mWt4_06yE3gpo_wcCQ_11_0"/>
      <w:bookmarkStart w:id="2059" w:name="Tc_fmf1c4_dEkOQinoVzLc-yg_10_0"/>
      <w:bookmarkStart w:id="2060" w:name="Tc_wLhz2ihGnUuwK1b52KvBwg_9_0"/>
      <w:bookmarkStart w:id="2061" w:name="Tc_M_DlIdtPvUGSVHQyVp0T-A_8_0"/>
      <w:bookmarkStart w:id="2062" w:name="Tc_b1TBo17gg0Ki8PXOEDIo5g_6_0"/>
      <w:bookmarkStart w:id="2063" w:name="Tc__HskTO2fiEO9BuEPAgVWNQ_5_4"/>
      <w:bookmarkStart w:id="2064" w:name="Tc_alWS9poaBUiS8uVDx_ujTg_5_2"/>
      <w:bookmarkStart w:id="2065" w:name="Tc_VSorn3XVJ0ySmcUCSZTNKg_5_0"/>
      <w:bookmarkStart w:id="2066" w:name="Tc_OKs9kB3xtUC_SfGUtrFTKQ_4_0"/>
      <w:bookmarkStart w:id="2067" w:name="Tc_NHFO0Eyaw0-j3Xm7vjIUIg_3_0"/>
      <w:bookmarkStart w:id="2068" w:name="Tc_PYZ2RXcFxkaYTtVCeME-Bw_2_6"/>
      <w:bookmarkStart w:id="2069" w:name="Tc_0fK7Q7nTcEWVPxWqe670UA_2_4"/>
      <w:bookmarkStart w:id="2070" w:name="Tc_gYGTlM1VBkiXKI_cbBtidw_2_2"/>
      <w:bookmarkStart w:id="2071" w:name="Tc_vNG9jU4m7kaahydMMV259w_1_2"/>
      <w:bookmarkStart w:id="2072" w:name="_3aaa042b_a8e3_4164_9f48_dfadc6b9692f"/>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p>
    <w:tbl>
      <w:tblPr>
        <w:tblW w:w="2372" w:type="dxa"/>
        <w:jc w:val="left"/>
        <w:tblInd w:w="0" w:type="dxa"/>
        <w:tblCellMar>
          <w:top w:w="0" w:type="dxa"/>
          <w:left w:w="0" w:type="dxa"/>
          <w:bottom w:w="0" w:type="dxa"/>
          <w:right w:w="0" w:type="dxa"/>
        </w:tblCellMar>
      </w:tblPr>
      <w:tblGrid>
        <w:gridCol w:w="376"/>
        <w:gridCol w:w="199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23.</w:t>
            </w:r>
          </w:p>
        </w:tc>
        <w:tc>
          <w:tcPr>
            <w:tcW w:w="19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Net Income Per Share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for the years ended December 31, 2020, 2021 and 2022:</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6074"/>
        <w:gridCol w:w="326"/>
        <w:gridCol w:w="1036"/>
        <w:gridCol w:w="326"/>
        <w:gridCol w:w="1036"/>
        <w:gridCol w:w="326"/>
        <w:gridCol w:w="1081"/>
      </w:tblGrid>
      <w:tr>
        <w:trPr/>
        <w:tc>
          <w:tcPr>
            <w:tcW w:w="60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856990" cy="175260"/>
                      <wp:effectExtent l="0" t="0" r="0" b="0"/>
                      <wp:wrapNone/>
                      <wp:docPr id="544" name="Frame543"/>
                      <a:graphic xmlns:a="http://schemas.openxmlformats.org/drawingml/2006/main">
                        <a:graphicData uri="http://schemas.microsoft.com/office/word/2010/wordprocessingShape">
                          <wps:wsp>
                            <wps:cNvSpPr txBox="1"/>
                            <wps:spPr>
                              <a:xfrm>
                                <a:off x="0" y="0"/>
                                <a:ext cx="3856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5" name="Frame5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57860" cy="175260"/>
                      <wp:effectExtent l="0" t="0" r="0" b="0"/>
                      <wp:wrapNone/>
                      <wp:docPr id="546" name="Frame54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7" name="Frame5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57860" cy="175260"/>
                      <wp:effectExtent l="0" t="0" r="0" b="0"/>
                      <wp:wrapNone/>
                      <wp:docPr id="548" name="Frame54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49" name="Frame5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86435" cy="175260"/>
                      <wp:effectExtent l="0" t="0" r="0" b="0"/>
                      <wp:wrapNone/>
                      <wp:docPr id="550" name="Frame549"/>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 (RMB in thousands):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from continuing operations attributable to the Company’s shareholders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12,062,754</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19,712,736</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from discontinued operations attributable to the Company’s shareholders</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624,864</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the Company’s shareholders for basic/dilutive net income per share calculation</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12,062,754</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20,337,600</w:t>
            </w:r>
          </w:p>
        </w:tc>
      </w:tr>
      <w:tr>
        <w:trPr/>
        <w:tc>
          <w:tcPr>
            <w:tcW w:w="607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 (No. of shares in thousands):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ordinary shares outstanding, basic</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3,305,448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3,325,864</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3,263,455</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restricted share units</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44,311</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32,559</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ordinary shares outstanding, diluted</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3,349,759</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3,367,478</w:t>
            </w:r>
          </w:p>
        </w:tc>
        <w:tc>
          <w:tcPr>
            <w:tcW w:w="326" w:type="dxa"/>
            <w:tcBorders/>
            <w:shd w:fill="CCEEFF" w:val="cle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3,296,014</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share from continuing operations attributable to the Company’s shareholders, basic (RMB)</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share from discontinued operations attributable to the Company’s shareholders, basic (RMB)</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per share, basic (RMB)</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6.23</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share from continuing operations attributable to the Company’s shareholders, diluted (RMB)</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60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share from discontinued operations attributable to the Company’s shareholders, diluted (RMB)</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60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per share, diluted (RMB)</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5.01</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6.17</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2020, 2021 and 2022, RSUs that were anti-dilutive and excluded from the calculation of diluted net income per share totaled approximately 6.0 million shares, 6.7 million shares and 11.3 million shares, respectively.</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2073" w:name="Tc_ykVk8xVRSEe-tv_XnUKLHA_10_8"/>
      <w:bookmarkStart w:id="2074" w:name="Tc_ukPH52mzPEuS5ZlvN1NW9w_10_6"/>
      <w:bookmarkStart w:id="2075" w:name="Tc_5van-TyY20iGaSxSrO5KwQ_10_0"/>
      <w:bookmarkStart w:id="2076" w:name="Tc_BqFXHuIXbEWflHU-SNHvoQ_9_8"/>
      <w:bookmarkStart w:id="2077" w:name="Tc_EuHrTKpIDkmu9qE06X2plA_9_6"/>
      <w:bookmarkStart w:id="2078" w:name="Tc_AOXmwR37eUS3y-pd6RGpCg_9_0"/>
      <w:bookmarkStart w:id="2079" w:name="Tc__Hv0vmnWD0C3vay9ckvkew_8_8"/>
      <w:bookmarkStart w:id="2080" w:name="Tc_fMeH0eYr106wBjZQAQCotQ_8_6"/>
      <w:bookmarkStart w:id="2081" w:name="Tc_D-gOmIF1sk-92a3Ole5zHw_8_0"/>
      <w:bookmarkStart w:id="2082" w:name="Tc_xPQmepCJpU2dtV9KGvN1Qw_7_0"/>
      <w:bookmarkStart w:id="2083" w:name="Tc_50MMADAEIUiVYmc0lnacVQ_6_0"/>
      <w:bookmarkStart w:id="2084" w:name="Tc_UtA0DSNjfkqeqPJ3LjQR8w_5_10"/>
      <w:bookmarkStart w:id="2085" w:name="Tc_F24cV9BzK0yjl6Xg_6kYbw_5_8"/>
      <w:bookmarkStart w:id="2086" w:name="Tc_CGIEYb_WPkO-crbED03kDg_5_6"/>
      <w:bookmarkStart w:id="2087" w:name="Tc_81Rz1GkrSUa1ZcBZVUxcdQ_5_4"/>
      <w:bookmarkStart w:id="2088" w:name="Tc_UWp8l-ZvJE-5LsQk4U1e2A_5_2"/>
      <w:bookmarkStart w:id="2089" w:name="Tc_QdTqeNfj6U6AbPOYQ5Ec8A_4_10"/>
      <w:bookmarkStart w:id="2090" w:name="Tc_X3Y1ql-ZgkWtweZ5t4xiNg_4_8"/>
      <w:bookmarkStart w:id="2091" w:name="Tc_P-Yh_U6fqEC2TbqrMzw1iQ_4_6"/>
      <w:bookmarkStart w:id="2092" w:name="Tc_4nkED0NjUUaJ-wjPQiAdsQ_4_4"/>
      <w:bookmarkStart w:id="2093" w:name="Tc_6wKefgNqDUON26_ggi0W7w_4_2"/>
      <w:bookmarkStart w:id="2094" w:name="Tc_hjqt9EzMnUWtFieWzqR-Bg_3_8"/>
      <w:bookmarkStart w:id="2095" w:name="Tc_Y2DigkcamUCj-hQv8Chh7g_3_6"/>
      <w:bookmarkStart w:id="2096" w:name="Tc_S_AcYTEDcEmHx80-nPqGzw_3_4"/>
      <w:bookmarkStart w:id="2097" w:name="Tc_UCQudyxzZ0K1tS2kbCx29g_3_2"/>
      <w:bookmarkStart w:id="2098" w:name="Tc_a-WW6DpOB0aiQjjWK7whPA_2_8"/>
      <w:bookmarkStart w:id="2099" w:name="Tc_xVH3BugbjUKav2MhCrk4QA_2_6"/>
      <w:bookmarkStart w:id="2100" w:name="Tc_fdP1KwFY7U6Fi8BnKQOhyw_2_2"/>
      <w:bookmarkStart w:id="2101" w:name="Tc_mB63MRnTFUmzL--ts5IO-g_1_6"/>
      <w:bookmarkStart w:id="2102" w:name="Tc_LEmGrQXmDkO6ebHuoFG9Vg_1_2"/>
      <w:bookmarkStart w:id="2103" w:name="_32f64042_6087_4d16_967a_45a4138ae941"/>
      <w:bookmarkStart w:id="2104" w:name="Tc_ykVk8xVRSEe-tv_XnUKLHA_10_8"/>
      <w:bookmarkStart w:id="2105" w:name="Tc_ukPH52mzPEuS5ZlvN1NW9w_10_6"/>
      <w:bookmarkStart w:id="2106" w:name="Tc_5van-TyY20iGaSxSrO5KwQ_10_0"/>
      <w:bookmarkStart w:id="2107" w:name="Tc_BqFXHuIXbEWflHU-SNHvoQ_9_8"/>
      <w:bookmarkStart w:id="2108" w:name="Tc_EuHrTKpIDkmu9qE06X2plA_9_6"/>
      <w:bookmarkStart w:id="2109" w:name="Tc_AOXmwR37eUS3y-pd6RGpCg_9_0"/>
      <w:bookmarkStart w:id="2110" w:name="Tc__Hv0vmnWD0C3vay9ckvkew_8_8"/>
      <w:bookmarkStart w:id="2111" w:name="Tc_fMeH0eYr106wBjZQAQCotQ_8_6"/>
      <w:bookmarkStart w:id="2112" w:name="Tc_D-gOmIF1sk-92a3Ole5zHw_8_0"/>
      <w:bookmarkStart w:id="2113" w:name="Tc_xPQmepCJpU2dtV9KGvN1Qw_7_0"/>
      <w:bookmarkStart w:id="2114" w:name="Tc_50MMADAEIUiVYmc0lnacVQ_6_0"/>
      <w:bookmarkStart w:id="2115" w:name="Tc_UtA0DSNjfkqeqPJ3LjQR8w_5_10"/>
      <w:bookmarkStart w:id="2116" w:name="Tc_F24cV9BzK0yjl6Xg_6kYbw_5_8"/>
      <w:bookmarkStart w:id="2117" w:name="Tc_CGIEYb_WPkO-crbED03kDg_5_6"/>
      <w:bookmarkStart w:id="2118" w:name="Tc_81Rz1GkrSUa1ZcBZVUxcdQ_5_4"/>
      <w:bookmarkStart w:id="2119" w:name="Tc_UWp8l-ZvJE-5LsQk4U1e2A_5_2"/>
      <w:bookmarkStart w:id="2120" w:name="Tc_QdTqeNfj6U6AbPOYQ5Ec8A_4_10"/>
      <w:bookmarkStart w:id="2121" w:name="Tc_X3Y1ql-ZgkWtweZ5t4xiNg_4_8"/>
      <w:bookmarkStart w:id="2122" w:name="Tc_P-Yh_U6fqEC2TbqrMzw1iQ_4_6"/>
      <w:bookmarkStart w:id="2123" w:name="Tc_4nkED0NjUUaJ-wjPQiAdsQ_4_4"/>
      <w:bookmarkStart w:id="2124" w:name="Tc_6wKefgNqDUON26_ggi0W7w_4_2"/>
      <w:bookmarkStart w:id="2125" w:name="Tc_hjqt9EzMnUWtFieWzqR-Bg_3_8"/>
      <w:bookmarkStart w:id="2126" w:name="Tc_Y2DigkcamUCj-hQv8Chh7g_3_6"/>
      <w:bookmarkStart w:id="2127" w:name="Tc_S_AcYTEDcEmHx80-nPqGzw_3_4"/>
      <w:bookmarkStart w:id="2128" w:name="Tc_UCQudyxzZ0K1tS2kbCx29g_3_2"/>
      <w:bookmarkStart w:id="2129" w:name="Tc_a-WW6DpOB0aiQjjWK7whPA_2_8"/>
      <w:bookmarkStart w:id="2130" w:name="Tc_xVH3BugbjUKav2MhCrk4QA_2_6"/>
      <w:bookmarkStart w:id="2131" w:name="Tc_fdP1KwFY7U6Fi8BnKQOhyw_2_2"/>
      <w:bookmarkStart w:id="2132" w:name="Tc_mB63MRnTFUmzL--ts5IO-g_1_6"/>
      <w:bookmarkStart w:id="2133" w:name="Tc_LEmGrQXmDkO6ebHuoFG9Vg_1_2"/>
      <w:bookmarkStart w:id="2134" w:name="_32f64042_6087_4d16_967a_45a4138ae941"/>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p>
    <w:tbl>
      <w:tblPr>
        <w:tblW w:w="3302" w:type="dxa"/>
        <w:jc w:val="left"/>
        <w:tblInd w:w="0" w:type="dxa"/>
        <w:tblCellMar>
          <w:top w:w="0" w:type="dxa"/>
          <w:left w:w="0" w:type="dxa"/>
          <w:bottom w:w="0" w:type="dxa"/>
          <w:right w:w="0" w:type="dxa"/>
        </w:tblCellMar>
      </w:tblPr>
      <w:tblGrid>
        <w:gridCol w:w="376"/>
        <w:gridCol w:w="292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24.</w:t>
            </w:r>
          </w:p>
        </w:tc>
        <w:tc>
          <w:tcPr>
            <w:tcW w:w="292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tbl>
      <w:tblPr>
        <w:tblW w:w="1682" w:type="dxa"/>
        <w:jc w:val="left"/>
        <w:tblInd w:w="0" w:type="dxa"/>
        <w:tblCellMar>
          <w:top w:w="0" w:type="dxa"/>
          <w:left w:w="0" w:type="dxa"/>
          <w:bottom w:w="0" w:type="dxa"/>
          <w:right w:w="0" w:type="dxa"/>
        </w:tblCellMar>
      </w:tblPr>
      <w:tblGrid>
        <w:gridCol w:w="346"/>
        <w:gridCol w:w="133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33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Commitments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future minimum payment for server and bandwidth service fee commitments, capital commitments, royalties and other expenditures commitments related to licensed contents, as well as other commitments related to office machines and services purchases, were as follows (in thousands): </w:t>
      </w:r>
    </w:p>
    <w:p>
      <w:pPr>
        <w:pStyle w:val="TextBody"/>
        <w:spacing w:before="0" w:after="0"/>
        <w:ind w:left="0" w:right="0" w:hanging="0"/>
        <w:jc w:val="both"/>
        <w:rPr/>
      </w:pPr>
      <w:r>
        <w:rPr/>
        <w:t>​</w:t>
      </w:r>
    </w:p>
    <w:tbl>
      <w:tblPr>
        <w:tblW w:w="8791" w:type="dxa"/>
        <w:jc w:val="left"/>
        <w:tblInd w:w="0" w:type="dxa"/>
        <w:tblCellMar>
          <w:top w:w="0" w:type="dxa"/>
          <w:left w:w="0" w:type="dxa"/>
          <w:bottom w:w="0" w:type="dxa"/>
          <w:right w:w="0" w:type="dxa"/>
        </w:tblCellMar>
      </w:tblPr>
      <w:tblGrid>
        <w:gridCol w:w="1231"/>
        <w:gridCol w:w="326"/>
        <w:gridCol w:w="1111"/>
        <w:gridCol w:w="326"/>
        <w:gridCol w:w="1111"/>
        <w:gridCol w:w="326"/>
        <w:gridCol w:w="1396"/>
        <w:gridCol w:w="326"/>
        <w:gridCol w:w="1276"/>
        <w:gridCol w:w="326"/>
        <w:gridCol w:w="1036"/>
      </w:tblGrid>
      <w:tr>
        <w:trPr/>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781685" cy="175260"/>
                      <wp:effectExtent l="0" t="0" r="0" b="0"/>
                      <wp:wrapNone/>
                      <wp:docPr id="551" name="Frame550"/>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2" name="Frame5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705485" cy="175260"/>
                      <wp:effectExtent l="0" t="0" r="0" b="0"/>
                      <wp:wrapNone/>
                      <wp:docPr id="553" name="Frame552"/>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4" name="Frame5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705485" cy="175260"/>
                      <wp:effectExtent l="0" t="0" r="0" b="0"/>
                      <wp:wrapNone/>
                      <wp:docPr id="555" name="Frame554"/>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6" name="Frame5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886460" cy="175260"/>
                      <wp:effectExtent l="0" t="0" r="0" b="0"/>
                      <wp:wrapNone/>
                      <wp:docPr id="557" name="Frame556"/>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8" name="Frame5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810260" cy="175260"/>
                      <wp:effectExtent l="0" t="0" r="0" b="0"/>
                      <wp:wrapNone/>
                      <wp:docPr id="559" name="Frame558"/>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0" name="Frame5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57860" cy="175260"/>
                      <wp:effectExtent l="0" t="0" r="0" b="0"/>
                      <wp:wrapNone/>
                      <wp:docPr id="561" name="Frame56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Server and</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Royalties and </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Bandwidth</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Expenditure for </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Machines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 Fee</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Licensed Content </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553,533</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1,971,894</w:t>
            </w:r>
          </w:p>
        </w:tc>
        <w:tc>
          <w:tcPr>
            <w:tcW w:w="326" w:type="dxa"/>
            <w:tcBorders/>
            <w:shd w:fill="CCEEFF" w:val="clear"/>
            <w:vAlign w:val="center"/>
          </w:tcPr>
          <w:p>
            <w:pPr>
              <w:pStyle w:val="TableContents"/>
              <w:spacing w:before="0" w:after="0"/>
              <w:ind w:left="0" w:right="0" w:hanging="0"/>
              <w:rPr/>
            </w:pPr>
            <w:r>
              <w:rPr/>
              <w:t>​</w:t>
            </w:r>
          </w:p>
        </w:tc>
        <w:tc>
          <w:tcPr>
            <w:tcW w:w="13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1,034,633</w:t>
            </w:r>
          </w:p>
        </w:tc>
        <w:tc>
          <w:tcPr>
            <w:tcW w:w="326"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313,287</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3,873,347</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341,458</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756,196</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18,111</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17,098</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1,132,863</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244,584</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206,918</w:t>
            </w:r>
          </w:p>
        </w:tc>
        <w:tc>
          <w:tcPr>
            <w:tcW w:w="326" w:type="dxa"/>
            <w:tcBorders/>
            <w:shd w:fill="CCEEFF" w:val="clear"/>
            <w:vAlign w:val="center"/>
          </w:tcPr>
          <w:p>
            <w:pPr>
              <w:pStyle w:val="TableContents"/>
              <w:spacing w:before="0" w:after="0"/>
              <w:ind w:left="0" w:right="0" w:hanging="0"/>
              <w:rPr/>
            </w:pPr>
            <w:r>
              <w:rPr/>
              <w:t>​</w:t>
            </w:r>
          </w:p>
        </w:tc>
        <w:tc>
          <w:tcPr>
            <w:tcW w:w="13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451,502</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103,392</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111,562</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214,954</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Beyond 2026</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31,970</w:t>
            </w:r>
          </w:p>
        </w:tc>
        <w:tc>
          <w:tcPr>
            <w:tcW w:w="326" w:type="dxa"/>
            <w:tcBorders/>
            <w:shd w:fill="CCEEFF" w:val="clear"/>
            <w:vAlign w:val="center"/>
          </w:tcPr>
          <w:p>
            <w:pPr>
              <w:pStyle w:val="TableContents"/>
              <w:spacing w:before="0" w:after="0"/>
              <w:ind w:left="0" w:right="0" w:hanging="0"/>
              <w:rPr/>
            </w:pPr>
            <w:r>
              <w:rPr/>
              <w:t>​</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52,146</w:t>
            </w:r>
          </w:p>
        </w:tc>
        <w:tc>
          <w:tcPr>
            <w:tcW w:w="326" w:type="dxa"/>
            <w:tcBorders/>
            <w:shd w:fill="CCEEFF" w:val="clear"/>
            <w:vAlign w:val="center"/>
          </w:tcPr>
          <w:p>
            <w:pPr>
              <w:pStyle w:val="TableContents"/>
              <w:spacing w:before="0" w:after="0"/>
              <w:ind w:left="0" w:right="0" w:hanging="0"/>
              <w:rPr/>
            </w:pPr>
            <w:r>
              <w:rPr/>
              <w:t>​</w:t>
            </w:r>
          </w:p>
        </w:tc>
        <w:tc>
          <w:tcPr>
            <w:tcW w:w="13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84,116</w:t>
            </w:r>
          </w:p>
        </w:tc>
      </w:tr>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1,274,937</w:t>
            </w:r>
          </w:p>
        </w:tc>
        <w:tc>
          <w:tcPr>
            <w:tcW w:w="326" w:type="dxa"/>
            <w:tcBorders/>
            <w:shd w:fill="auto" w:val="clear"/>
            <w:vAlign w:val="center"/>
          </w:tcPr>
          <w:p>
            <w:pPr>
              <w:pStyle w:val="TableContents"/>
              <w:spacing w:before="0" w:after="0"/>
              <w:ind w:left="0" w:right="0" w:hanging="0"/>
              <w:rPr/>
            </w:pPr>
            <w:r>
              <w:rPr/>
              <w:t>​</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3,098,716</w:t>
            </w:r>
          </w:p>
        </w:tc>
        <w:tc>
          <w:tcPr>
            <w:tcW w:w="326" w:type="dxa"/>
            <w:tcBorders/>
            <w:shd w:fill="auto" w:val="clear"/>
            <w:vAlign w:val="center"/>
          </w:tcPr>
          <w:p>
            <w:pPr>
              <w:pStyle w:val="TableContents"/>
              <w:spacing w:before="0" w:after="0"/>
              <w:ind w:left="0" w:right="0" w:hanging="0"/>
              <w:rPr/>
            </w:pPr>
            <w:r>
              <w:rPr/>
              <w:t>​</w:t>
            </w:r>
          </w:p>
        </w:tc>
        <w:tc>
          <w:tcPr>
            <w:tcW w:w="13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1,052,744</w:t>
            </w:r>
          </w:p>
        </w:tc>
        <w:tc>
          <w:tcPr>
            <w:tcW w:w="326" w:type="dxa"/>
            <w:tcBorders/>
            <w:shd w:fill="auto" w:val="clear"/>
            <w:vAlign w:val="center"/>
          </w:tcPr>
          <w:p>
            <w:pPr>
              <w:pStyle w:val="TableContents"/>
              <w:spacing w:before="0" w:after="0"/>
              <w:ind w:left="0" w:right="0" w:hanging="0"/>
              <w:rPr/>
            </w:pPr>
            <w:r>
              <w:rPr/>
              <w:t>​</w:t>
            </w:r>
          </w:p>
        </w:tc>
        <w:tc>
          <w:tcPr>
            <w:tcW w:w="12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330,385</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5,756,782</w:t>
            </w:r>
          </w:p>
        </w:tc>
      </w:tr>
    </w:tbl>
    <w:p>
      <w:pPr>
        <w:pStyle w:val="TextBody"/>
        <w:spacing w:before="0" w:after="0"/>
        <w:ind w:left="0" w:right="0" w:hanging="0"/>
        <w:jc w:val="both"/>
        <w:rPr/>
      </w:pPr>
      <w:r>
        <w:rPr/>
        <w:t>​</w:t>
      </w:r>
    </w:p>
    <w:tbl>
      <w:tblPr>
        <w:tblW w:w="1352" w:type="dxa"/>
        <w:jc w:val="left"/>
        <w:tblInd w:w="0" w:type="dxa"/>
        <w:tblCellMar>
          <w:top w:w="0" w:type="dxa"/>
          <w:left w:w="0" w:type="dxa"/>
          <w:bottom w:w="0" w:type="dxa"/>
          <w:right w:w="0" w:type="dxa"/>
        </w:tblCellMar>
      </w:tblPr>
      <w:tblGrid>
        <w:gridCol w:w="346"/>
        <w:gridCol w:w="100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0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Litigation</w:t>
            </w:r>
          </w:p>
        </w:tc>
      </w:tr>
    </w:tbl>
    <w:p>
      <w:pPr>
        <w:pStyle w:val="TextBody"/>
        <w:pBdr/>
        <w:spacing w:before="0" w:after="240"/>
        <w:ind w:left="0" w:right="0" w:hanging="49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2021 and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the Group’s mobile games, Rules of Survival and Knives Out, infringed PUBG’s copyrights and trade dress in their competing game, Player Unknown’s Battlegrounds. On March 11, 2019, the Group entered into a settlement agreement with PUBG, and the lawsuit was dismissed. On October 15, 2019, PUBG filed a second lawsuit against the same NetEase defendants, also in the U.S. District Court for the Northern District of California, claiming the Group had allegedly breached the settlement agreement. On March 3, 2020, the court dismissed PUBG’s new lawsuit, without prejudice, for lack of subject matter jurisdiction. On March 4, 2020, the Group initiated a declaratory judgment action against PUBG in the Superior Court of California for the County of San Mateo, requesting a declaration that the Group had not breached the settlement agreement. On March 13, 2020, PUBG filed a cross claim, realleging that the Group breached the settlement agreement. The court has set the trial date on May 1, 2023, and the litigation remains ongoing.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367" w:type="dxa"/>
        <w:jc w:val="left"/>
        <w:tblInd w:w="0" w:type="dxa"/>
        <w:tblCellMar>
          <w:top w:w="0" w:type="dxa"/>
          <w:left w:w="0" w:type="dxa"/>
          <w:bottom w:w="0" w:type="dxa"/>
          <w:right w:w="0" w:type="dxa"/>
        </w:tblCellMar>
      </w:tblPr>
      <w:tblGrid>
        <w:gridCol w:w="376"/>
        <w:gridCol w:w="99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25.</w:t>
            </w:r>
          </w:p>
        </w:tc>
        <w:tc>
          <w:tcPr>
            <w:tcW w:w="9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Dividends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Quarterly Dividend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Company’s current dividend policy, 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 Prior to the Company’s current dividend policy, the Company’s board of directors determined that quarterly dividends for each quarter in 2020 and 2021 was set at an amount equivalent to approximately 20%-30% of the Company’s anticipated net income after tax in that fiscal quarter.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Dividends are recognized when declared. There is no significant dividend payable as of December 31, 2021 and 2022, respectively. The cash dividend declared related to the net profits of fiscal year 2021 and fiscal year 2022 was RMB4,931.0 million and RMB6,252.5 million (US$906.5 million) in total, respectively.</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2957" w:type="dxa"/>
        <w:jc w:val="left"/>
        <w:tblInd w:w="0" w:type="dxa"/>
        <w:tblCellMar>
          <w:top w:w="0" w:type="dxa"/>
          <w:left w:w="0" w:type="dxa"/>
          <w:bottom w:w="0" w:type="dxa"/>
          <w:right w:w="0" w:type="dxa"/>
        </w:tblCellMar>
      </w:tblPr>
      <w:tblGrid>
        <w:gridCol w:w="376"/>
        <w:gridCol w:w="258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26.</w:t>
            </w:r>
          </w:p>
        </w:tc>
        <w:tc>
          <w:tcPr>
            <w:tcW w:w="25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Share Repurchase Programs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2020, the Company announced that its board of directors had approved a share repurchase program of up to US$1.0 billion of the Company’s outstanding ADSs for a period not to exceed 12 months. On May 19, 2020, the Company announced that its board of directors approved an amendment to its share repurchase program, authorizing the repurchase of up to an additional US$1.0 billion of the Company’s outstanding ADSs. Under the terms of this program, the Company may repurchase its issued and outstanding ADSs in open-market transactions on the NASDAQ Global Select Market. As of expiration date of the program, the Company has repurchased approximately 22.8 million ADSs (equivalent to 114.0 million ordinary shares) for approximately US$1,820.1 million under this program.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 In August 2021, the Company announced that its board of directors had approved an amendment to such program to increase the total authorized repurchase amount to US$3.0 billion. As of January 9, 2023, this share repurchase program was completed with the Company having purchased an aggregate of approximately 33.6 million ADSs for nearly US$3.0 billion.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2022, the Company announced that its board of directors had approved a new share repurchase program of up to US$5.0 billion of the Company’s ADSs and ordinary shares in open market transactions. This new share repurchase program commenced on January 10, 2023 following the completion of the prior program and will be in effect for a period not to exceed 36 months from such date.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August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December 31, 2022, approximately 2.7 million ADSs had been purchased under this program for a total cost of US$22.0 million.</w:t>
      </w:r>
    </w:p>
    <w:p>
      <w:pPr>
        <w:pStyle w:val="TextBody"/>
        <w:spacing w:before="0" w:after="0"/>
        <w:ind w:left="0" w:right="0" w:hanging="0"/>
        <w:jc w:val="both"/>
        <w:rPr/>
      </w:pPr>
      <w:r>
        <w:rPr/>
        <w:t>​</w:t>
      </w:r>
    </w:p>
    <w:tbl>
      <w:tblPr>
        <w:tblW w:w="2852" w:type="dxa"/>
        <w:jc w:val="left"/>
        <w:tblInd w:w="0" w:type="dxa"/>
        <w:tblCellMar>
          <w:top w:w="0" w:type="dxa"/>
          <w:left w:w="0" w:type="dxa"/>
          <w:bottom w:w="0" w:type="dxa"/>
          <w:right w:w="0" w:type="dxa"/>
        </w:tblCellMar>
      </w:tblPr>
      <w:tblGrid>
        <w:gridCol w:w="376"/>
        <w:gridCol w:w="2476"/>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27.</w:t>
            </w:r>
          </w:p>
        </w:tc>
        <w:tc>
          <w:tcPr>
            <w:tcW w:w="24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Group had no material transactions with related parties for the year ended December 31, 2020, 2021 and 2022, and no material related parties’ balances as of December 31,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135" w:name="Tc_p4LOgnE5Xkaa__ELzA7MaA_23_0"/>
      <w:bookmarkStart w:id="2136" w:name="Tc_A9WMPq0vukqCiGfB2BKwMQ_22_0"/>
      <w:bookmarkStart w:id="2137" w:name="Tc_ATUS2BMtB0SDW7gFsgLcpg_21_0"/>
      <w:bookmarkStart w:id="2138" w:name="Tc_WijHW0Bt1kOh8Hd5O97uaw_20_0"/>
      <w:bookmarkStart w:id="2139" w:name="Tc_YGPTCqfNsEKRRcJbg0bS0g_19_0"/>
      <w:bookmarkStart w:id="2140" w:name="Tc_5Df2Sgpqw0CYETYUHm9lGQ_18_0"/>
      <w:bookmarkStart w:id="2141" w:name="Tc_aW0NrNlpY0ulvFcBSEl30Q_16_0"/>
      <w:bookmarkStart w:id="2142" w:name="Tc_LzFaOS6nf0CeaxQTgf-U8A_15_0"/>
      <w:bookmarkStart w:id="2143" w:name="Tc_e9SHL0C1f0CNmjx3_yuG_g_14_0"/>
      <w:bookmarkStart w:id="2144" w:name="Tc_evMBUyywC0KJAIPG5iyYxw_13_0"/>
      <w:bookmarkStart w:id="2145" w:name="Tc_wPET2IexTUq6blGVUcJ67Q_12_0"/>
      <w:bookmarkStart w:id="2146" w:name="Tc_CG0Ga6RkbEuMjhISXZE4iQ_11_0"/>
      <w:bookmarkStart w:id="2147" w:name="Tc_IQrsZcWyAk64uu7BsE6sdw_9_0"/>
      <w:bookmarkStart w:id="2148" w:name="Tc_Hdk7vOTOOUSH7Zse2vB6IA_8_0"/>
      <w:bookmarkStart w:id="2149" w:name="Tc_m24gTddomkSVA6z9ZNWGTA_7_0"/>
      <w:bookmarkStart w:id="2150" w:name="Tc_9fffxUmZ5E22z806qBw3pQ_6_0"/>
      <w:bookmarkStart w:id="2151" w:name="Tc_cIhfWynYjEqu0w4pd8G9ag_5_0"/>
      <w:bookmarkStart w:id="2152" w:name="Tc_UL1T8sZUBky9dYcaJgHVNA_4_0"/>
      <w:bookmarkStart w:id="2153" w:name="Tc_LHImERXUQ0KllVYI6EsekA_3_6"/>
      <w:bookmarkStart w:id="2154" w:name="Tc_-PaulMo1JkmHvLUPyvaVEw_3_4"/>
      <w:bookmarkStart w:id="2155" w:name="Tc_Lndt9Sv2_E-x0d7rNynVTA_3_2"/>
      <w:bookmarkStart w:id="2156" w:name="Tc_PYC3jpvGS0CcWzWZQzGmcw_2_6"/>
      <w:bookmarkStart w:id="2157" w:name="Tc_vUL_v0fIpU-J4w4m8Iz3Zw_2_4"/>
      <w:bookmarkStart w:id="2158" w:name="Tc_j25et8Hkj0mOdjPD8CvMTg_2_2"/>
      <w:bookmarkStart w:id="2159" w:name="Tc_mgkCQ5-pNkOJM-ipxf4LVg_1_2"/>
      <w:bookmarkStart w:id="2160" w:name="Tc_p4LOgnE5Xkaa__ELzA7MaA_23_0"/>
      <w:bookmarkStart w:id="2161" w:name="Tc_A9WMPq0vukqCiGfB2BKwMQ_22_0"/>
      <w:bookmarkStart w:id="2162" w:name="Tc_ATUS2BMtB0SDW7gFsgLcpg_21_0"/>
      <w:bookmarkStart w:id="2163" w:name="Tc_WijHW0Bt1kOh8Hd5O97uaw_20_0"/>
      <w:bookmarkStart w:id="2164" w:name="Tc_YGPTCqfNsEKRRcJbg0bS0g_19_0"/>
      <w:bookmarkStart w:id="2165" w:name="Tc_5Df2Sgpqw0CYETYUHm9lGQ_18_0"/>
      <w:bookmarkStart w:id="2166" w:name="Tc_aW0NrNlpY0ulvFcBSEl30Q_16_0"/>
      <w:bookmarkStart w:id="2167" w:name="Tc_LzFaOS6nf0CeaxQTgf-U8A_15_0"/>
      <w:bookmarkStart w:id="2168" w:name="Tc_e9SHL0C1f0CNmjx3_yuG_g_14_0"/>
      <w:bookmarkStart w:id="2169" w:name="Tc_evMBUyywC0KJAIPG5iyYxw_13_0"/>
      <w:bookmarkStart w:id="2170" w:name="Tc_wPET2IexTUq6blGVUcJ67Q_12_0"/>
      <w:bookmarkStart w:id="2171" w:name="Tc_CG0Ga6RkbEuMjhISXZE4iQ_11_0"/>
      <w:bookmarkStart w:id="2172" w:name="Tc_IQrsZcWyAk64uu7BsE6sdw_9_0"/>
      <w:bookmarkStart w:id="2173" w:name="Tc_Hdk7vOTOOUSH7Zse2vB6IA_8_0"/>
      <w:bookmarkStart w:id="2174" w:name="Tc_m24gTddomkSVA6z9ZNWGTA_7_0"/>
      <w:bookmarkStart w:id="2175" w:name="Tc_9fffxUmZ5E22z806qBw3pQ_6_0"/>
      <w:bookmarkStart w:id="2176" w:name="Tc_cIhfWynYjEqu0w4pd8G9ag_5_0"/>
      <w:bookmarkStart w:id="2177" w:name="Tc_UL1T8sZUBky9dYcaJgHVNA_4_0"/>
      <w:bookmarkStart w:id="2178" w:name="Tc_LHImERXUQ0KllVYI6EsekA_3_6"/>
      <w:bookmarkStart w:id="2179" w:name="Tc_-PaulMo1JkmHvLUPyvaVEw_3_4"/>
      <w:bookmarkStart w:id="2180" w:name="Tc_Lndt9Sv2_E-x0d7rNynVTA_3_2"/>
      <w:bookmarkStart w:id="2181" w:name="Tc_PYC3jpvGS0CcWzWZQzGmcw_2_6"/>
      <w:bookmarkStart w:id="2182" w:name="Tc_vUL_v0fIpU-J4w4m8Iz3Zw_2_4"/>
      <w:bookmarkStart w:id="2183" w:name="Tc_j25et8Hkj0mOdjPD8CvMTg_2_2"/>
      <w:bookmarkStart w:id="2184" w:name="Tc_mgkCQ5-pNkOJM-ipxf4LVg_1_2"/>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p>
    <w:tbl>
      <w:tblPr>
        <w:tblW w:w="2327" w:type="dxa"/>
        <w:jc w:val="left"/>
        <w:tblInd w:w="0" w:type="dxa"/>
        <w:tblCellMar>
          <w:top w:w="0" w:type="dxa"/>
          <w:left w:w="0" w:type="dxa"/>
          <w:bottom w:w="0" w:type="dxa"/>
          <w:right w:w="0" w:type="dxa"/>
        </w:tblCellMar>
      </w:tblPr>
      <w:tblGrid>
        <w:gridCol w:w="376"/>
        <w:gridCol w:w="1951"/>
      </w:tblGrid>
      <w:tr>
        <w:trPr/>
        <w:tc>
          <w:tcPr>
            <w:tcW w:w="3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28.</w:t>
            </w:r>
          </w:p>
        </w:tc>
        <w:tc>
          <w:tcPr>
            <w:tcW w:w="19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tbl>
      <w:tblPr>
        <w:tblW w:w="2492" w:type="dxa"/>
        <w:jc w:val="left"/>
        <w:tblInd w:w="0" w:type="dxa"/>
        <w:tblCellMar>
          <w:top w:w="0" w:type="dxa"/>
          <w:left w:w="0" w:type="dxa"/>
          <w:bottom w:w="0" w:type="dxa"/>
          <w:right w:w="0" w:type="dxa"/>
        </w:tblCellMar>
      </w:tblPr>
      <w:tblGrid>
        <w:gridCol w:w="346"/>
        <w:gridCol w:w="2146"/>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21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Description of segments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in the fourth quarter of 2021, the Group changed its segment disclosure to separately report the results of Cloud Music. Effective in the second quarter of 2022, the Company renamed its “online game services” segment as “games and related value-added services,” and transferred certain business lines that are related or ancillary to its games from “innovative businesses and others” to “games and related value-added services,” including the NetEase CC live streaming service and other value-added services. As a result, the Group now reports segments as games and related value-added services, Youdao, Cloud Music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recast prior years segment information, to conform to current year presentation.</w:t>
      </w:r>
    </w:p>
    <w:tbl>
      <w:tblPr>
        <w:tblW w:w="1637" w:type="dxa"/>
        <w:jc w:val="left"/>
        <w:tblInd w:w="0" w:type="dxa"/>
        <w:tblCellMar>
          <w:top w:w="0" w:type="dxa"/>
          <w:left w:w="0" w:type="dxa"/>
          <w:bottom w:w="0" w:type="dxa"/>
          <w:right w:w="0" w:type="dxa"/>
        </w:tblCellMar>
      </w:tblPr>
      <w:tblGrid>
        <w:gridCol w:w="346"/>
        <w:gridCol w:w="1291"/>
      </w:tblGrid>
      <w:tr>
        <w:trPr/>
        <w:tc>
          <w:tcPr>
            <w:tcW w:w="3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2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Segment data</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provides a summary of the Group’s operating segment results for the years ended December 31, 2020, 2021 and 2022.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2020, 2021 and 2022 (in thousands).</w:t>
      </w:r>
    </w:p>
    <w:p>
      <w:pPr>
        <w:pStyle w:val="TextBody"/>
        <w:spacing w:before="0" w:after="0"/>
        <w:ind w:left="0" w:right="0" w:hanging="0"/>
        <w:jc w:val="both"/>
        <w:rPr/>
      </w:pPr>
      <w:r>
        <w:rPr/>
        <w:t>​</w:t>
      </w:r>
    </w:p>
    <w:tbl>
      <w:tblPr>
        <w:tblW w:w="7837" w:type="dxa"/>
        <w:jc w:val="left"/>
        <w:tblInd w:w="0" w:type="dxa"/>
        <w:tblCellMar>
          <w:top w:w="0" w:type="dxa"/>
          <w:left w:w="0" w:type="dxa"/>
          <w:bottom w:w="0" w:type="dxa"/>
          <w:right w:w="0" w:type="dxa"/>
        </w:tblCellMar>
      </w:tblPr>
      <w:tblGrid>
        <w:gridCol w:w="3346"/>
        <w:gridCol w:w="326"/>
        <w:gridCol w:w="1156"/>
        <w:gridCol w:w="326"/>
        <w:gridCol w:w="1156"/>
        <w:gridCol w:w="326"/>
        <w:gridCol w:w="1201"/>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24710" cy="175260"/>
                      <wp:effectExtent l="0" t="0" r="0" b="0"/>
                      <wp:wrapNone/>
                      <wp:docPr id="562" name="Frame561"/>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3" name="Frame5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34060" cy="175260"/>
                      <wp:effectExtent l="0" t="0" r="0" b="0"/>
                      <wp:wrapNone/>
                      <wp:docPr id="564" name="Frame56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5" name="Frame5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734060" cy="175260"/>
                      <wp:effectExtent l="0" t="0" r="0" b="0"/>
                      <wp:wrapNone/>
                      <wp:docPr id="566" name="Frame56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7"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762635" cy="175260"/>
                      <wp:effectExtent l="0" t="0" r="0" b="0"/>
                      <wp:wrapNone/>
                      <wp:docPr id="568" name="Frame567"/>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3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41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both"/>
              <w:rPr/>
            </w:pPr>
            <w:r>
              <w:rPr/>
              <w:t>​</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58,719,895</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3,167,515</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4,895,731</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6,883,992</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net revenues</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73,667,133</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r>
      <w:tr>
        <w:trPr/>
        <w:tc>
          <w:tcPr>
            <w:tcW w:w="334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pPr>
            <w:r>
              <w:rPr/>
              <w:t>​</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pPr>
            <w:r>
              <w:rPr/>
              <w:t>​</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(22,730,558)</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Youdao</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(1,713,229)</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(5,491,066)</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(4,748,878)</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(34,683,731)</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r>
      <w:tr>
        <w:trPr/>
        <w:tc>
          <w:tcPr>
            <w:tcW w:w="33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pPr>
            <w:r>
              <w:rPr/>
              <w:t>​</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pPr>
            <w:r>
              <w:rPr/>
              <w:t>​</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35,989,337</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41,811,876</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46,782,052</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1,454,286</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2,906,211</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2,582,444</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 Music</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(595,335)</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142,674</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1,293,118</w:t>
            </w:r>
          </w:p>
        </w:tc>
      </w:tr>
      <w:tr>
        <w:trPr/>
        <w:tc>
          <w:tcPr>
            <w:tcW w:w="33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spacing w:before="0" w:after="0"/>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2,135,114</w:t>
            </w:r>
          </w:p>
        </w:tc>
        <w:tc>
          <w:tcPr>
            <w:tcW w:w="326" w:type="dxa"/>
            <w:tcBorders/>
            <w:shd w:fill="CCEEFF" w:val="clear"/>
            <w:vAlign w:val="center"/>
          </w:tcPr>
          <w:p>
            <w:pPr>
              <w:pStyle w:val="TableContents"/>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2,110,040</w:t>
            </w:r>
          </w:p>
        </w:tc>
        <w:tc>
          <w:tcPr>
            <w:tcW w:w="326" w:type="dxa"/>
            <w:tcBorders/>
            <w:shd w:fill="CCEEFF" w:val="clear"/>
            <w:vAlign w:val="center"/>
          </w:tcPr>
          <w:p>
            <w:pPr>
              <w:pStyle w:val="TableContents"/>
              <w:spacing w:before="0" w:after="0"/>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2,108,512</w:t>
            </w:r>
          </w:p>
        </w:tc>
      </w:tr>
      <w:tr>
        <w:trPr/>
        <w:tc>
          <w:tcPr>
            <w:tcW w:w="3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gross profit</w:t>
            </w:r>
          </w:p>
        </w:tc>
        <w:tc>
          <w:tcPr>
            <w:tcW w:w="326" w:type="dxa"/>
            <w:tcBorders/>
            <w:shd w:fill="auto" w:val="clear"/>
            <w:vAlign w:val="center"/>
          </w:tcPr>
          <w:p>
            <w:pPr>
              <w:pStyle w:val="TableContents"/>
              <w:spacing w:before="0" w:after="0"/>
              <w:ind w:left="0" w:right="0" w:hanging="0"/>
              <w:jc w:val="both"/>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38,983,402</w:t>
            </w:r>
          </w:p>
        </w:tc>
        <w:tc>
          <w:tcPr>
            <w:tcW w:w="326" w:type="dxa"/>
            <w:tcBorders/>
            <w:shd w:fill="auto" w:val="clear"/>
            <w:vAlign w:val="center"/>
          </w:tcPr>
          <w:p>
            <w:pPr>
              <w:pStyle w:val="TableContents"/>
              <w:spacing w:before="0" w:after="0"/>
              <w:ind w:left="0" w:right="0" w:hanging="0"/>
              <w:jc w:val="both"/>
              <w:rPr/>
            </w:pPr>
            <w:r>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26" w:type="dxa"/>
            <w:tcBorders/>
            <w:shd w:fill="auto" w:val="clear"/>
            <w:vAlign w:val="center"/>
          </w:tcPr>
          <w:p>
            <w:pPr>
              <w:pStyle w:val="TableContents"/>
              <w:spacing w:before="0" w:after="0"/>
              <w:ind w:left="0" w:right="0" w:hanging="0"/>
              <w:jc w:val="both"/>
              <w:rPr/>
            </w:pPr>
            <w:r>
              <w:rPr/>
              <w:t>​</w:t>
            </w:r>
          </w:p>
        </w:tc>
        <w:tc>
          <w:tcPr>
            <w:tcW w:w="12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52,766,126</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2185" w:name="Tc_ZJzxzJn3z0y2D-IoaqbyUg_8_0"/>
      <w:bookmarkStart w:id="2186" w:name="Tc_PczVKhDr4EWTUbgp_6zO3A_7_0"/>
      <w:bookmarkStart w:id="2187" w:name="Tc_hJarha-2AUqudFJzx438Kg_6_0"/>
      <w:bookmarkStart w:id="2188" w:name="Tc_nHgcnqGWx066tLy1pdjE6g_5_0"/>
      <w:bookmarkStart w:id="2189" w:name="Tc_-ljzhO2p7kyc2ngiH1XC-Q_4_0"/>
      <w:bookmarkStart w:id="2190" w:name="Tc_NcI0GWziSEGQIXKKWSE4rQ_3_6"/>
      <w:bookmarkStart w:id="2191" w:name="Tc_YvLWxdnqbk2gKBOUSfFM_A_3_4"/>
      <w:bookmarkStart w:id="2192" w:name="Tc_uB4NEflEi0GAEilNmMrkoA_3_2"/>
      <w:bookmarkStart w:id="2193" w:name="Tc_rlcvQd1L70OspVzm3yxw0Q_2_6"/>
      <w:bookmarkStart w:id="2194" w:name="Tc_Cyz2AtAo00OuJfhaZkqNTw_2_4"/>
      <w:bookmarkStart w:id="2195" w:name="Tc_L1bk-UvUEUe3CFVf4WxLLg_2_2"/>
      <w:bookmarkStart w:id="2196" w:name="Tc_OZ4mZ4UO1k-lDWedV2qsNQ_1_2"/>
      <w:bookmarkStart w:id="2197" w:name="_e08540c5_1495_43a9_8fd8_9181fb200483"/>
      <w:bookmarkStart w:id="2198" w:name="Tc_sJJhVwlZAkCk1quUQW0i3g_6_0"/>
      <w:bookmarkStart w:id="2199" w:name="Tc_7ebz-fEr_ku2cUsjJWiS6A_5_0"/>
      <w:bookmarkStart w:id="2200" w:name="Tc_Smwm-oU5d0Sz3jTDcfxLBg_4_0"/>
      <w:bookmarkStart w:id="2201" w:name="Tc_A_RNaRInkE-25fvIgXAuEA_3_6"/>
      <w:bookmarkStart w:id="2202" w:name="Tc_Slt_F0eUVEKswV6NCRDRZA_3_4"/>
      <w:bookmarkStart w:id="2203" w:name="Tc_OEWZJ-k8Jk6DZlIUK_SgSA_3_2"/>
      <w:bookmarkStart w:id="2204" w:name="Tc_nFue8uulD0qPGx87oErwDA_2_6"/>
      <w:bookmarkStart w:id="2205" w:name="Tc_JGtY4iYEdE2g9aLf_u-QBg_2_4"/>
      <w:bookmarkStart w:id="2206" w:name="Tc_HEuwE15pdUWxRVt-VBxM4Q_2_2"/>
      <w:bookmarkStart w:id="2207" w:name="Tc_8c4Ku0CTKUOWshyXsfz2Ew_1_2"/>
      <w:bookmarkStart w:id="2208" w:name="_d308225b_c94b_4bea_b0ab_b77a4c67ad4b"/>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r>
        <w:rPr>
          <w:rFonts w:ascii="Times New Roman;Times;serif" w:hAnsi="Times New Roman;Times;serif"/>
          <w:sz w:val="20"/>
        </w:rPr>
        <w:t>The following table set forth the disaggregation of net revenues by timing of revenue recognition for the years ended December 31, 2020, 2021 and 2022 (in thousands):</w:t>
      </w:r>
    </w:p>
    <w:p>
      <w:pPr>
        <w:pStyle w:val="TextBody"/>
        <w:spacing w:before="0" w:after="0"/>
        <w:ind w:left="0" w:right="0" w:hanging="0"/>
        <w:jc w:val="both"/>
        <w:rPr/>
      </w:pPr>
      <w:r>
        <w:rPr/>
        <w:t>​</w:t>
      </w:r>
    </w:p>
    <w:tbl>
      <w:tblPr>
        <w:tblW w:w="5767" w:type="dxa"/>
        <w:jc w:val="left"/>
        <w:tblInd w:w="0" w:type="dxa"/>
        <w:tblCellMar>
          <w:top w:w="0" w:type="dxa"/>
          <w:left w:w="0" w:type="dxa"/>
          <w:bottom w:w="0" w:type="dxa"/>
          <w:right w:w="0" w:type="dxa"/>
        </w:tblCellMar>
      </w:tblPr>
      <w:tblGrid>
        <w:gridCol w:w="1576"/>
        <w:gridCol w:w="326"/>
        <w:gridCol w:w="1036"/>
        <w:gridCol w:w="326"/>
        <w:gridCol w:w="1036"/>
        <w:gridCol w:w="326"/>
        <w:gridCol w:w="1141"/>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000760" cy="175260"/>
                      <wp:effectExtent l="0" t="0" r="0" b="0"/>
                      <wp:wrapNone/>
                      <wp:docPr id="569" name="Frame568"/>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0"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57860" cy="175260"/>
                      <wp:effectExtent l="0" t="0" r="0" b="0"/>
                      <wp:wrapNone/>
                      <wp:docPr id="571" name="Frame57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2" name="Frame5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57860" cy="175260"/>
                      <wp:effectExtent l="0" t="0" r="0" b="0"/>
                      <wp:wrapNone/>
                      <wp:docPr id="573" name="Frame57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4" name="Frame5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24535" cy="175260"/>
                      <wp:effectExtent l="0" t="0" r="0" b="0"/>
                      <wp:wrapNone/>
                      <wp:docPr id="575" name="Frame57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157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57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7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7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 point in time</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15,911,575</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19,581,668</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23,322,675</w:t>
            </w:r>
          </w:p>
        </w:tc>
      </w:tr>
      <w:tr>
        <w:trPr/>
        <w:tc>
          <w:tcPr>
            <w:tcW w:w="15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Over time</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57,755,558</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68,024,358</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73,173,134</w:t>
            </w:r>
          </w:p>
        </w:tc>
      </w:tr>
      <w:tr>
        <w:trPr/>
        <w:tc>
          <w:tcPr>
            <w:tcW w:w="157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73,667,133</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CCEEFF" w:val="clear"/>
            <w:vAlign w:val="center"/>
          </w:tcPr>
          <w:p>
            <w:pPr>
              <w:pStyle w:val="TableContents"/>
              <w:spacing w:before="0" w:after="0"/>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96,495,809</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recorded under cost of revenues by segment for the years ended December 31, 2020, 2021 and 2022 (in thousands):</w:t>
      </w:r>
    </w:p>
    <w:p>
      <w:pPr>
        <w:pStyle w:val="TextBody"/>
        <w:spacing w:before="0" w:after="0"/>
        <w:ind w:left="0" w:right="0" w:hanging="0"/>
        <w:jc w:val="both"/>
        <w:rPr/>
      </w:pPr>
      <w:r>
        <w:rPr/>
        <w:t>​</w:t>
      </w:r>
    </w:p>
    <w:tbl>
      <w:tblPr>
        <w:tblW w:w="8032" w:type="dxa"/>
        <w:jc w:val="left"/>
        <w:tblInd w:w="0" w:type="dxa"/>
        <w:tblCellMar>
          <w:top w:w="0" w:type="dxa"/>
          <w:left w:w="0" w:type="dxa"/>
          <w:bottom w:w="0" w:type="dxa"/>
          <w:right w:w="0" w:type="dxa"/>
        </w:tblCellMar>
      </w:tblPr>
      <w:tblGrid>
        <w:gridCol w:w="4606"/>
        <w:gridCol w:w="326"/>
        <w:gridCol w:w="781"/>
        <w:gridCol w:w="326"/>
        <w:gridCol w:w="781"/>
        <w:gridCol w:w="326"/>
        <w:gridCol w:w="886"/>
      </w:tblGrid>
      <w:tr>
        <w:trPr/>
        <w:tc>
          <w:tcPr>
            <w:tcW w:w="4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924810" cy="175260"/>
                      <wp:effectExtent l="0" t="0" r="0" b="0"/>
                      <wp:wrapNone/>
                      <wp:docPr id="576" name="Frame575"/>
                      <a:graphic xmlns:a="http://schemas.openxmlformats.org/drawingml/2006/main">
                        <a:graphicData uri="http://schemas.microsoft.com/office/word/2010/wordprocessingShape">
                          <wps:wsp>
                            <wps:cNvSpPr txBox="1"/>
                            <wps:spPr>
                              <a:xfrm>
                                <a:off x="0" y="0"/>
                                <a:ext cx="29248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7" name="Frame5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5935" cy="175260"/>
                      <wp:effectExtent l="0" t="0" r="0" b="0"/>
                      <wp:wrapNone/>
                      <wp:docPr id="578" name="Frame5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9" name="Frame5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95935" cy="175260"/>
                      <wp:effectExtent l="0" t="0" r="0" b="0"/>
                      <wp:wrapNone/>
                      <wp:docPr id="580" name="Frame5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1" name="Frame5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62610" cy="175260"/>
                      <wp:effectExtent l="0" t="0" r="0" b="0"/>
                      <wp:wrapNone/>
                      <wp:docPr id="582" name="Frame58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6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6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6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270,457</w:t>
            </w:r>
          </w:p>
        </w:tc>
        <w:tc>
          <w:tcPr>
            <w:tcW w:w="326" w:type="dxa"/>
            <w:tcBorders/>
            <w:shd w:fill="CCEEFF" w:val="clear"/>
            <w:vAlign w:val="center"/>
          </w:tcPr>
          <w:p>
            <w:pPr>
              <w:pStyle w:val="TableContents"/>
              <w:spacing w:before="0" w:after="0"/>
              <w:ind w:left="0" w:right="0" w:hanging="0"/>
              <w:jc w:val="both"/>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278,780</w:t>
            </w:r>
          </w:p>
        </w:tc>
        <w:tc>
          <w:tcPr>
            <w:tcW w:w="326" w:type="dxa"/>
            <w:tcBorders/>
            <w:shd w:fill="CCEEFF" w:val="clear"/>
            <w:vAlign w:val="center"/>
          </w:tcPr>
          <w:p>
            <w:pPr>
              <w:pStyle w:val="TableContents"/>
              <w:spacing w:before="0" w:after="0"/>
              <w:ind w:left="0" w:right="0" w:hanging="0"/>
              <w:jc w:val="both"/>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339,300</w:t>
            </w:r>
          </w:p>
        </w:tc>
      </w:tr>
      <w:tr>
        <w:trPr/>
        <w:tc>
          <w:tcPr>
            <w:tcW w:w="46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Youdao</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7,239</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9,330</w:t>
            </w:r>
          </w:p>
        </w:tc>
        <w:tc>
          <w:tcPr>
            <w:tcW w:w="326" w:type="dxa"/>
            <w:tcBorders/>
            <w:shd w:fill="auto" w:val="clear"/>
            <w:vAlign w:val="center"/>
          </w:tcPr>
          <w:p>
            <w:pPr>
              <w:pStyle w:val="TableContents"/>
              <w:spacing w:before="0" w:after="0"/>
              <w:ind w:left="0" w:right="0" w:hanging="0"/>
              <w:jc w:val="both"/>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11,610</w:t>
            </w:r>
          </w:p>
        </w:tc>
      </w:tr>
      <w:tr>
        <w:trPr/>
        <w:tc>
          <w:tcPr>
            <w:tcW w:w="46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spacing w:before="0" w:after="0"/>
              <w:ind w:left="0" w:right="0" w:hanging="0"/>
              <w:jc w:val="both"/>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6,878</w:t>
            </w:r>
          </w:p>
        </w:tc>
        <w:tc>
          <w:tcPr>
            <w:tcW w:w="326" w:type="dxa"/>
            <w:tcBorders/>
            <w:shd w:fill="CCEEFF" w:val="clear"/>
            <w:vAlign w:val="center"/>
          </w:tcPr>
          <w:p>
            <w:pPr>
              <w:pStyle w:val="TableContents"/>
              <w:spacing w:before="0" w:after="0"/>
              <w:ind w:left="0" w:right="0" w:hanging="0"/>
              <w:jc w:val="both"/>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3,827</w:t>
            </w:r>
          </w:p>
        </w:tc>
        <w:tc>
          <w:tcPr>
            <w:tcW w:w="326" w:type="dxa"/>
            <w:tcBorders/>
            <w:shd w:fill="CCEEFF" w:val="clear"/>
            <w:vAlign w:val="center"/>
          </w:tcPr>
          <w:p>
            <w:pPr>
              <w:pStyle w:val="TableContents"/>
              <w:spacing w:before="0" w:after="0"/>
              <w:ind w:left="0" w:right="0" w:hanging="0"/>
              <w:jc w:val="both"/>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6,044</w:t>
            </w:r>
          </w:p>
        </w:tc>
      </w:tr>
      <w:tr>
        <w:trPr/>
        <w:tc>
          <w:tcPr>
            <w:tcW w:w="46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auto" w:val="clear"/>
            <w:vAlign w:val="center"/>
          </w:tcPr>
          <w:p>
            <w:pPr>
              <w:pStyle w:val="TableContents"/>
              <w:spacing w:before="0" w:after="0"/>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189,536</w:t>
            </w:r>
          </w:p>
        </w:tc>
        <w:tc>
          <w:tcPr>
            <w:tcW w:w="326" w:type="dxa"/>
            <w:tcBorders/>
            <w:shd w:fill="auto" w:val="clear"/>
            <w:vAlign w:val="center"/>
          </w:tcPr>
          <w:p>
            <w:pPr>
              <w:pStyle w:val="TableContents"/>
              <w:spacing w:before="0" w:after="0"/>
              <w:ind w:left="0" w:right="0" w:hanging="0"/>
              <w:jc w:val="both"/>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114,442</w:t>
            </w:r>
          </w:p>
        </w:tc>
        <w:tc>
          <w:tcPr>
            <w:tcW w:w="326" w:type="dxa"/>
            <w:tcBorders/>
            <w:shd w:fill="auto" w:val="clear"/>
            <w:vAlign w:val="center"/>
          </w:tcPr>
          <w:p>
            <w:pPr>
              <w:pStyle w:val="TableContents"/>
              <w:spacing w:before="0" w:after="0"/>
              <w:ind w:left="0" w:right="0" w:hanging="0"/>
              <w:jc w:val="both"/>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129,693</w:t>
            </w:r>
          </w:p>
        </w:tc>
      </w:tr>
      <w:tr>
        <w:trPr/>
        <w:tc>
          <w:tcPr>
            <w:tcW w:w="46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depreciation expenses of property and equipment</w:t>
            </w:r>
          </w:p>
        </w:tc>
        <w:tc>
          <w:tcPr>
            <w:tcW w:w="326" w:type="dxa"/>
            <w:tcBorders/>
            <w:shd w:fill="CCEEFF" w:val="clear"/>
            <w:vAlign w:val="center"/>
          </w:tcPr>
          <w:p>
            <w:pPr>
              <w:pStyle w:val="TableContents"/>
              <w:spacing w:before="0" w:after="0"/>
              <w:ind w:left="0" w:right="0" w:hanging="0"/>
              <w:jc w:val="both"/>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474,110</w:t>
            </w:r>
          </w:p>
        </w:tc>
        <w:tc>
          <w:tcPr>
            <w:tcW w:w="326" w:type="dxa"/>
            <w:tcBorders/>
            <w:shd w:fill="CCEEFF" w:val="clear"/>
            <w:vAlign w:val="center"/>
          </w:tcPr>
          <w:p>
            <w:pPr>
              <w:pStyle w:val="TableContents"/>
              <w:spacing w:before="0" w:after="0"/>
              <w:ind w:left="0" w:right="0" w:hanging="0"/>
              <w:jc w:val="both"/>
              <w:rPr/>
            </w:pPr>
            <w:r>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406,379</w:t>
            </w:r>
          </w:p>
        </w:tc>
        <w:tc>
          <w:tcPr>
            <w:tcW w:w="326" w:type="dxa"/>
            <w:tcBorders/>
            <w:shd w:fill="CCEEFF" w:val="clear"/>
            <w:vAlign w:val="center"/>
          </w:tcPr>
          <w:p>
            <w:pPr>
              <w:pStyle w:val="TableContents"/>
              <w:spacing w:before="0" w:after="0"/>
              <w:ind w:left="0" w:right="0" w:hanging="0"/>
              <w:jc w:val="both"/>
              <w:rPr/>
            </w:pPr>
            <w:r>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486,647</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2209" w:name="Tc_x0qOOkuZNkuZNyNXnOf0Tw_11_0"/>
      <w:bookmarkStart w:id="2210" w:name="Tc_wNq1trIjN0e0HmO6e8dg5A_10_6"/>
      <w:bookmarkStart w:id="2211" w:name="Tc_7pKXIf35m06qRPXcYy59sQ_10_4"/>
      <w:bookmarkStart w:id="2212" w:name="Tc_XGd5UFEpAEmnyMxXYOSr0A_10_0"/>
      <w:bookmarkStart w:id="2213" w:name="Tc__yWBf27Sp0WXAa0gk6TKOQ_9_8"/>
      <w:bookmarkStart w:id="2214" w:name="Tc_kqnp6wt-NUegIpuqzLd4Tg_9_4"/>
      <w:bookmarkStart w:id="2215" w:name="Tc_kuV1JeR9vEe_1uDhpargmg_9_0"/>
      <w:bookmarkStart w:id="2216" w:name="Tc_jN1DLtMYZEeWdwGxK6_Reg_8_8"/>
      <w:bookmarkStart w:id="2217" w:name="Tc_WEyXNVlD2UOk-DWP4bzl5g_8_6"/>
      <w:bookmarkStart w:id="2218" w:name="Tc_MIDs4VNyfEafrHTqtPVAwg_8_0"/>
      <w:bookmarkStart w:id="2219" w:name="Tc_aYaCoAhsw0aImKdON05JFQ_7_8"/>
      <w:bookmarkStart w:id="2220" w:name="Tc_DPLcmKnzD0-reb3gA8dsiQ_7_6"/>
      <w:bookmarkStart w:id="2221" w:name="Tc_Wx91eCKMbkeRfHx5N47qpA_7_4"/>
      <w:bookmarkStart w:id="2222" w:name="Tc_dUZ6rnoF90-JoyPc7T2ZDQ_7_2"/>
      <w:bookmarkStart w:id="2223" w:name="Tc_YIv3nCgAH0-RdXbN38T4_w_6_8"/>
      <w:bookmarkStart w:id="2224" w:name="Tc_rrVNqyr4JEyL0U6qo9LVMQ_6_6"/>
      <w:bookmarkStart w:id="2225" w:name="Tc_9z_QpJk2jEuVEEmRO0o3KA_6_4"/>
      <w:bookmarkStart w:id="2226" w:name="Tc_EMxoYksjPkev9zsz3qmfNA_5_8"/>
      <w:bookmarkStart w:id="2227" w:name="Tc_UX6TSe24f0WClC9ID8IFtQ_5_6"/>
      <w:bookmarkStart w:id="2228" w:name="Tc_awvqYuBT8EONYmOpgxzGPw_5_4"/>
      <w:bookmarkStart w:id="2229" w:name="Tc_C3f1HJ7NnkeJWDX_UPT5DQ_4_8"/>
      <w:bookmarkStart w:id="2230" w:name="Tc_AAXdC8czzkOXOA_GCBnP9g_4_6"/>
      <w:bookmarkStart w:id="2231" w:name="Tc_nVj55hL6NUiCicNtrkxBww_4_4"/>
      <w:bookmarkStart w:id="2232" w:name="Tc_pbCDMdGiAEGXYE9W0ON_2A_3_4"/>
      <w:bookmarkStart w:id="2233" w:name="Tc_1Y0tsxHa2E2gWygD0u33pA_2_4"/>
      <w:bookmarkStart w:id="2234" w:name="Tc_lsphbg4zQ0SjjzeAb8l7mQ_1_2"/>
      <w:bookmarkStart w:id="2235" w:name="_1456ad01_160c_47b9_8bed_808a9b3bb5c7"/>
      <w:bookmarkStart w:id="2236" w:name="Tc_x0qOOkuZNkuZNyNXnOf0Tw_11_0"/>
      <w:bookmarkStart w:id="2237" w:name="Tc_wNq1trIjN0e0HmO6e8dg5A_10_6"/>
      <w:bookmarkStart w:id="2238" w:name="Tc_7pKXIf35m06qRPXcYy59sQ_10_4"/>
      <w:bookmarkStart w:id="2239" w:name="Tc_XGd5UFEpAEmnyMxXYOSr0A_10_0"/>
      <w:bookmarkStart w:id="2240" w:name="Tc__yWBf27Sp0WXAa0gk6TKOQ_9_8"/>
      <w:bookmarkStart w:id="2241" w:name="Tc_kqnp6wt-NUegIpuqzLd4Tg_9_4"/>
      <w:bookmarkStart w:id="2242" w:name="Tc_kuV1JeR9vEe_1uDhpargmg_9_0"/>
      <w:bookmarkStart w:id="2243" w:name="Tc_jN1DLtMYZEeWdwGxK6_Reg_8_8"/>
      <w:bookmarkStart w:id="2244" w:name="Tc_WEyXNVlD2UOk-DWP4bzl5g_8_6"/>
      <w:bookmarkStart w:id="2245" w:name="Tc_MIDs4VNyfEafrHTqtPVAwg_8_0"/>
      <w:bookmarkStart w:id="2246" w:name="Tc_aYaCoAhsw0aImKdON05JFQ_7_8"/>
      <w:bookmarkStart w:id="2247" w:name="Tc_DPLcmKnzD0-reb3gA8dsiQ_7_6"/>
      <w:bookmarkStart w:id="2248" w:name="Tc_Wx91eCKMbkeRfHx5N47qpA_7_4"/>
      <w:bookmarkStart w:id="2249" w:name="Tc_dUZ6rnoF90-JoyPc7T2ZDQ_7_2"/>
      <w:bookmarkStart w:id="2250" w:name="Tc_YIv3nCgAH0-RdXbN38T4_w_6_8"/>
      <w:bookmarkStart w:id="2251" w:name="Tc_rrVNqyr4JEyL0U6qo9LVMQ_6_6"/>
      <w:bookmarkStart w:id="2252" w:name="Tc_9z_QpJk2jEuVEEmRO0o3KA_6_4"/>
      <w:bookmarkStart w:id="2253" w:name="Tc_EMxoYksjPkev9zsz3qmfNA_5_8"/>
      <w:bookmarkStart w:id="2254" w:name="Tc_UX6TSe24f0WClC9ID8IFtQ_5_6"/>
      <w:bookmarkStart w:id="2255" w:name="Tc_awvqYuBT8EONYmOpgxzGPw_5_4"/>
      <w:bookmarkStart w:id="2256" w:name="Tc_C3f1HJ7NnkeJWDX_UPT5DQ_4_8"/>
      <w:bookmarkStart w:id="2257" w:name="Tc_AAXdC8czzkOXOA_GCBnP9g_4_6"/>
      <w:bookmarkStart w:id="2258" w:name="Tc_nVj55hL6NUiCicNtrkxBww_4_4"/>
      <w:bookmarkStart w:id="2259" w:name="Tc_pbCDMdGiAEGXYE9W0ON_2A_3_4"/>
      <w:bookmarkStart w:id="2260" w:name="Tc_1Y0tsxHa2E2gWygD0u33pA_2_4"/>
      <w:bookmarkStart w:id="2261" w:name="Tc_lsphbg4zQ0SjjzeAb8l7mQ_1_2"/>
      <w:bookmarkStart w:id="2262" w:name="_1456ad01_160c_47b9_8bed_808a9b3bb5c7"/>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p>
    <w:tbl>
      <w:tblPr>
        <w:tblW w:w="2387" w:type="dxa"/>
        <w:jc w:val="left"/>
        <w:tblInd w:w="0" w:type="dxa"/>
        <w:tblCellMar>
          <w:top w:w="0" w:type="dxa"/>
          <w:left w:w="0" w:type="dxa"/>
          <w:bottom w:w="0" w:type="dxa"/>
          <w:right w:w="0" w:type="dxa"/>
        </w:tblCellMar>
      </w:tblPr>
      <w:tblGrid>
        <w:gridCol w:w="376"/>
        <w:gridCol w:w="2011"/>
      </w:tblGrid>
      <w:tr>
        <w:trPr/>
        <w:tc>
          <w:tcPr>
            <w:tcW w:w="376" w:type="dxa"/>
            <w:tcBorders/>
            <w:shd w:fill="auto" w:val="clear"/>
            <w:vAlign w:val="center"/>
          </w:tcPr>
          <w:p>
            <w:pPr>
              <w:pStyle w:val="TableContents"/>
              <w:spacing w:before="0" w:after="120"/>
              <w:jc w:val="both"/>
              <w:rPr>
                <w:rFonts w:ascii="Times New Roman;Times;serif" w:hAnsi="Times New Roman;Times;serif"/>
                <w:b/>
                <w:sz w:val="20"/>
              </w:rPr>
            </w:pPr>
            <w:r>
              <w:rPr>
                <w:rFonts w:ascii="Times New Roman;Times;serif" w:hAnsi="Times New Roman;Times;serif"/>
                <w:b/>
                <w:sz w:val="20"/>
              </w:rPr>
              <w:t>29.</w:t>
            </w:r>
          </w:p>
        </w:tc>
        <w:tc>
          <w:tcPr>
            <w:tcW w:w="2011" w:type="dxa"/>
            <w:tcBorders/>
            <w:shd w:fill="auto" w:val="clear"/>
            <w:vAlign w:val="center"/>
          </w:tcPr>
          <w:p>
            <w:pPr>
              <w:pStyle w:val="TableContents"/>
              <w:spacing w:before="0" w:after="120"/>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financial instruments, measured at fair value, by level within the fair value hierarchy as of December 31, 2021 (in thousands):</w:t>
      </w:r>
    </w:p>
    <w:p>
      <w:pPr>
        <w:pStyle w:val="TextBody"/>
        <w:pBdr/>
        <w:spacing w:before="0" w:after="0"/>
        <w:ind w:left="0" w:right="0" w:hanging="490"/>
        <w:jc w:val="both"/>
        <w:rPr/>
      </w:pPr>
      <w:r>
        <w:rPr/>
        <w:t>​</w:t>
      </w:r>
    </w:p>
    <w:tbl>
      <w:tblPr>
        <w:tblW w:w="10205" w:type="dxa"/>
        <w:jc w:val="left"/>
        <w:tblInd w:w="0" w:type="dxa"/>
        <w:tblCellMar>
          <w:top w:w="0" w:type="dxa"/>
          <w:left w:w="0" w:type="dxa"/>
          <w:bottom w:w="0" w:type="dxa"/>
          <w:right w:w="0" w:type="dxa"/>
        </w:tblCellMar>
      </w:tblPr>
      <w:tblGrid>
        <w:gridCol w:w="4052"/>
        <w:gridCol w:w="326"/>
        <w:gridCol w:w="1036"/>
        <w:gridCol w:w="326"/>
        <w:gridCol w:w="1306"/>
        <w:gridCol w:w="326"/>
        <w:gridCol w:w="1366"/>
        <w:gridCol w:w="326"/>
        <w:gridCol w:w="1141"/>
      </w:tblGrid>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both"/>
              <w:rPr/>
            </w:pPr>
            <w:r>
              <w:rPr/>
              <w: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8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both"/>
              <w:rPr/>
            </w:pPr>
            <w:r>
              <w:rPr/>
              <w: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jc w:val="both"/>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both"/>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052"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5,886,911</w:t>
            </w:r>
          </w:p>
        </w:tc>
        <w:tc>
          <w:tcPr>
            <w:tcW w:w="326" w:type="dxa"/>
            <w:tcBorders/>
            <w:shd w:fill="CCEEFF" w:val="clear"/>
            <w:vAlign w:val="center"/>
          </w:tcPr>
          <w:p>
            <w:pPr>
              <w:pStyle w:val="TableContents"/>
              <w:spacing w:before="0" w:after="0"/>
              <w:ind w:left="0" w:right="0" w:hanging="0"/>
              <w:jc w:val="both"/>
              <w:rPr/>
            </w:pPr>
            <w:r>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5,886,911</w:t>
            </w:r>
          </w:p>
        </w:tc>
        <w:tc>
          <w:tcPr>
            <w:tcW w:w="326" w:type="dxa"/>
            <w:tcBorders/>
            <w:shd w:fill="CCEEFF" w:val="clear"/>
            <w:vAlign w:val="center"/>
          </w:tcPr>
          <w:p>
            <w:pPr>
              <w:pStyle w:val="TableContents"/>
              <w:spacing w:before="0" w:after="0"/>
              <w:ind w:left="0" w:right="0" w:hanging="0"/>
              <w:jc w:val="both"/>
              <w:rPr/>
            </w:pPr>
            <w:r>
              <w:rPr/>
              <w:t>​</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405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12,281,548</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12,281,548</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052"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194,280</w:t>
            </w:r>
          </w:p>
        </w:tc>
        <w:tc>
          <w:tcPr>
            <w:tcW w:w="326" w:type="dxa"/>
            <w:tcBorders/>
            <w:shd w:fill="CCEEFF" w:val="clear"/>
            <w:vAlign w:val="center"/>
          </w:tcPr>
          <w:p>
            <w:pPr>
              <w:pStyle w:val="TableContents"/>
              <w:spacing w:before="0" w:after="0"/>
              <w:ind w:left="0" w:right="0" w:hanging="0"/>
              <w:jc w:val="both"/>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194,280</w:t>
            </w:r>
          </w:p>
        </w:tc>
      </w:tr>
      <w:tr>
        <w:trPr/>
        <w:tc>
          <w:tcPr>
            <w:tcW w:w="405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18,362,739</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5,886,911</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12,281,548</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194,280</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2263" w:name="Tc_2QOVnB9s6ES6M17bcMh02A_11_0"/>
      <w:bookmarkStart w:id="2264" w:name="Tc_p8MIzfWSbU6O-uAEjUeZwQ_10_6"/>
      <w:bookmarkStart w:id="2265" w:name="Tc_marG8twxB0qKDRaZ6ddigQ_10_4"/>
      <w:bookmarkStart w:id="2266" w:name="Tc_KDp58iAPbkqmLd_plo-7IA_10_0"/>
      <w:bookmarkStart w:id="2267" w:name="Tc_2_aOvY7Hk0uC0jqCkRyaPA_9_8"/>
      <w:bookmarkStart w:id="2268" w:name="Tc_XpmAozJdNE6Ly5t5N1zu_Q_9_4"/>
      <w:bookmarkStart w:id="2269" w:name="Tc_kp78c2h2aEadevDZpX-htw_9_0"/>
      <w:bookmarkStart w:id="2270" w:name="Tc_g0gxAJ9-vUGbaKJKnJVmrA_8_8"/>
      <w:bookmarkStart w:id="2271" w:name="Tc_ZjC42lVWvkib5R2ALrnQrg_8_6"/>
      <w:bookmarkStart w:id="2272" w:name="Tc_gxFga-orC0WsVe_-LnMWoQ_8_0"/>
      <w:bookmarkStart w:id="2273" w:name="Tc__thBOKaEH0SVZo-ipgjKww_7_8"/>
      <w:bookmarkStart w:id="2274" w:name="Tc_8QVZTWCqa0yoQtLZcXvXeQ_7_6"/>
      <w:bookmarkStart w:id="2275" w:name="Tc_y1mX3pVAjEqaxfCGuEm9Xw_7_4"/>
      <w:bookmarkStart w:id="2276" w:name="Tc_YiNsZdKRA0G7dRorvrQOQw_7_2"/>
      <w:bookmarkStart w:id="2277" w:name="Tc_bTMsE5awMkCaYvlbz0Q7ig_6_8"/>
      <w:bookmarkStart w:id="2278" w:name="Tc_as-l5XrS2Eq7CZ5-6TQEbw_6_6"/>
      <w:bookmarkStart w:id="2279" w:name="Tc_uudq075eDkinBcTTFXYViQ_6_4"/>
      <w:bookmarkStart w:id="2280" w:name="Tc_6tjKnW-R_kGUTNxuXgUfTA_5_8"/>
      <w:bookmarkStart w:id="2281" w:name="Tc_Skr5G26VuUiChsXca9gdhQ_5_6"/>
      <w:bookmarkStart w:id="2282" w:name="Tc_oLLCKsclck2tRlHNzxwCxg_5_4"/>
      <w:bookmarkStart w:id="2283" w:name="Tc_gr4HsS3IZkWCw0F7IDzUQQ_4_8"/>
      <w:bookmarkStart w:id="2284" w:name="Tc_fOnW-mwcpUi-zZ7B-Ml-lA_4_6"/>
      <w:bookmarkStart w:id="2285" w:name="Tc_lElh0GXHekSgGs5R_b2jtA_4_4"/>
      <w:bookmarkStart w:id="2286" w:name="Tc_YrsjQ-tqjkK3k-8ZgJnaaA_3_4"/>
      <w:bookmarkStart w:id="2287" w:name="Tc_u8Sgu2oi50eyYa52fkVfpg_2_4"/>
      <w:bookmarkStart w:id="2288" w:name="Tc_AKRN5oEF2kalh1Jkbx8GMQ_1_2"/>
      <w:bookmarkStart w:id="2289" w:name="_d8e8550c_1a2e_465f_a163_67a6217c585d"/>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r>
        <w:rPr>
          <w:rFonts w:ascii="Times New Roman;Times;serif" w:hAnsi="Times New Roman;Times;serif"/>
          <w:sz w:val="20"/>
        </w:rPr>
        <w:t>The following table sets forth the financial instruments, measured at fair value, by level within the fair value hierarchy as of December 31, 2022 (in thousands):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4052"/>
        <w:gridCol w:w="326"/>
        <w:gridCol w:w="1036"/>
        <w:gridCol w:w="326"/>
        <w:gridCol w:w="1306"/>
        <w:gridCol w:w="326"/>
        <w:gridCol w:w="1366"/>
        <w:gridCol w:w="326"/>
        <w:gridCol w:w="1141"/>
      </w:tblGrid>
      <w:tr>
        <w:trPr/>
        <w:tc>
          <w:tcPr>
            <w:tcW w:w="4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573020" cy="175260"/>
                      <wp:effectExtent l="0" t="0" r="0" b="0"/>
                      <wp:wrapNone/>
                      <wp:docPr id="583" name="Frame582"/>
                      <a:graphic xmlns:a="http://schemas.openxmlformats.org/drawingml/2006/main">
                        <a:graphicData uri="http://schemas.microsoft.com/office/word/2010/wordprocessingShape">
                          <wps:wsp>
                            <wps:cNvSpPr txBox="1"/>
                            <wps:spPr>
                              <a:xfrm>
                                <a:off x="0" y="0"/>
                                <a:ext cx="257302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4"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57860" cy="175260"/>
                      <wp:effectExtent l="0" t="0" r="0" b="0"/>
                      <wp:wrapNone/>
                      <wp:docPr id="585" name="Frame58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6" name="Frame5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829310" cy="175260"/>
                      <wp:effectExtent l="0" t="0" r="0" b="0"/>
                      <wp:wrapNone/>
                      <wp:docPr id="587" name="Frame58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8" name="Frame5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867410" cy="175260"/>
                      <wp:effectExtent l="0" t="0" r="0" b="0"/>
                      <wp:wrapNone/>
                      <wp:docPr id="589" name="Frame588"/>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0" name="Frame5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724535" cy="175260"/>
                      <wp:effectExtent l="0" t="0" r="0" b="0"/>
                      <wp:wrapNone/>
                      <wp:docPr id="591" name="Frame59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8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both"/>
              <w:rPr/>
            </w:pPr>
            <w:r>
              <w:rPr/>
              <w:t>    </w:t>
            </w:r>
          </w:p>
        </w:tc>
        <w:tc>
          <w:tcPr>
            <w:tcW w:w="1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both"/>
              <w:rPr/>
            </w:pPr>
            <w:r>
              <w:rPr/>
              <w: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0"/>
              <w:ind w:left="0" w:right="0" w:hanging="0"/>
              <w:jc w:val="both"/>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05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jc w:val="both"/>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both"/>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052"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shd w:fill="CCEEFF" w:val="clear"/>
            <w:vAlign w:val="center"/>
          </w:tcPr>
          <w:p>
            <w:pPr>
              <w:pStyle w:val="TableContents"/>
              <w:spacing w:before="0" w:after="0"/>
              <w:ind w:left="0" w:right="0" w:hanging="0"/>
              <w:jc w:val="both"/>
              <w:rPr/>
            </w:pPr>
            <w:r>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shd w:fill="CCEEFF" w:val="clear"/>
            <w:vAlign w:val="center"/>
          </w:tcPr>
          <w:p>
            <w:pPr>
              <w:pStyle w:val="TableContents"/>
              <w:spacing w:before="0" w:after="0"/>
              <w:ind w:left="0" w:right="0" w:hanging="0"/>
              <w:jc w:val="both"/>
              <w:rPr/>
            </w:pPr>
            <w:r>
              <w:rPr/>
              <w:t>​</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405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052"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shd w:fill="CCEEFF"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c>
          <w:tcPr>
            <w:tcW w:w="326" w:type="dxa"/>
            <w:tcBorders/>
            <w:shd w:fill="CCEEFF" w:val="clear"/>
            <w:vAlign w:val="center"/>
          </w:tcPr>
          <w:p>
            <w:pPr>
              <w:pStyle w:val="TableContents"/>
              <w:spacing w:before="0" w:after="0"/>
              <w:ind w:left="0" w:right="0" w:hanging="0"/>
              <w:jc w:val="both"/>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r>
      <w:tr>
        <w:trPr/>
        <w:tc>
          <w:tcPr>
            <w:tcW w:w="405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10,436,014</w:t>
            </w:r>
          </w:p>
        </w:tc>
        <w:tc>
          <w:tcPr>
            <w:tcW w:w="326" w:type="dxa"/>
            <w:tcBorders/>
            <w:shd w:fill="auto" w:val="clear"/>
            <w:vAlign w:val="center"/>
          </w:tcPr>
          <w:p>
            <w:pPr>
              <w:pStyle w:val="TableContents"/>
              <w:spacing w:before="0" w:after="0"/>
              <w:ind w:left="0" w:right="0" w:hanging="0"/>
              <w:jc w:val="both"/>
              <w:rPr/>
            </w:pPr>
            <w:r>
              <w:rPr/>
              <w:t>​</w:t>
            </w:r>
          </w:p>
        </w:tc>
        <w:tc>
          <w:tcPr>
            <w:tcW w:w="13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shd w:fill="auto" w:val="clear"/>
            <w:vAlign w:val="center"/>
          </w:tcPr>
          <w:p>
            <w:pPr>
              <w:pStyle w:val="TableContents"/>
              <w:spacing w:before="0" w:after="0"/>
              <w:ind w:left="0" w:right="0" w:hanging="0"/>
              <w:jc w:val="both"/>
              <w:rPr/>
            </w:pPr>
            <w:r>
              <w:rPr/>
              <w:t> </w:t>
            </w:r>
          </w:p>
        </w:tc>
        <w:tc>
          <w:tcPr>
            <w:tcW w:w="13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shd w:fill="auto" w:val="clear"/>
            <w:vAlign w:val="center"/>
          </w:tcPr>
          <w:p>
            <w:pPr>
              <w:pStyle w:val="TableContents"/>
              <w:spacing w:before="0" w:after="0"/>
              <w:ind w:left="0" w:right="0" w:hanging="0"/>
              <w:jc w:val="both"/>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246,073</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2021 and 2022, certain equity investments without determinable fair value (Note 11) were measured using significant unobservable inputs (Level 3) and written down from their respective carrying value to fair value, with impairment charges of RMB19.2 million and RMB85.2 million incurred and recorded in earnings for the years then ended.</w:t>
      </w:r>
    </w:p>
    <w:p>
      <w:pPr>
        <w:pStyle w:val="TextBody"/>
        <w:spacing w:before="0" w:after="0"/>
        <w:ind w:left="0" w:right="0" w:hanging="0"/>
        <w:jc w:val="both"/>
        <w:rPr/>
      </w:pPr>
      <w:r>
        <w:rPr/>
        <w:t>​</w:t>
      </w:r>
    </w:p>
    <w:tbl>
      <w:tblPr>
        <w:tblW w:w="2267" w:type="dxa"/>
        <w:jc w:val="left"/>
        <w:tblInd w:w="0" w:type="dxa"/>
        <w:tblCellMar>
          <w:top w:w="0" w:type="dxa"/>
          <w:left w:w="0" w:type="dxa"/>
          <w:bottom w:w="0" w:type="dxa"/>
          <w:right w:w="0" w:type="dxa"/>
        </w:tblCellMar>
      </w:tblPr>
      <w:tblGrid>
        <w:gridCol w:w="376"/>
        <w:gridCol w:w="1891"/>
      </w:tblGrid>
      <w:tr>
        <w:trPr/>
        <w:tc>
          <w:tcPr>
            <w:tcW w:w="376" w:type="dxa"/>
            <w:tcBorders/>
            <w:shd w:fill="auto" w:val="clear"/>
            <w:vAlign w:val="center"/>
          </w:tcPr>
          <w:p>
            <w:pPr>
              <w:pStyle w:val="TableContents"/>
              <w:spacing w:before="0" w:after="160"/>
              <w:jc w:val="both"/>
              <w:rPr>
                <w:rFonts w:ascii="Times New Roman;Times;serif" w:hAnsi="Times New Roman;Times;serif"/>
                <w:b/>
                <w:sz w:val="20"/>
              </w:rPr>
            </w:pPr>
            <w:r>
              <w:rPr>
                <w:rFonts w:ascii="Times New Roman;Times;serif" w:hAnsi="Times New Roman;Times;serif"/>
                <w:b/>
                <w:sz w:val="20"/>
              </w:rPr>
              <w:t>30.</w:t>
            </w:r>
          </w:p>
        </w:tc>
        <w:tc>
          <w:tcPr>
            <w:tcW w:w="1891" w:type="dxa"/>
            <w:tcBorders/>
            <w:shd w:fill="auto" w:val="clear"/>
            <w:vAlign w:val="center"/>
          </w:tcPr>
          <w:p>
            <w:pPr>
              <w:pStyle w:val="TableContents"/>
              <w:spacing w:before="0" w:after="160"/>
              <w:jc w:val="both"/>
              <w:rPr>
                <w:rFonts w:ascii="Times New Roman;Times;serif" w:hAnsi="Times New Roman;Times;serif"/>
                <w:b/>
                <w:sz w:val="20"/>
              </w:rPr>
            </w:pPr>
            <w:r>
              <w:rPr>
                <w:rFonts w:ascii="Times New Roman;Times;serif" w:hAnsi="Times New Roman;Times;serif"/>
                <w:b/>
                <w:sz w:val="20"/>
              </w:rPr>
              <w:t>Restricted Net Assets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Relevant PRC laws and regulations permit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general reserve fund and the </w:t>
      </w:r>
      <w:r>
        <w:rPr>
          <w:rFonts w:ascii="Times New Roman;Times;serif" w:hAnsi="Times New Roman;Times;serif"/>
          <w:b w:val="false"/>
          <w:i w:val="false"/>
          <w:caps w:val="false"/>
          <w:smallCaps w:val="false"/>
          <w:sz w:val="20"/>
        </w:rPr>
        <w:t>statutory surplus fund</w:t>
      </w:r>
      <w:r>
        <w:rPr>
          <w:rFonts w:ascii="Times New Roman;Times;serif" w:hAnsi="Times New Roman;Times;serif"/>
          <w:sz w:val="20"/>
        </w:rPr>
        <w:t xml:space="preserve">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the VIEs are restricted in their ability to transfer a portion of their net assets to the Company either in the form of dividends, loans or advances, which restricted portion amounted to approximately RMB13.3 billion, or 12% of the Company’s total consolidated net assets, as of December 31, 2022.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r>
        <w:br w:type="page"/>
      </w:r>
    </w:p>
    <w:p>
      <w:pPr>
        <w:pStyle w:val="TextBody"/>
        <w:spacing w:before="0" w:after="240"/>
        <w:ind w:left="0" w:right="0" w:firstLine="720"/>
        <w:jc w:val="right"/>
        <w:rPr>
          <w:rFonts w:ascii="Times New Roman;Times;serif" w:hAnsi="Times New Roman;Times;serif"/>
          <w:b/>
          <w:sz w:val="24"/>
        </w:rPr>
      </w:pPr>
      <w:bookmarkStart w:id="2290" w:name="ntes-20221231xex2d5.htm"/>
      <w:bookmarkStart w:id="2291" w:name="ksntes20221231xex2d5"/>
      <w:bookmarkEnd w:id="2290"/>
      <w:bookmarkEnd w:id="2291"/>
      <w:r>
        <w:rPr>
          <w:rFonts w:ascii="Times New Roman;Times;serif" w:hAnsi="Times New Roman;Times;serif"/>
          <w:b/>
          <w:sz w:val="24"/>
        </w:rPr>
        <w:t>Exhibit 2.5</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Description of American Depositary Shares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Bank of New York Mellon acts as the depositary bank for our American depositary shares, or ADSs. Each ADS currently represents 5 ordinary shares and will also represent any other securities, cash or other property deposited with the depositary but not distributed to ADS holders. ADSs are normally represented by certificates that are commonly known as American depositary receipts, or ADRs. The depositary bank typically appoints a custodian to safekeep the securities on deposit. In this case, the custodian is the Hong Kong office of The Hongkong and Shanghai Banking Corporation Limited.</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corporate trust office of the depositary is currently located at 101 Barclay Street, New York, New York 10286. The principal office of the custodian is currently located at 1 Queen’s Road Central, Hong Kong.</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 agreement and the ADR specify our rights and obligations as well as the rights and obligations of owners of our ADSs and those of the depositary. You may hold ADRs either directly or indirectly through your broker or other financial institution. If you hold ADRs directly, you are an ADR holder. This description assumes you hold your ADRs directly. If you hold the ADRs indirectly, you must rely on the procedures of your broker or other financial institution to assert the rights of ADR holders described in this section. You should consult with your broker or financial institution to find out what those procedures are.</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As an ADR holder, you appoint the depositary to act on your behalf in certain circumstances. Although the deposit agreement is governed by New York law, our obligations to the holders of our ordinary shares will continue to be governed by the laws of the Cayman Islands, which may be different from the laws in the United States.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You should read this summary together with the deposit agreement which has been filed with the Securities and Exchange Commission as exhibit 1 to our registration statement on Form F-6EF (File No. 333-115868) and the form of ADR.</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Deposit, Withdrawal and Cancellation</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will only issue ADSs in whole numbers. Accordingly, any amount of ordinary shares which is not divisible into 100 (or the then current conversion ratio) cannot be deposited for the issuance of ADSs, unless it is aggregated with other shares which together are divisible by 100 (or the then current conversion ratio).</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will issue ADRs if you or your broker deposit ordinary shares or evidence of rights to receive ordinary shares with the custodian. The issuance of ADSs may be delayed until the depositary or the custodian receives confirmation that all required approvals have been given and that the number of ordinary shares have been duly transferred to the custodian. In addition, our deposit agreement provides that any ordinary shares deposited for inclusion in the ADS program should be accompanied by appropriate instruments of transfer or endorsement, in the form satisfactory to the custodian, together with any certifications as may be reasonably required by the depositary or the custodian. Ordinary shares cannot be deposited unless, upon deposit, the ordinary shares will be free of all transfer restrictions.</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Share Dividends and Other Distributions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has agreed to pay to you the cash dividends or other distributions it or the custodian receives on shares or other deposited securities after deducting its fees and expenses. You will receive these distributions in proportion to the number of shares your ADRs represent.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4"/>
        </w:rPr>
        <w:t>Cash</w:t>
      </w:r>
      <w:r>
        <w:rPr>
          <w:rFonts w:ascii="Times New Roman;Times;serif" w:hAnsi="Times New Roman;Times;serif"/>
          <w:sz w:val="24"/>
        </w:rPr>
        <w:t>. The depositary will promptly convert any cash dividend or other cash distribution we pay on the shares into U.S. dollars, if it can do so on a reasonable basis and can transfer the U.S. dollars to the United States. If such conversion or distribution can be effected only with the approval or license of any government or agency thereof, the depositary shall file such application for approval or license, if any. If such conversion is not possible on a reasonable basis or any approval or license of any government or agency is needed and cannot be obtained, the deposit agreement allows the depositary to distribute Renminbi only to those ADR holders to whom it is possible to do so. It will hold Renminbi it cannot convert for the account of the ADR holders who have not been paid. It will not invest Renminbi and it will not be liable for interest.</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Before making a distribution, any withholding taxes that must be paid under United States law will be deducted. The depositary will distribute only whole U.S. dollars and cents and will round fractional cents to the nearest whole cent. If the exchange rates fluctuate during a time when the depositary cannot convert the Renminbi, you may lose some or all of the value of the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4"/>
        </w:rPr>
        <w:t>Shares</w:t>
      </w:r>
      <w:r>
        <w:rPr>
          <w:rFonts w:ascii="Times New Roman;Times;serif" w:hAnsi="Times New Roman;Times;serif"/>
          <w:sz w:val="24"/>
        </w:rPr>
        <w:t>. The depositary may distribute new ADRs representing any shares we may distribute as a dividend or free distribution, if we furnish it promptly with satisfactory evidence that it is legal to do so. The depositary will only distribute whole ADRs. It will sell shares which would require it to issue a fractional ADR and distribute the net proceeds in the same way as it does with cash. If the depositary does not distribute additional ADRs, each ADR will also represent the new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4"/>
        </w:rPr>
        <w:t>Rights to Receive Additional Shares</w:t>
      </w:r>
      <w:r>
        <w:rPr>
          <w:rFonts w:ascii="Times New Roman;Times;serif" w:hAnsi="Times New Roman;Times;serif"/>
          <w:sz w:val="24"/>
        </w:rPr>
        <w:t>. If we offer holders of our ordinary shares any rights to subscribe for additional shares or any other rights, the depositary may make these rights available to you. We must first instruct the depositary to do so and furnish it with satisfactory evidence that it is legal to do so. If we do not furnish this evidence and/or give these instructions, and the depositary decides it is practical to sell the rights, the depositary will sell the rights and distribute the proceeds, in the same way as it does with cash. The depositary may allow rights that are not distributed or sold to lapse. In that case, you will receive no value for them.</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If the depositary makes rights available to you, it will exercise the rights and purchase the shares on your behalf. The depositary will then deposit the shares and issue ADRs to you. It will only exercise rights if you pay it the exercise price and any other charges the rights require you to pay.</w:t>
      </w:r>
    </w:p>
    <w:p>
      <w:pPr>
        <w:pStyle w:val="TextBody"/>
        <w:spacing w:before="0" w:after="0"/>
        <w:ind w:left="0" w:right="0" w:hanging="0"/>
        <w:rPr/>
      </w:pPr>
      <w:r>
        <w:rPr/>
        <w:t>​</w:t>
      </w:r>
    </w:p>
    <w:p>
      <w:pPr>
        <w:pStyle w:val="HorizontalLine"/>
        <w:rPr/>
      </w:pPr>
      <w:r>
        <w:rPr/>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U.S. securities laws may restrict the sale, deposit, cancellation and transfer of the ADRs issued after exercise of rights. For example, you may not be able to trade the ADRs freely in the United States. In this case, the depositary may issue the ADRs under a separate restricted deposit agreement which will contain the same provisions as the deposit agreement, except for the changes needed to put the restrictions in place.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4"/>
        </w:rPr>
        <w:t>Other Distributions</w:t>
      </w:r>
      <w:r>
        <w:rPr>
          <w:rFonts w:ascii="Times New Roman;Times;serif" w:hAnsi="Times New Roman;Times;serif"/>
          <w:sz w:val="24"/>
        </w:rPr>
        <w:t>. The depositary will send to you anything else we distribute on deposited securities by means it thinks are legal and practical. If it cannot make the distribution in that way, the depositary has a choice. It may decide to sell what we distributed and distribute the net proceeds in the same way as it does with cash or it may decide to hold what we distributed, in which case the ADRs will also represent the newly distributed property.</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is not responsible if it decides that it is unlawful or impractical to make a distribution available to any ADR holders. We have no obligation to register ADRs, shares, rights or other securities under the Securities Act of 1933. We also have no obligation to take any other action to permit the distribution of ADRs, shares, rights, or anything else to ADR holders. This means that you may not receive the distribution we make on our shares or any value for them if it is illegal or impractical for us to make them available to you.</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Voting Rights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You may instruct the depositary to vote the shares underlying your ADRs but only if we ask the depositary to ask for your instructions. Otherwise, you will not be able to exercise your right to vote unless you withdraw the shares. However, you may not know about the meeting enough in advance to withdraw the shares.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If we ask for your instructions, the depositary will notify you of the upcoming vote and arrange to deliver our voting materials to you. The materials will:</w:t>
      </w:r>
    </w:p>
    <w:p>
      <w:pPr>
        <w:pStyle w:val="TextBody"/>
        <w:spacing w:before="0" w:after="120"/>
        <w:ind w:left="720" w:right="0" w:hanging="0"/>
        <w:rPr>
          <w:rFonts w:ascii="Times New Roman;Times;serif" w:hAnsi="Times New Roman;Times;serif"/>
          <w:sz w:val="24"/>
        </w:rPr>
      </w:pPr>
      <w:r>
        <w:rPr>
          <w:rFonts w:ascii="Times New Roman;Times;serif" w:hAnsi="Times New Roman;Times;serif"/>
          <w:sz w:val="24"/>
        </w:rPr>
        <w:t>(1) describe the matters to be voted on; and</w:t>
      </w:r>
    </w:p>
    <w:p>
      <w:pPr>
        <w:pStyle w:val="TextBody"/>
        <w:spacing w:before="0" w:after="240"/>
        <w:ind w:left="720" w:right="0" w:hanging="0"/>
        <w:rPr>
          <w:rFonts w:ascii="Times New Roman;Times;serif" w:hAnsi="Times New Roman;Times;serif"/>
          <w:sz w:val="24"/>
        </w:rPr>
      </w:pPr>
      <w:r>
        <w:rPr>
          <w:rFonts w:ascii="Times New Roman;Times;serif" w:hAnsi="Times New Roman;Times;serif"/>
          <w:sz w:val="24"/>
        </w:rPr>
        <w:t>(2) explain how you, on a specified date, may instruct the depositary to vote the shares or other deposited securities underlying your ADRs as you direct. For instructions to be valid, the depositary must receive them on or before the date specified. The depositary will try, in compliance with Cayman Islands law or Hong Kong law and the provisions of our memorandum and articles of association, to vote or to have its agents vote the shares or other deposited securities as you instruct. The depositary will only vote or attempt to vote as you instruct.</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If the depositary does not receive voting instructions from you by the specified date, it will consider you to have authorized us to vote the number of deposited securities represented by your ADSs. The depositary will give us a discretionary proxy in those circumstances to vote on all questions to be voted upon unless we notify the depositary that:</w:t>
      </w:r>
    </w:p>
    <w:p>
      <w:pPr>
        <w:pStyle w:val="TextBody"/>
        <w:spacing w:before="0" w:after="120"/>
        <w:ind w:left="806" w:right="0" w:hanging="0"/>
        <w:rPr>
          <w:rFonts w:ascii="Times New Roman;Times;serif" w:hAnsi="Times New Roman;Times;serif"/>
          <w:sz w:val="24"/>
        </w:rPr>
      </w:pPr>
      <w:r>
        <w:rPr>
          <w:rFonts w:ascii="Times New Roman;Times;serif" w:hAnsi="Times New Roman;Times;serif"/>
          <w:sz w:val="24"/>
        </w:rPr>
        <w:t>(1) we do not wish to receive a discretionary proxy;</w:t>
      </w:r>
    </w:p>
    <w:p>
      <w:pPr>
        <w:pStyle w:val="TextBody"/>
        <w:spacing w:before="0" w:after="120"/>
        <w:ind w:left="806" w:right="0" w:hanging="0"/>
        <w:rPr>
          <w:rFonts w:ascii="Times New Roman;Times;serif" w:hAnsi="Times New Roman;Times;serif"/>
          <w:sz w:val="24"/>
        </w:rPr>
      </w:pPr>
      <w:r>
        <w:rPr>
          <w:rFonts w:ascii="Times New Roman;Times;serif" w:hAnsi="Times New Roman;Times;serif"/>
          <w:sz w:val="24"/>
        </w:rPr>
        <w:t>(2) we think there is substantial shareholder opposition to the particular question; or</w:t>
      </w:r>
    </w:p>
    <w:p>
      <w:pPr>
        <w:pStyle w:val="TextBody"/>
        <w:spacing w:before="0" w:after="240"/>
        <w:ind w:left="810" w:right="0" w:hanging="0"/>
        <w:rPr>
          <w:rFonts w:ascii="Times New Roman;Times;serif" w:hAnsi="Times New Roman;Times;serif"/>
          <w:sz w:val="24"/>
        </w:rPr>
      </w:pPr>
      <w:r>
        <w:rPr>
          <w:rFonts w:ascii="Times New Roman;Times;serif" w:hAnsi="Times New Roman;Times;serif"/>
          <w:sz w:val="24"/>
        </w:rPr>
        <w:t>(3) we think the particular question would have a material adverse impact on our shareholders.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shares are not voted as you requested.</w:t>
      </w:r>
    </w:p>
    <w:p>
      <w:pPr>
        <w:pStyle w:val="HorizontalLine"/>
        <w:rPr/>
      </w:pPr>
      <w:r>
        <w:rPr/>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Fees and Expenses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tbl>
      <w:tblPr>
        <w:tblW w:w="10205" w:type="dxa"/>
        <w:jc w:val="left"/>
        <w:tblInd w:w="0" w:type="dxa"/>
        <w:tblCellMar>
          <w:top w:w="0" w:type="dxa"/>
          <w:left w:w="0" w:type="dxa"/>
          <w:bottom w:w="0" w:type="dxa"/>
          <w:right w:w="0" w:type="dxa"/>
        </w:tblCellMar>
      </w:tblPr>
      <w:tblGrid>
        <w:gridCol w:w="6030"/>
        <w:gridCol w:w="326"/>
        <w:gridCol w:w="3849"/>
      </w:tblGrid>
      <w:tr>
        <w:trPr/>
        <w:tc>
          <w:tcPr>
            <w:tcW w:w="6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829050" cy="175260"/>
                      <wp:effectExtent l="0" t="0" r="0" b="0"/>
                      <wp:wrapNone/>
                      <wp:docPr id="592" name="Frame591"/>
                      <a:graphic xmlns:a="http://schemas.openxmlformats.org/drawingml/2006/main">
                        <a:graphicData uri="http://schemas.microsoft.com/office/word/2010/wordprocessingShape">
                          <wps:wsp>
                            <wps:cNvSpPr txBox="1"/>
                            <wps:spPr>
                              <a:xfrm>
                                <a:off x="0" y="0"/>
                                <a:ext cx="3829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3" name="Frame5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444115" cy="175260"/>
                      <wp:effectExtent l="0" t="0" r="0" b="0"/>
                      <wp:wrapNone/>
                      <wp:docPr id="594" name="Frame593"/>
                      <a:graphic xmlns:a="http://schemas.openxmlformats.org/drawingml/2006/main">
                        <a:graphicData uri="http://schemas.microsoft.com/office/word/2010/wordprocessingShape">
                          <wps:wsp>
                            <wps:cNvSpPr txBox="1"/>
                            <wps:spPr>
                              <a:xfrm>
                                <a:off x="0" y="0"/>
                                <a:ext cx="2444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3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Persons depositing or withdrawing shares must pay: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84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w:t>
            </w:r>
          </w:p>
        </w:tc>
      </w:tr>
      <w:tr>
        <w:trPr/>
        <w:tc>
          <w:tcPr>
            <w:tcW w:w="6030"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Up to US$0.05 per ADS</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Issuance of ADSs, including issuances resulting from a distribution of ordinary shares or rights or other property</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Cancellation or withdrawals of ADSs</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Distribution of ADSs pursuant to stock dividends, free stock distributions or exercise of rights</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Distributions of securities other than ADSs or rights to purchase additional ADSs</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Up to US$0.02 per ADS</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Distributions of cash dividends or other cash distributions</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US$1.50 per certificate presented for transfer</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Transfer of American depositary receipts, or ADRs</w:t>
            </w:r>
          </w:p>
        </w:tc>
      </w:tr>
      <w:tr>
        <w:trPr/>
        <w:tc>
          <w:tcPr>
            <w:tcW w:w="60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pPr>
            <w:r>
              <w:rPr/>
              <w:t>​</w:t>
            </w:r>
          </w:p>
        </w:tc>
      </w:tr>
      <w:tr>
        <w:trPr/>
        <w:tc>
          <w:tcPr>
            <w:tcW w:w="60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Taxes and other governmental charges the depositary or the custodian have to pay on any ADS or ordinary shares underlying an ADS, for example, stock transfer taxes, stamp duty or withholding taxes</w:t>
            </w:r>
          </w:p>
        </w:tc>
        <w:tc>
          <w:tcPr>
            <w:tcW w:w="326" w:type="dxa"/>
            <w:tcBorders/>
            <w:shd w:fill="auto" w:val="clear"/>
            <w:vAlign w:val="center"/>
          </w:tcPr>
          <w:p>
            <w:pPr>
              <w:pStyle w:val="TableContents"/>
              <w:spacing w:before="0" w:after="0"/>
              <w:ind w:left="0" w:right="0" w:hanging="0"/>
              <w:rPr/>
            </w:pPr>
            <w:r>
              <w:rPr/>
              <w:t>​</w:t>
            </w:r>
          </w:p>
        </w:tc>
        <w:tc>
          <w:tcPr>
            <w:tcW w:w="3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As necessary</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Payment of Taxes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You will be responsible for any taxes or other governmental charges payable on your ADRs or on the deposited securities underlying your ADRs. The depositary may refuse to transfer your ADRs or allow you to withdraw the deposited securities underlying your ADRs until such taxes or other charges are paid. It may apply payments owed to you or sell deposited securities underlying your ADRs to pay any taxes owed and you will remain liable for any deficiency. If it sells deposited securities, it will, if appropriate, reduce the number of ADRs to reflect the sale and pay to you any proceeds, or send to you any property, remaining after it has paid the taxes.</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Fees and Other Payments Made by the Depositary to Us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Reclassifications, Recapitalizations and Mergers</w:t>
      </w:r>
    </w:p>
    <w:tbl>
      <w:tblPr>
        <w:tblW w:w="10205" w:type="dxa"/>
        <w:jc w:val="left"/>
        <w:tblInd w:w="0" w:type="dxa"/>
        <w:tblCellMar>
          <w:top w:w="0" w:type="dxa"/>
          <w:left w:w="0" w:type="dxa"/>
          <w:bottom w:w="0" w:type="dxa"/>
          <w:right w:w="0" w:type="dxa"/>
        </w:tblCellMar>
      </w:tblPr>
      <w:tblGrid>
        <w:gridCol w:w="2957"/>
        <w:gridCol w:w="326"/>
        <w:gridCol w:w="6922"/>
      </w:tblGrid>
      <w:tr>
        <w:trPr/>
        <w:tc>
          <w:tcPr>
            <w:tcW w:w="2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877695" cy="175260"/>
                      <wp:effectExtent l="0" t="0" r="0" b="0"/>
                      <wp:wrapNone/>
                      <wp:docPr id="595" name="Frame594"/>
                      <a:graphic xmlns:a="http://schemas.openxmlformats.org/drawingml/2006/main">
                        <a:graphicData uri="http://schemas.microsoft.com/office/word/2010/wordprocessingShape">
                          <wps:wsp>
                            <wps:cNvSpPr txBox="1"/>
                            <wps:spPr>
                              <a:xfrm>
                                <a:off x="0" y="0"/>
                                <a:ext cx="1877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6" name="Frame5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395470" cy="175260"/>
                      <wp:effectExtent l="0" t="0" r="0" b="0"/>
                      <wp:wrapNone/>
                      <wp:docPr id="597" name="Frame596"/>
                      <a:graphic xmlns:a="http://schemas.openxmlformats.org/drawingml/2006/main">
                        <a:graphicData uri="http://schemas.microsoft.com/office/word/2010/wordprocessingShape">
                          <wps:wsp>
                            <wps:cNvSpPr txBox="1"/>
                            <wps:spPr>
                              <a:xfrm>
                                <a:off x="0" y="0"/>
                                <a:ext cx="4395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If we: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Then:</w:t>
            </w:r>
          </w:p>
        </w:tc>
      </w:tr>
      <w:tr>
        <w:trPr/>
        <w:tc>
          <w:tcPr>
            <w:tcW w:w="295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92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29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Change the nominal or par value of our shares;</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The cash, shares or other securities received by the depositary will become deposited securities. Each ADR will automatically represent its equal share of the new deposited securities.</w:t>
            </w:r>
          </w:p>
        </w:tc>
      </w:tr>
      <w:tr>
        <w:trPr/>
        <w:tc>
          <w:tcPr>
            <w:tcW w:w="29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Reclassify, split up or consolidate any of the deposited securities;</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pPr>
            <w:r>
              <w:rPr/>
              <w:t>​</w:t>
            </w:r>
          </w:p>
        </w:tc>
      </w:tr>
      <w:tr>
        <w:trPr/>
        <w:tc>
          <w:tcPr>
            <w:tcW w:w="295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pPr>
            <w:r>
              <w:rPr/>
              <w:t>​</w:t>
            </w:r>
          </w:p>
        </w:tc>
      </w:tr>
      <w:tr>
        <w:trPr/>
        <w:tc>
          <w:tcPr>
            <w:tcW w:w="29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Distribute securities on the shares that are not distributed to you;</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The depositary may, and will if we ask it to, distribute some or all of the cash, shares or other securities it received. It may also issue new ADRs or ask you to surrender your outstanding ADRs in exchange for new ADRs identifying the new deposited securities.</w:t>
            </w:r>
          </w:p>
        </w:tc>
      </w:tr>
      <w:tr>
        <w:trPr/>
        <w:tc>
          <w:tcPr>
            <w:tcW w:w="29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Recapitalize, reorganize, merge, liquidate, sell all or substantially all of our assets; or</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pPr>
            <w:r>
              <w:rPr/>
              <w:t>​</w:t>
            </w:r>
          </w:p>
        </w:tc>
      </w:tr>
      <w:tr>
        <w:trPr/>
        <w:tc>
          <w:tcPr>
            <w:tcW w:w="295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pPr>
            <w:r>
              <w:rPr/>
              <w:t>​</w:t>
            </w:r>
          </w:p>
        </w:tc>
      </w:tr>
      <w:tr>
        <w:trPr/>
        <w:tc>
          <w:tcPr>
            <w:tcW w:w="29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Symbol" w:hAnsi="Symbol"/>
                <w:sz w:val="24"/>
              </w:rPr>
              <w:t>·</w:t>
            </w:r>
            <w:r>
              <w:rPr>
                <w:rFonts w:ascii="Times New Roman;Times;serif" w:hAnsi="Times New Roman;Times;serif"/>
                <w:sz w:val="20"/>
              </w:rPr>
              <w:t xml:space="preserve"> </w:t>
            </w:r>
            <w:r>
              <w:rPr>
                <w:rFonts w:ascii="Times New Roman;Times;serif" w:hAnsi="Times New Roman;Times;serif"/>
                <w:sz w:val="24"/>
              </w:rPr>
              <w:t>Take any similar action</w:t>
            </w:r>
          </w:p>
        </w:tc>
        <w:tc>
          <w:tcPr>
            <w:tcW w:w="326" w:type="dxa"/>
            <w:tcBorders/>
            <w:shd w:fill="auto" w:val="clear"/>
            <w:vAlign w:val="center"/>
          </w:tcPr>
          <w:p>
            <w:pPr>
              <w:pStyle w:val="TableContents"/>
              <w:spacing w:before="0" w:after="0"/>
              <w:ind w:left="0" w:right="0" w:hanging="0"/>
              <w:rPr/>
            </w:pPr>
            <w:r>
              <w:rPr/>
              <w:t>​</w:t>
            </w:r>
          </w:p>
        </w:tc>
        <w:tc>
          <w:tcPr>
            <w:tcW w:w="692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Amendment and Termination</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We may agree with the depositary to amend the deposit agreement and the ADRs without your consent for any reason. If the amendment will cause any of the following results, the amendment will become effective 30 days after the depositary notifies you of the amendment:</w:t>
      </w:r>
    </w:p>
    <w:tbl>
      <w:tblPr>
        <w:tblW w:w="4413" w:type="dxa"/>
        <w:jc w:val="left"/>
        <w:tblInd w:w="0" w:type="dxa"/>
        <w:tblCellMar>
          <w:top w:w="0" w:type="dxa"/>
          <w:left w:w="0" w:type="dxa"/>
          <w:bottom w:w="0" w:type="dxa"/>
          <w:right w:w="0" w:type="dxa"/>
        </w:tblCellMar>
      </w:tblPr>
      <w:tblGrid>
        <w:gridCol w:w="23"/>
        <w:gridCol w:w="170"/>
        <w:gridCol w:w="42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adds or increases fees or charges, except for:</w:t>
            </w:r>
          </w:p>
        </w:tc>
      </w:tr>
    </w:tbl>
    <w:tbl>
      <w:tblPr>
        <w:tblW w:w="3663" w:type="dxa"/>
        <w:jc w:val="left"/>
        <w:tblInd w:w="0" w:type="dxa"/>
        <w:tblCellMar>
          <w:top w:w="0" w:type="dxa"/>
          <w:left w:w="0" w:type="dxa"/>
          <w:bottom w:w="0" w:type="dxa"/>
          <w:right w:w="0" w:type="dxa"/>
        </w:tblCellMar>
      </w:tblPr>
      <w:tblGrid>
        <w:gridCol w:w="23"/>
        <w:gridCol w:w="170"/>
        <w:gridCol w:w="34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taxes and other government charges;</w:t>
            </w:r>
          </w:p>
        </w:tc>
      </w:tr>
    </w:tbl>
    <w:tbl>
      <w:tblPr>
        <w:tblW w:w="1758" w:type="dxa"/>
        <w:jc w:val="left"/>
        <w:tblInd w:w="0" w:type="dxa"/>
        <w:tblCellMar>
          <w:top w:w="0" w:type="dxa"/>
          <w:left w:w="0" w:type="dxa"/>
          <w:bottom w:w="0" w:type="dxa"/>
          <w:right w:w="0" w:type="dxa"/>
        </w:tblCellMar>
      </w:tblPr>
      <w:tblGrid>
        <w:gridCol w:w="23"/>
        <w:gridCol w:w="170"/>
        <w:gridCol w:w="15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5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registration fees;</w:t>
            </w:r>
          </w:p>
        </w:tc>
      </w:tr>
    </w:tbl>
    <w:tbl>
      <w:tblPr>
        <w:tblW w:w="4503" w:type="dxa"/>
        <w:jc w:val="left"/>
        <w:tblInd w:w="0" w:type="dxa"/>
        <w:tblCellMar>
          <w:top w:w="0" w:type="dxa"/>
          <w:left w:w="0" w:type="dxa"/>
          <w:bottom w:w="0" w:type="dxa"/>
          <w:right w:w="0" w:type="dxa"/>
        </w:tblCellMar>
      </w:tblPr>
      <w:tblGrid>
        <w:gridCol w:w="23"/>
        <w:gridCol w:w="170"/>
        <w:gridCol w:w="43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cable, telex or facsimile transmission costs; or</w:t>
            </w:r>
          </w:p>
        </w:tc>
      </w:tr>
    </w:tbl>
    <w:tbl>
      <w:tblPr>
        <w:tblW w:w="4023" w:type="dxa"/>
        <w:jc w:val="left"/>
        <w:tblInd w:w="0" w:type="dxa"/>
        <w:tblCellMar>
          <w:top w:w="0" w:type="dxa"/>
          <w:left w:w="0" w:type="dxa"/>
          <w:bottom w:w="0" w:type="dxa"/>
          <w:right w:w="0" w:type="dxa"/>
        </w:tblCellMar>
      </w:tblPr>
      <w:tblGrid>
        <w:gridCol w:w="23"/>
        <w:gridCol w:w="170"/>
        <w:gridCol w:w="38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delivery costs or other such expenses; or</w:t>
            </w:r>
          </w:p>
        </w:tc>
      </w:tr>
    </w:tbl>
    <w:tbl>
      <w:tblPr>
        <w:tblW w:w="4773" w:type="dxa"/>
        <w:jc w:val="left"/>
        <w:tblInd w:w="0" w:type="dxa"/>
        <w:tblCellMar>
          <w:top w:w="0" w:type="dxa"/>
          <w:left w:w="0" w:type="dxa"/>
          <w:bottom w:w="0" w:type="dxa"/>
          <w:right w:w="0" w:type="dxa"/>
        </w:tblCellMar>
      </w:tblPr>
      <w:tblGrid>
        <w:gridCol w:w="23"/>
        <w:gridCol w:w="170"/>
        <w:gridCol w:w="45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prejudices any substantial right of ADR holders.</w:t>
            </w:r>
          </w:p>
        </w:tc>
      </w:tr>
    </w:tbl>
    <w:p>
      <w:pPr>
        <w:pStyle w:val="TextBody"/>
        <w:spacing w:before="0" w:after="240"/>
        <w:ind w:left="6" w:right="0" w:firstLine="714"/>
        <w:rPr>
          <w:rFonts w:ascii="Times New Roman;Times;serif" w:hAnsi="Times New Roman;Times;serif"/>
          <w:sz w:val="24"/>
        </w:rPr>
      </w:pPr>
      <w:r>
        <w:rPr>
          <w:rFonts w:ascii="Times New Roman;Times;serif" w:hAnsi="Times New Roman;Times;serif"/>
          <w:sz w:val="24"/>
        </w:rPr>
        <w:t>At the time an amendment becomes effective, you are considered, by continuing to hold your ADRs, to agree to the amendment and to be bound by the ADRs and the deposit agreement, as amended.</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will terminate the deposit agreement if we ask it to do so. In such case, the depositary must notify you at least 30 days before termination. The depositary may also terminate the deposit agreement if the depositary has told us that it would like to resign and we have not appointed a new depositary bank within 90 days.</w:t>
      </w:r>
    </w:p>
    <w:p>
      <w:pPr>
        <w:pStyle w:val="HorizontalLine"/>
        <w:rPr/>
      </w:pPr>
      <w:r>
        <w:rPr/>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After termination, the depositary and its agents will be required to do only the following under the deposit agreement:</w:t>
      </w:r>
    </w:p>
    <w:tbl>
      <w:tblPr>
        <w:tblW w:w="5478" w:type="dxa"/>
        <w:jc w:val="left"/>
        <w:tblInd w:w="0" w:type="dxa"/>
        <w:tblCellMar>
          <w:top w:w="0" w:type="dxa"/>
          <w:left w:w="0" w:type="dxa"/>
          <w:bottom w:w="0" w:type="dxa"/>
          <w:right w:w="0" w:type="dxa"/>
        </w:tblCellMar>
      </w:tblPr>
      <w:tblGrid>
        <w:gridCol w:w="23"/>
        <w:gridCol w:w="170"/>
        <w:gridCol w:w="52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advise you that the deposit agreement is terminated;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collect distributions on the deposited securities and deliver the deliverable portion of shares and other deposited securities upon cancellation of ADRs.</w:t>
            </w:r>
          </w:p>
        </w:tc>
      </w:tr>
    </w:tbl>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One year after termination, the depositary may sell any remaining deposited securities by public or private sale. After that, the depositary will hold the proceeds of the sale, as well as any other cash it is holding under the deposit agreement for the pro rata benefit of the ADR holders that have not surrendered their ADRs or are unable to surrender their ADRs because they represent less than a unit of shares. It will not invest the money and will have no liability for interest. The depositary’s only obligations will be an indemnification obligation and an obligation to account for the proceeds of the sale and other cash. After termination, our only obligations will be an indemnification obligation and our obligation to pay specified amounts to the depositary.</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Limitations on Obligations and Liability to ADR Holders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 agreement expressly limits our obligations and the obligations of the depositary, and it limits our liability and the liability of the depositary. We and the depositary:</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are only obligated to take the actions specifically provided for in the deposit agreement without negligence or bad faith;</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are not liable if either is prevented or delayed by law or circumstances beyond their control from performing their obligations under the deposit agreement;</w:t>
            </w:r>
          </w:p>
        </w:tc>
      </w:tr>
    </w:tbl>
    <w:tbl>
      <w:tblPr>
        <w:tblW w:w="7818" w:type="dxa"/>
        <w:jc w:val="left"/>
        <w:tblInd w:w="0" w:type="dxa"/>
        <w:tblCellMar>
          <w:top w:w="0" w:type="dxa"/>
          <w:left w:w="0" w:type="dxa"/>
          <w:bottom w:w="0" w:type="dxa"/>
          <w:right w:w="0" w:type="dxa"/>
        </w:tblCellMar>
      </w:tblPr>
      <w:tblGrid>
        <w:gridCol w:w="23"/>
        <w:gridCol w:w="170"/>
        <w:gridCol w:w="76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are not liable if either exercises discretion permitted under the deposit agreement;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have no obligation to become involved in a lawsuit or other proceeding related to the ADRs or the deposit agreement on your behalf of any other party;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 rely upon any documents they believe in good faith to be genuine and to have been signed or presented by the proper party.</w:t>
            </w:r>
          </w:p>
        </w:tc>
      </w:tr>
    </w:tbl>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In the deposit agreement, we and the depositary agree to indemnify each other under designated circumstances.</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Requirements for Depositary Actions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Before the depositary will issue or register the transfer of an ADR, make a distribution on an ADR, or process a withdrawal of shares, the depositary may require: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payment of stock transfer or other taxes or other governmental charges and transfer or registration fees charged by third parties for the transfer of any shares or other deposited securities;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production of satisfactory proof of the identity and genuineness of any signature or other information it deems necessary;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compliance with regulations that it may establish, from time to time, consistent with the deposit agreement, including presentation of transfer documents.</w:t>
            </w:r>
          </w:p>
        </w:tc>
      </w:tr>
    </w:tbl>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The depositary may refuse to deliver, transfer or register transfers of ADRs generally when our books or the books of the depositary are closed, or at any time if the depositary or we think it advisable to do so.</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You have the right to cancel your ADRs and withdraw the underlying shares at any time except: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when temporary delays arise because: (1) the depositary or we have closed its or our transfer books; (2) the transfer of shares is blocked to permit voting at a shareholders’ meeting; or (3) we are paying a dividend on the shares;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when you or other ADR holders seeking to withdraw shares owe money to pay fees, taxes and similar charges; 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when it is necessary to prohibit withdrawals in order to comply with any laws or governmental regulations that apply to ADRs or to the withdrawal of shares or other deposited securities.</w:t>
            </w:r>
          </w:p>
        </w:tc>
      </w:tr>
    </w:tbl>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This right of withdrawal may not be limited by any other provision of the deposit agreement.</w:t>
      </w:r>
    </w:p>
    <w:p>
      <w:pPr>
        <w:pStyle w:val="TextBody"/>
        <w:spacing w:before="0" w:after="240"/>
        <w:ind w:left="0" w:right="0" w:hanging="0"/>
        <w:rPr>
          <w:rFonts w:ascii="Times New Roman;Times;serif" w:hAnsi="Times New Roman;Times;serif"/>
          <w:b/>
          <w:i/>
          <w:sz w:val="24"/>
        </w:rPr>
      </w:pPr>
      <w:r>
        <w:rPr>
          <w:rFonts w:ascii="Times New Roman;Times;serif" w:hAnsi="Times New Roman;Times;serif"/>
          <w:b/>
          <w:i/>
          <w:sz w:val="24"/>
        </w:rPr>
        <w:t>Pre-Release of ADRs</w:t>
      </w:r>
    </w:p>
    <w:p>
      <w:pPr>
        <w:pStyle w:val="TextBody"/>
        <w:spacing w:before="0" w:after="240"/>
        <w:ind w:left="6" w:right="0" w:firstLine="720"/>
        <w:rPr>
          <w:rFonts w:ascii="Times New Roman;Times;serif" w:hAnsi="Times New Roman;Times;serif"/>
          <w:sz w:val="24"/>
        </w:rPr>
      </w:pPr>
      <w:r>
        <w:rPr>
          <w:rFonts w:ascii="Times New Roman;Times;serif" w:hAnsi="Times New Roman;Times;serif"/>
          <w:sz w:val="24"/>
        </w:rPr>
        <w:t>In compliance with the provisions of the deposit agreement, the depositary may issue ADRs before deposit of the underlying shares. This is called a pre-release of the ADR. The depositary may also deliver shares upon cancellation of pre-released ADRs, even if the ADRs are cancelled before the pre-release transaction has been closed out. A pre-release is closed out as soon as the underlying shares are delivered to the depositary. The depositary may receive ADRs instead of shares to close out a pre-release. The depositary may pre-release ADRs only under the following conditions: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before or at the time of the pre-release, the person to whom the pre-release is being made must represent to the depositary in writing that it or its customer owns the shares or ADRs to be deposited;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pre-release must be fully collateralized with cash or other collateral that the depositary considers appropriate; and</w:t>
            </w:r>
          </w:p>
        </w:tc>
      </w:tr>
    </w:tbl>
    <w:tbl>
      <w:tblPr>
        <w:tblW w:w="9543" w:type="dxa"/>
        <w:jc w:val="left"/>
        <w:tblInd w:w="0" w:type="dxa"/>
        <w:tblCellMar>
          <w:top w:w="0" w:type="dxa"/>
          <w:left w:w="0" w:type="dxa"/>
          <w:bottom w:w="0" w:type="dxa"/>
          <w:right w:w="0" w:type="dxa"/>
        </w:tblCellMar>
      </w:tblPr>
      <w:tblGrid>
        <w:gridCol w:w="23"/>
        <w:gridCol w:w="170"/>
        <w:gridCol w:w="93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depositary must be able to close out the pre-release on not more than five business days’ notice.</w:t>
            </w:r>
          </w:p>
        </w:tc>
      </w:tr>
    </w:tbl>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In addition, the depositary will limit the number of ADRs that may be outstanding at any time as a result of pre-release to 30% of total shares deposited, although the depositary may disregard the limit from time to time, if it thinks it is appropriate to do so.</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292" w:name="ntes-20221231xex4d47.htm"/>
      <w:bookmarkStart w:id="2293" w:name="ksntes20221231xex4d47"/>
      <w:bookmarkEnd w:id="2292"/>
      <w:bookmarkEnd w:id="2293"/>
      <w:r>
        <w:rPr>
          <w:rFonts w:ascii="Times New Roman;Times;serif" w:hAnsi="Times New Roman;Times;serif"/>
          <w:b/>
          <w:sz w:val="24"/>
        </w:rPr>
        <w:t>Exhibit 4.47</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THE AMENDED AND RESTATED LOAN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Amended and Restated Loan Agreement (“</w:t>
      </w:r>
      <w:r>
        <w:rPr>
          <w:rFonts w:ascii="Times New Roman;Times;serif" w:hAnsi="Times New Roman;Times;serif"/>
          <w:b/>
          <w:sz w:val="24"/>
        </w:rPr>
        <w:t>this Agreement</w:t>
      </w:r>
      <w:r>
        <w:rPr>
          <w:rFonts w:ascii="Times New Roman;Times;serif" w:hAnsi="Times New Roman;Times;serif"/>
          <w:sz w:val="20"/>
        </w:rPr>
        <w:t>”</w:t>
      </w:r>
      <w:r>
        <w:rPr>
          <w:rFonts w:ascii="Times New Roman;Times;serif" w:hAnsi="Times New Roman;Times;serif"/>
          <w:sz w:val="24"/>
        </w:rPr>
        <w:t>) is entered into by and among the following parties on May 18, 2021:</w:t>
      </w:r>
    </w:p>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99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Hangzhou NetEase Cloud Music Technology Co., Ltd.</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Lender</w:t>
            </w:r>
            <w:r>
              <w:rPr>
                <w:rFonts w:ascii="Times New Roman;Times;serif" w:hAnsi="Times New Roman;Times;serif"/>
                <w:sz w:val="20"/>
              </w:rPr>
              <w:t>”</w:t>
            </w:r>
            <w:r>
              <w:rPr>
                <w:rFonts w:ascii="Times New Roman;Times;serif" w:hAnsi="Times New Roman;Times;serif"/>
                <w:sz w:val="24"/>
              </w:rPr>
              <w:t>), a wholly foreign owned enterprise registered in Hangzhou, People’s Republic of China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with its address at Room 1201, Block A, Hangzhou International Expo Center, No. 353 Benjing Avenue, Qianjiang Century City, Xiaoshan District, Hangzhou, Zhejiang; and</w:t>
            </w:r>
          </w:p>
        </w:tc>
      </w:tr>
    </w:tbl>
    <w:tbl>
      <w:tblPr>
        <w:tblW w:w="3483" w:type="dxa"/>
        <w:jc w:val="left"/>
        <w:tblInd w:w="0" w:type="dxa"/>
        <w:tblCellMar>
          <w:top w:w="0" w:type="dxa"/>
          <w:left w:w="0" w:type="dxa"/>
          <w:bottom w:w="0" w:type="dxa"/>
          <w:right w:w="0" w:type="dxa"/>
        </w:tblCellMar>
      </w:tblPr>
      <w:tblGrid>
        <w:gridCol w:w="23"/>
        <w:gridCol w:w="290"/>
        <w:gridCol w:w="317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31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William Lei Ding, a PRC citizen.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Lender and Borrower are hereinafter jointly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individually, as a “</w:t>
      </w:r>
      <w:r>
        <w:rPr>
          <w:rFonts w:ascii="Times New Roman;Times;serif" w:hAnsi="Times New Roman;Times;serif"/>
          <w:b/>
          <w:sz w:val="24"/>
        </w:rPr>
        <w:t>Party</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w:t>
      </w:r>
    </w:p>
    <w:tbl>
      <w:tblPr>
        <w:tblW w:w="9108" w:type="dxa"/>
        <w:jc w:val="left"/>
        <w:tblInd w:w="0" w:type="dxa"/>
        <w:tblCellMar>
          <w:top w:w="0" w:type="dxa"/>
          <w:left w:w="0" w:type="dxa"/>
          <w:bottom w:w="0" w:type="dxa"/>
          <w:right w:w="0" w:type="dxa"/>
        </w:tblCellMar>
      </w:tblPr>
      <w:tblGrid>
        <w:gridCol w:w="23"/>
        <w:gridCol w:w="260"/>
        <w:gridCol w:w="8825"/>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882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entered into a Loan Agreement on October 1, 2016 (the “</w:t>
            </w:r>
            <w:r>
              <w:rPr>
                <w:rFonts w:ascii="Times New Roman;Times;serif" w:hAnsi="Times New Roman;Times;serif"/>
                <w:b/>
                <w:sz w:val="24"/>
              </w:rPr>
              <w:t>Original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3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Borrower has made</w:t>
            </w:r>
            <w:r>
              <w:rPr>
                <w:rFonts w:ascii="Times New Roman;Times;serif" w:hAnsi="Times New Roman;Times;serif"/>
                <w:sz w:val="20"/>
              </w:rPr>
              <w:t xml:space="preserve"> </w:t>
            </w:r>
            <w:r>
              <w:rPr>
                <w:rFonts w:ascii="Times New Roman;Times;serif" w:hAnsi="Times New Roman;Times;serif"/>
                <w:sz w:val="24"/>
              </w:rPr>
              <w:t>an investment of RMB9,900,000 (the “</w:t>
            </w:r>
            <w:r>
              <w:rPr>
                <w:rFonts w:ascii="Times New Roman;Times;serif" w:hAnsi="Times New Roman;Times;serif"/>
                <w:b/>
                <w:sz w:val="24"/>
              </w:rPr>
              <w:t>Capital Contribution Amount”</w:t>
            </w:r>
            <w:r>
              <w:rPr>
                <w:rFonts w:ascii="Times New Roman;Times;serif" w:hAnsi="Times New Roman;Times;serif"/>
                <w:sz w:val="24"/>
              </w:rPr>
              <w:t>) in the registered capital of Hangzhou Yuedu Technology Co., Ltd., a limited liability company registered in Hangzhou, PRC with its address at Room 1202, Block A, Hangzhou International Expo Center, No. 353 Benjing Avenue, Qianjiang Century City, Ningwei Street, Xiaoshan District, Hangzhou, Zhejiang (the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in return for which the Borrower has acquired 99% (the “</w:t>
            </w:r>
            <w:r>
              <w:rPr>
                <w:rFonts w:ascii="Times New Roman;Times;serif" w:hAnsi="Times New Roman;Times;serif"/>
                <w:b/>
                <w:sz w:val="24"/>
              </w:rPr>
              <w:t>Target Equity</w:t>
            </w:r>
            <w:r>
              <w:rPr>
                <w:rFonts w:ascii="Times New Roman;Times;serif" w:hAnsi="Times New Roman;Times;serif"/>
                <w:sz w:val="20"/>
              </w:rPr>
              <w:t>”</w:t>
            </w:r>
            <w:r>
              <w:rPr>
                <w:rFonts w:ascii="Times New Roman;Times;serif" w:hAnsi="Times New Roman;Times;serif"/>
                <w:sz w:val="24"/>
              </w:rPr>
              <w:t>) of the equity interest in the Domestic Company.</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Lender provided to the Borrower a loan in an amount equal to the Capital Contribution Amount in accordance with the Original Agreement, in order for Borrower to have sufficient funds to make such capital contribution in return for the Target Equity. Lender may in its absolute discretion provide to Borrower additional loans from time to time in accordance with this Agreement, in amounts as agreed to by Lender and Borrower.</w:t>
            </w:r>
          </w:p>
        </w:tc>
      </w:tr>
    </w:tbl>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hereto desire to enter into this Agreement to terminate, supersede</w:t>
            </w:r>
            <w:r>
              <w:rPr>
                <w:rFonts w:ascii="Times New Roman;Times;serif" w:hAnsi="Times New Roman;Times;serif"/>
                <w:sz w:val="20"/>
              </w:rPr>
              <w:t xml:space="preserve"> </w:t>
            </w:r>
            <w:r>
              <w:rPr>
                <w:rFonts w:ascii="Times New Roman;Times;serif" w:hAnsi="Times New Roman;Times;serif"/>
                <w:sz w:val="24"/>
              </w:rPr>
              <w:t>and replace the Original</w:t>
            </w:r>
            <w:r>
              <w:rPr>
                <w:rFonts w:ascii="Times New Roman;Times;serif" w:hAnsi="Times New Roman;Times;serif"/>
                <w:sz w:val="20"/>
              </w:rPr>
              <w:t xml:space="preserve"> </w:t>
            </w:r>
            <w:r>
              <w:rPr>
                <w:rFonts w:ascii="Times New Roman;Times;serif" w:hAnsi="Times New Roman;Times;serif"/>
                <w:sz w:val="24"/>
              </w:rPr>
              <w:t>Agreement</w:t>
            </w:r>
            <w:r>
              <w:rPr>
                <w:rFonts w:ascii="Times New Roman;Times;serif" w:hAnsi="Times New Roman;Times;serif"/>
                <w:sz w:val="20"/>
              </w:rPr>
              <w:t xml:space="preserve"> </w:t>
            </w:r>
            <w:r>
              <w:rPr>
                <w:rFonts w:ascii="Times New Roman;Times;serif" w:hAnsi="Times New Roman;Times;serif"/>
                <w:sz w:val="24"/>
              </w:rPr>
              <w:t>in its entirety.</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Therefore</w:t>
      </w:r>
      <w:r>
        <w:rPr>
          <w:rFonts w:ascii="Times New Roman;Times;serif" w:hAnsi="Times New Roman;Times;serif"/>
          <w:sz w:val="24"/>
        </w:rPr>
        <w:t>, the Parties enter into this Agreement as follows upon friendly negotiation:</w:t>
      </w:r>
    </w:p>
    <w:tbl>
      <w:tblPr>
        <w:tblW w:w="715" w:type="dxa"/>
        <w:jc w:val="left"/>
        <w:tblInd w:w="0" w:type="dxa"/>
        <w:tblCellMar>
          <w:top w:w="0" w:type="dxa"/>
          <w:left w:w="0" w:type="dxa"/>
          <w:bottom w:w="0" w:type="dxa"/>
          <w:right w:w="0" w:type="dxa"/>
        </w:tblCellMar>
      </w:tblPr>
      <w:tblGrid>
        <w:gridCol w:w="200"/>
        <w:gridCol w:w="51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w:t>
            </w:r>
          </w:p>
        </w:tc>
        <w:tc>
          <w:tcPr>
            <w:tcW w:w="51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Loan</w:t>
            </w:r>
          </w:p>
        </w:tc>
      </w:tr>
    </w:tbl>
    <w:tbl>
      <w:tblPr>
        <w:tblW w:w="10205" w:type="dxa"/>
        <w:jc w:val="left"/>
        <w:tblInd w:w="0" w:type="dxa"/>
        <w:tblCellMar>
          <w:top w:w="0" w:type="dxa"/>
          <w:left w:w="0" w:type="dxa"/>
          <w:bottom w:w="0" w:type="dxa"/>
          <w:right w:w="0" w:type="dxa"/>
        </w:tblCellMar>
      </w:tblPr>
      <w:tblGrid>
        <w:gridCol w:w="23"/>
        <w:gridCol w:w="325"/>
        <w:gridCol w:w="9857"/>
      </w:tblGrid>
      <w:tr>
        <w:trPr/>
        <w:tc>
          <w:tcPr>
            <w:tcW w:w="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985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On and subject to the terms and conditions hereof, Lender provides Borrower with a loan in an aggregate amount of RMB9,900,000</w:t>
            </w:r>
            <w:r>
              <w:rPr>
                <w:rFonts w:ascii="Times New Roman;Times;serif" w:hAnsi="Times New Roman;Times;serif"/>
                <w:sz w:val="20"/>
              </w:rPr>
              <w:t xml:space="preserve"> </w:t>
            </w:r>
            <w:r>
              <w:rPr>
                <w:rFonts w:ascii="Times New Roman;Times;serif" w:hAnsi="Times New Roman;Times;serif"/>
                <w:sz w:val="24"/>
              </w:rPr>
              <w:t>Yuan</w:t>
            </w:r>
            <w:r>
              <w:rPr>
                <w:rFonts w:ascii="Times New Roman;Times;serif" w:hAnsi="Times New Roman;Times;serif"/>
                <w:sz w:val="20"/>
              </w:rPr>
              <w:t xml:space="preserve"> </w:t>
            </w:r>
            <w:r>
              <w:rPr>
                <w:rFonts w:ascii="Times New Roman;Times;serif" w:hAnsi="Times New Roman;Times;serif"/>
                <w:sz w:val="24"/>
              </w:rPr>
              <w:t>on the date hereof (the “</w:t>
            </w:r>
            <w:r>
              <w:rPr>
                <w:rFonts w:ascii="Times New Roman;Times;serif" w:hAnsi="Times New Roman;Times;serif"/>
                <w:b/>
                <w:sz w:val="24"/>
              </w:rPr>
              <w:t>Loan</w:t>
            </w:r>
            <w:r>
              <w:rPr>
                <w:rFonts w:ascii="Times New Roman;Times;serif" w:hAnsi="Times New Roman;Times;serif"/>
                <w:sz w:val="20"/>
              </w:rPr>
              <w:t>”</w:t>
            </w:r>
            <w:r>
              <w:rPr>
                <w:rFonts w:ascii="Times New Roman;Times;serif" w:hAnsi="Times New Roman;Times;serif"/>
                <w:sz w:val="24"/>
              </w:rPr>
              <w:t>, which term shall be deemed to include Additional Loans (as defined in the following sentence), if any). Lender and Borrower further agree that Lender may in its absolute discretion provide to Borrower one or more additional loans (“</w:t>
            </w:r>
            <w:r>
              <w:rPr>
                <w:rFonts w:ascii="Times New Roman;Times;serif" w:hAnsi="Times New Roman;Times;serif"/>
                <w:b/>
                <w:sz w:val="24"/>
              </w:rPr>
              <w:t>Additional Loan</w:t>
            </w:r>
            <w:r>
              <w:rPr>
                <w:rFonts w:ascii="Times New Roman;Times;serif" w:hAnsi="Times New Roman;Times;serif"/>
                <w:sz w:val="20"/>
              </w:rPr>
              <w:t>”</w:t>
            </w:r>
            <w:r>
              <w:rPr>
                <w:rFonts w:ascii="Times New Roman;Times;serif" w:hAnsi="Times New Roman;Times;serif"/>
                <w:sz w:val="24"/>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Times New Roman;Times;serif" w:hAnsi="Times New Roman;Times;serif"/>
                <w:sz w:val="24"/>
                <w:u w:val="single"/>
              </w:rPr>
              <w:t>Exhibit A</w:t>
            </w:r>
            <w:r>
              <w:rPr>
                <w:rFonts w:ascii="Times New Roman;Times;serif" w:hAnsi="Times New Roman;Times;serif"/>
                <w:sz w:val="24"/>
              </w:rPr>
              <w:t>. Both Parties agree and confirm that the Loan shall be interest-free, except as provided in Article 1.5 below. The Borrower agrees to use the Loan to pay for the Capital Contribution Amount to acquire the Target Equity and, unless with the prior written consent of the Lender, will not use the Loan for any other purpose.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32"/>
        <w:gridCol w:w="9850"/>
      </w:tblGrid>
      <w:tr>
        <w:trPr/>
        <w:tc>
          <w:tcPr>
            <w:tcW w:w="2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98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term of this Agreement (“</w:t>
            </w:r>
            <w:r>
              <w:rPr>
                <w:rFonts w:ascii="Times New Roman;Times;serif" w:hAnsi="Times New Roman;Times;serif"/>
                <w:b/>
                <w:sz w:val="24"/>
              </w:rPr>
              <w:t>Term</w:t>
            </w:r>
            <w:r>
              <w:rPr>
                <w:rFonts w:ascii="Times New Roman;Times;serif" w:hAnsi="Times New Roman;Times;serif"/>
                <w:sz w:val="20"/>
              </w:rPr>
              <w:t>”</w:t>
            </w:r>
            <w:r>
              <w:rPr>
                <w:rFonts w:ascii="Times New Roman;Times;serif" w:hAnsi="Times New Roman;Times;serif"/>
                <w:sz w:val="24"/>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tc>
      </w:tr>
    </w:tbl>
    <w:tbl>
      <w:tblPr>
        <w:tblW w:w="10205" w:type="dxa"/>
        <w:jc w:val="left"/>
        <w:tblInd w:w="0" w:type="dxa"/>
        <w:tblCellMar>
          <w:top w:w="0" w:type="dxa"/>
          <w:left w:w="0" w:type="dxa"/>
          <w:bottom w:w="0" w:type="dxa"/>
          <w:right w:w="0" w:type="dxa"/>
        </w:tblCellMar>
      </w:tblPr>
      <w:tblGrid>
        <w:gridCol w:w="23"/>
        <w:gridCol w:w="331"/>
        <w:gridCol w:w="9851"/>
      </w:tblGrid>
      <w:tr>
        <w:trPr/>
        <w:tc>
          <w:tcPr>
            <w:tcW w:w="2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98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becomes deceased, bankrupt, mentally incapacitated or is otherwise lacking in or has limitations in civil capacity;</w:t>
            </w:r>
          </w:p>
        </w:tc>
      </w:tr>
    </w:tbl>
    <w:tbl>
      <w:tblPr>
        <w:tblW w:w="10205" w:type="dxa"/>
        <w:jc w:val="left"/>
        <w:tblInd w:w="0" w:type="dxa"/>
        <w:tblCellMar>
          <w:top w:w="0" w:type="dxa"/>
          <w:left w:w="0" w:type="dxa"/>
          <w:bottom w:w="0" w:type="dxa"/>
          <w:right w:w="0" w:type="dxa"/>
        </w:tblCellMar>
      </w:tblPr>
      <w:tblGrid>
        <w:gridCol w:w="23"/>
        <w:gridCol w:w="243"/>
        <w:gridCol w:w="9939"/>
      </w:tblGrid>
      <w:tr>
        <w:trPr/>
        <w:tc>
          <w:tcPr>
            <w:tcW w:w="2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3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for any reason, ceases to be the holder of equity interests in the Domestic Company or reduces his proportion of equity interests in the Domestic Company except for transfers of equity interests in the Domestic Company to which Lender has consented;</w:t>
            </w:r>
          </w:p>
        </w:tc>
      </w:tr>
    </w:tbl>
    <w:tbl>
      <w:tblPr>
        <w:tblW w:w="10205" w:type="dxa"/>
        <w:jc w:val="left"/>
        <w:tblInd w:w="0" w:type="dxa"/>
        <w:tblCellMar>
          <w:top w:w="0" w:type="dxa"/>
          <w:left w:w="0" w:type="dxa"/>
          <w:bottom w:w="0" w:type="dxa"/>
          <w:right w:w="0" w:type="dxa"/>
        </w:tblCellMar>
      </w:tblPr>
      <w:tblGrid>
        <w:gridCol w:w="23"/>
        <w:gridCol w:w="208"/>
        <w:gridCol w:w="9974"/>
      </w:tblGrid>
      <w:tr>
        <w:trPr/>
        <w:tc>
          <w:tcPr>
            <w:tcW w:w="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7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Times New Roman;Times;serif" w:hAnsi="Times New Roman;Times;serif"/>
                <w:b/>
                <w:sz w:val="24"/>
              </w:rPr>
              <w:t>Transaction Documents</w:t>
            </w:r>
            <w:r>
              <w:rPr>
                <w:rFonts w:ascii="Times New Roman;Times;serif" w:hAnsi="Times New Roman;Times;serif"/>
                <w:sz w:val="20"/>
              </w:rPr>
              <w:t>”</w:t>
            </w:r>
            <w:r>
              <w:rPr>
                <w:rFonts w:ascii="Times New Roman;Times;serif" w:hAnsi="Times New Roman;Times;serif"/>
                <w:sz w:val="24"/>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tc>
      </w:tr>
    </w:tbl>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is permitted to acquire a direct equity interest in Domestic Company due to a change in PRC laws or regulations or the application or interpretation thereof; or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44"/>
        <w:gridCol w:w="9938"/>
      </w:tblGrid>
      <w:tr>
        <w:trPr/>
        <w:tc>
          <w:tcPr>
            <w:tcW w:w="2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3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 court or other government authority deems this Agreement or any of the Transaction Documents or a substantial portion thereof to be invalid, illegal or unenforceable.</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98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w:t>
            </w:r>
            <w:r>
              <w:rPr>
                <w:rFonts w:ascii="Times New Roman;Times;serif" w:hAnsi="Times New Roman;Times;serif"/>
                <w:sz w:val="20"/>
              </w:rPr>
              <w:t xml:space="preserve"> </w:t>
            </w:r>
            <w:r>
              <w:rPr>
                <w:rFonts w:ascii="Times New Roman;Times;serif" w:hAnsi="Times New Roman;Times;serif"/>
                <w:sz w:val="24"/>
              </w:rPr>
              <w:t>either of</w:t>
            </w:r>
            <w:r>
              <w:rPr>
                <w:rFonts w:ascii="Times New Roman;Times;serif" w:hAnsi="Times New Roman;Times;serif"/>
                <w:sz w:val="20"/>
              </w:rPr>
              <w:t xml:space="preserve"> </w:t>
            </w:r>
            <w:r>
              <w:rPr>
                <w:rFonts w:ascii="Times New Roman;Times;serif" w:hAnsi="Times New Roman;Times;serif"/>
                <w:sz w:val="24"/>
              </w:rPr>
              <w:t>these methods:</w:t>
            </w:r>
          </w:p>
        </w:tc>
      </w:tr>
    </w:tbl>
    <w:tbl>
      <w:tblPr>
        <w:tblW w:w="10205" w:type="dxa"/>
        <w:jc w:val="left"/>
        <w:tblInd w:w="0" w:type="dxa"/>
        <w:tblCellMar>
          <w:top w:w="0" w:type="dxa"/>
          <w:left w:w="0" w:type="dxa"/>
          <w:bottom w:w="0" w:type="dxa"/>
          <w:right w:w="0" w:type="dxa"/>
        </w:tblCellMar>
      </w:tblPr>
      <w:tblGrid>
        <w:gridCol w:w="23"/>
        <w:gridCol w:w="237"/>
        <w:gridCol w:w="9945"/>
      </w:tblGrid>
      <w:tr>
        <w:trPr/>
        <w:tc>
          <w:tcPr>
            <w:tcW w:w="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Equity Option. If selected by Lender, Borrower shall repay the Loan by transferring his equity interests in the Domestic Company (“</w:t>
            </w:r>
            <w:r>
              <w:rPr>
                <w:rFonts w:ascii="Times New Roman;Times;serif" w:hAnsi="Times New Roman;Times;serif"/>
                <w:b/>
                <w:sz w:val="24"/>
              </w:rPr>
              <w:t>Borrower’s Equity</w:t>
            </w:r>
            <w:r>
              <w:rPr>
                <w:rFonts w:ascii="Times New Roman;Times;serif" w:hAnsi="Times New Roman;Times;serif"/>
                <w:sz w:val="20"/>
              </w:rPr>
              <w:t>”</w:t>
            </w:r>
            <w:r>
              <w:rPr>
                <w:rFonts w:ascii="Times New Roman;Times;serif" w:hAnsi="Times New Roman;Times;serif"/>
                <w:sz w:val="24"/>
              </w:rPr>
              <w:t>) to Lender or Lender’s designated persons; or</w:t>
            </w:r>
          </w:p>
        </w:tc>
      </w:tr>
    </w:tbl>
    <w:tbl>
      <w:tblPr>
        <w:tblW w:w="10205" w:type="dxa"/>
        <w:jc w:val="left"/>
        <w:tblInd w:w="0" w:type="dxa"/>
        <w:tblCellMar>
          <w:top w:w="0" w:type="dxa"/>
          <w:left w:w="0" w:type="dxa"/>
          <w:bottom w:w="0" w:type="dxa"/>
          <w:right w:w="0" w:type="dxa"/>
        </w:tblCellMar>
      </w:tblPr>
      <w:tblGrid>
        <w:gridCol w:w="23"/>
        <w:gridCol w:w="230"/>
        <w:gridCol w:w="9952"/>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tc>
      </w:tr>
    </w:tbl>
    <w:tbl>
      <w:tblPr>
        <w:tblW w:w="10205" w:type="dxa"/>
        <w:jc w:val="left"/>
        <w:tblInd w:w="0" w:type="dxa"/>
        <w:tblCellMar>
          <w:top w:w="0" w:type="dxa"/>
          <w:left w:w="0" w:type="dxa"/>
          <w:bottom w:w="0" w:type="dxa"/>
          <w:right w:w="0" w:type="dxa"/>
        </w:tblCellMar>
      </w:tblPr>
      <w:tblGrid>
        <w:gridCol w:w="23"/>
        <w:gridCol w:w="330"/>
        <w:gridCol w:w="9852"/>
      </w:tblGrid>
      <w:tr>
        <w:trPr/>
        <w:tc>
          <w:tcPr>
            <w:tcW w:w="2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985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If the transfer price for Borrower’s Equity pursuant to Article 1.4(a) or the other consideration provided by Borrower pursuant to Article 1.4(b) exceeds the outstanding principal of the Loan hereunder, then such excess shall be deemed the aggregate interest</w:t>
            </w:r>
            <w:r>
              <w:rPr>
                <w:rFonts w:ascii="Times New Roman;Times;serif" w:hAnsi="Times New Roman;Times;serif"/>
                <w:sz w:val="20"/>
              </w:rPr>
              <w:t xml:space="preserve"> </w:t>
            </w:r>
            <w:r>
              <w:rPr>
                <w:rFonts w:ascii="Times New Roman;Times;serif" w:hAnsi="Times New Roman;Times;serif"/>
                <w:sz w:val="24"/>
              </w:rPr>
              <w:t>upon the loan (calculated by the highest permitted by the PRC laws) and</w:t>
            </w:r>
            <w:r>
              <w:rPr>
                <w:rFonts w:ascii="Times New Roman;Times;serif" w:hAnsi="Times New Roman;Times;serif"/>
                <w:sz w:val="20"/>
              </w:rPr>
              <w:t xml:space="preserve"> </w:t>
            </w:r>
            <w:r>
              <w:rPr>
                <w:rFonts w:ascii="Times New Roman;Times;serif" w:hAnsi="Times New Roman;Times;serif"/>
                <w:sz w:val="24"/>
              </w:rPr>
              <w:t>financing cost. Borrower shall repay all interest on the Loan, together with</w:t>
            </w:r>
            <w:r>
              <w:rPr>
                <w:rFonts w:ascii="Times New Roman;Times;serif" w:hAnsi="Times New Roman;Times;serif"/>
                <w:sz w:val="20"/>
              </w:rPr>
              <w:t xml:space="preserve"> </w:t>
            </w:r>
            <w:r>
              <w:rPr>
                <w:rFonts w:ascii="Times New Roman;Times;serif" w:hAnsi="Times New Roman;Times;serif"/>
                <w:sz w:val="24"/>
              </w:rPr>
              <w:t>principal and financing cost, at the expiry or termination of the Term or when otherwise required hereunder.</w:t>
            </w:r>
          </w:p>
        </w:tc>
      </w:tr>
    </w:tbl>
    <w:tbl>
      <w:tblPr>
        <w:tblW w:w="10205" w:type="dxa"/>
        <w:jc w:val="left"/>
        <w:tblInd w:w="0" w:type="dxa"/>
        <w:tblCellMar>
          <w:top w:w="0" w:type="dxa"/>
          <w:left w:w="0" w:type="dxa"/>
          <w:bottom w:w="0" w:type="dxa"/>
          <w:right w:w="0" w:type="dxa"/>
        </w:tblCellMar>
      </w:tblPr>
      <w:tblGrid>
        <w:gridCol w:w="23"/>
        <w:gridCol w:w="333"/>
        <w:gridCol w:w="9849"/>
      </w:tblGrid>
      <w:tr>
        <w:trPr/>
        <w:tc>
          <w:tcPr>
            <w:tcW w:w="2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98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Provided Borrower repays the Loan by transferring all of Borrower’s Equity to Lender or Lender’s designated persons pursuant to Article 1.4(a) or provides the other required consideration pursuant to Article 1.4(b), and subject to Borrower’s indemnification obligations set forth in Article 4.2 herein, Borrower shall have no further obligation to Lender for any principal, interest or penalty (if any) under the Loan.</w:t>
            </w:r>
          </w:p>
        </w:tc>
      </w:tr>
    </w:tbl>
    <w:tbl>
      <w:tblPr>
        <w:tblW w:w="10205" w:type="dxa"/>
        <w:jc w:val="left"/>
        <w:tblInd w:w="0" w:type="dxa"/>
        <w:tblCellMar>
          <w:top w:w="0" w:type="dxa"/>
          <w:left w:w="0" w:type="dxa"/>
          <w:bottom w:w="0" w:type="dxa"/>
          <w:right w:w="0" w:type="dxa"/>
        </w:tblCellMar>
      </w:tblPr>
      <w:tblGrid>
        <w:gridCol w:w="23"/>
        <w:gridCol w:w="368"/>
        <w:gridCol w:w="9814"/>
      </w:tblGrid>
      <w:tr>
        <w:trPr/>
        <w:tc>
          <w:tcPr>
            <w:tcW w:w="2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1.7.</w:t>
            </w:r>
          </w:p>
        </w:tc>
        <w:tc>
          <w:tcPr>
            <w:tcW w:w="981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part or whole of the Loan repaid by Borrower may not be re-borrowed under this Agreement without Lender’s consent.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3520" w:type="dxa"/>
        <w:jc w:val="left"/>
        <w:tblInd w:w="0" w:type="dxa"/>
        <w:tblCellMar>
          <w:top w:w="0" w:type="dxa"/>
          <w:left w:w="0" w:type="dxa"/>
          <w:bottom w:w="0" w:type="dxa"/>
          <w:right w:w="0" w:type="dxa"/>
        </w:tblCellMar>
      </w:tblPr>
      <w:tblGrid>
        <w:gridCol w:w="200"/>
        <w:gridCol w:w="33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2.</w:t>
            </w:r>
          </w:p>
        </w:tc>
        <w:tc>
          <w:tcPr>
            <w:tcW w:w="3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Representations and Warranties</w:t>
            </w:r>
          </w:p>
        </w:tc>
      </w:tr>
    </w:tbl>
    <w:tbl>
      <w:tblPr>
        <w:tblW w:w="10205" w:type="dxa"/>
        <w:jc w:val="left"/>
        <w:tblInd w:w="0" w:type="dxa"/>
        <w:tblCellMar>
          <w:top w:w="0" w:type="dxa"/>
          <w:left w:w="0" w:type="dxa"/>
          <w:bottom w:w="0" w:type="dxa"/>
          <w:right w:w="0" w:type="dxa"/>
        </w:tblCellMar>
      </w:tblPr>
      <w:tblGrid>
        <w:gridCol w:w="23"/>
        <w:gridCol w:w="354"/>
        <w:gridCol w:w="9828"/>
      </w:tblGrid>
      <w:tr>
        <w:trPr/>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98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through the date of termination or expiration of this Agreement, Lender represents and warrants to Borrower as follows:</w:t>
            </w:r>
          </w:p>
        </w:tc>
      </w:tr>
    </w:tbl>
    <w:tbl>
      <w:tblPr>
        <w:tblW w:w="8748" w:type="dxa"/>
        <w:jc w:val="left"/>
        <w:tblInd w:w="0" w:type="dxa"/>
        <w:tblCellMar>
          <w:top w:w="0" w:type="dxa"/>
          <w:left w:w="0" w:type="dxa"/>
          <w:bottom w:w="0" w:type="dxa"/>
          <w:right w:w="0" w:type="dxa"/>
        </w:tblCellMar>
      </w:tblPr>
      <w:tblGrid>
        <w:gridCol w:w="23"/>
        <w:gridCol w:w="275"/>
        <w:gridCol w:w="84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84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is a wholly foreign owned enterprise duly registered and existing under PRC law.</w:t>
            </w:r>
          </w:p>
        </w:tc>
      </w:tr>
    </w:tbl>
    <w:tbl>
      <w:tblPr>
        <w:tblW w:w="10205" w:type="dxa"/>
        <w:jc w:val="left"/>
        <w:tblInd w:w="0" w:type="dxa"/>
        <w:tblCellMar>
          <w:top w:w="0" w:type="dxa"/>
          <w:left w:w="0" w:type="dxa"/>
          <w:bottom w:w="0" w:type="dxa"/>
          <w:right w:w="0" w:type="dxa"/>
        </w:tblCellMar>
      </w:tblPr>
      <w:tblGrid>
        <w:gridCol w:w="23"/>
        <w:gridCol w:w="233"/>
        <w:gridCol w:w="9949"/>
      </w:tblGrid>
      <w:tr>
        <w:trPr/>
        <w:tc>
          <w:tcPr>
            <w:tcW w:w="2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tc>
      </w:tr>
    </w:tbl>
    <w:tbl>
      <w:tblPr>
        <w:tblW w:w="9783" w:type="dxa"/>
        <w:jc w:val="left"/>
        <w:tblInd w:w="0" w:type="dxa"/>
        <w:tblCellMar>
          <w:top w:w="0" w:type="dxa"/>
          <w:left w:w="0" w:type="dxa"/>
          <w:bottom w:w="0" w:type="dxa"/>
          <w:right w:w="0" w:type="dxa"/>
        </w:tblCellMar>
      </w:tblPr>
      <w:tblGrid>
        <w:gridCol w:w="23"/>
        <w:gridCol w:w="290"/>
        <w:gridCol w:w="947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4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of Lender upon execution.</w:t>
            </w:r>
          </w:p>
        </w:tc>
      </w:tr>
    </w:tbl>
    <w:tbl>
      <w:tblPr>
        <w:tblW w:w="10205" w:type="dxa"/>
        <w:jc w:val="left"/>
        <w:tblInd w:w="0" w:type="dxa"/>
        <w:tblCellMar>
          <w:top w:w="0" w:type="dxa"/>
          <w:left w:w="0" w:type="dxa"/>
          <w:bottom w:w="0" w:type="dxa"/>
          <w:right w:w="0" w:type="dxa"/>
        </w:tblCellMar>
      </w:tblPr>
      <w:tblGrid>
        <w:gridCol w:w="23"/>
        <w:gridCol w:w="354"/>
        <w:gridCol w:w="9828"/>
      </w:tblGrid>
      <w:tr>
        <w:trPr/>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98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through the date of termination or expiration of this Agreement, Borrower represents and warrants to Lender as follows:</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Domestic Company is a limited liability company duly registered and existing under PRC law and Borrower is or will be the lawful holder of Borrower’s Equity.</w:t>
            </w:r>
          </w:p>
        </w:tc>
      </w:tr>
    </w:tbl>
    <w:tbl>
      <w:tblPr>
        <w:tblW w:w="9693" w:type="dxa"/>
        <w:jc w:val="left"/>
        <w:tblInd w:w="0" w:type="dxa"/>
        <w:tblCellMar>
          <w:top w:w="0" w:type="dxa"/>
          <w:left w:w="0" w:type="dxa"/>
          <w:bottom w:w="0" w:type="dxa"/>
          <w:right w:w="0" w:type="dxa"/>
        </w:tblCellMar>
      </w:tblPr>
      <w:tblGrid>
        <w:gridCol w:w="23"/>
        <w:gridCol w:w="290"/>
        <w:gridCol w:w="938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38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has the power and capacity to execute and perform his obligations under this Agreement.</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tc>
      </w:tr>
    </w:tbl>
    <w:tbl>
      <w:tblPr>
        <w:tblW w:w="10068" w:type="dxa"/>
        <w:jc w:val="left"/>
        <w:tblInd w:w="0" w:type="dxa"/>
        <w:tblCellMar>
          <w:top w:w="0" w:type="dxa"/>
          <w:left w:w="0" w:type="dxa"/>
          <w:bottom w:w="0" w:type="dxa"/>
          <w:right w:w="0" w:type="dxa"/>
        </w:tblCellMar>
      </w:tblPr>
      <w:tblGrid>
        <w:gridCol w:w="23"/>
        <w:gridCol w:w="290"/>
        <w:gridCol w:w="975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7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on Borrower upon execution.</w:t>
            </w:r>
          </w:p>
        </w:tc>
      </w:tr>
    </w:tbl>
    <w:tbl>
      <w:tblPr>
        <w:tblW w:w="10205" w:type="dxa"/>
        <w:jc w:val="left"/>
        <w:tblInd w:w="0" w:type="dxa"/>
        <w:tblCellMar>
          <w:top w:w="0" w:type="dxa"/>
          <w:left w:w="0" w:type="dxa"/>
          <w:bottom w:w="0" w:type="dxa"/>
          <w:right w:w="0" w:type="dxa"/>
        </w:tblCellMar>
      </w:tblPr>
      <w:tblGrid>
        <w:gridCol w:w="23"/>
        <w:gridCol w:w="210"/>
        <w:gridCol w:w="9972"/>
      </w:tblGrid>
      <w:tr>
        <w:trPr/>
        <w:tc>
          <w:tcPr>
            <w:tcW w:w="2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7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 (iii)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4-</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9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tc>
      </w:tr>
    </w:tbl>
    <w:tbl>
      <w:tblPr>
        <w:tblW w:w="2845" w:type="dxa"/>
        <w:jc w:val="left"/>
        <w:tblInd w:w="0" w:type="dxa"/>
        <w:tblCellMar>
          <w:top w:w="0" w:type="dxa"/>
          <w:left w:w="0" w:type="dxa"/>
          <w:bottom w:w="0" w:type="dxa"/>
          <w:right w:w="0" w:type="dxa"/>
        </w:tblCellMar>
      </w:tblPr>
      <w:tblGrid>
        <w:gridCol w:w="200"/>
        <w:gridCol w:w="264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3.</w:t>
            </w:r>
          </w:p>
        </w:tc>
        <w:tc>
          <w:tcPr>
            <w:tcW w:w="264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Borrower’s Undertakings</w:t>
            </w:r>
          </w:p>
        </w:tc>
      </w:tr>
    </w:tbl>
    <w:tbl>
      <w:tblPr>
        <w:tblW w:w="10205" w:type="dxa"/>
        <w:jc w:val="left"/>
        <w:tblInd w:w="0" w:type="dxa"/>
        <w:tblCellMar>
          <w:top w:w="0" w:type="dxa"/>
          <w:left w:w="0" w:type="dxa"/>
          <w:bottom w:w="0" w:type="dxa"/>
          <w:right w:w="0" w:type="dxa"/>
        </w:tblCellMar>
      </w:tblPr>
      <w:tblGrid>
        <w:gridCol w:w="23"/>
        <w:gridCol w:w="346"/>
        <w:gridCol w:w="9836"/>
      </w:tblGrid>
      <w:tr>
        <w:trPr/>
        <w:tc>
          <w:tcPr>
            <w:tcW w:w="2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3.1.</w:t>
            </w:r>
          </w:p>
        </w:tc>
        <w:tc>
          <w:tcPr>
            <w:tcW w:w="98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undertakes in his capacity as a shareholder of the Domestic Company that Borrower will, and together with the other shareholder(s) of the Domestic Company will cause the Domestic Company to (as applicable):</w:t>
            </w:r>
          </w:p>
        </w:tc>
      </w:tr>
    </w:tbl>
    <w:tbl>
      <w:tblPr>
        <w:tblW w:w="3918" w:type="dxa"/>
        <w:jc w:val="left"/>
        <w:tblInd w:w="0" w:type="dxa"/>
        <w:tblCellMar>
          <w:top w:w="0" w:type="dxa"/>
          <w:left w:w="0" w:type="dxa"/>
          <w:bottom w:w="0" w:type="dxa"/>
          <w:right w:w="0" w:type="dxa"/>
        </w:tblCellMar>
      </w:tblPr>
      <w:tblGrid>
        <w:gridCol w:w="23"/>
        <w:gridCol w:w="275"/>
        <w:gridCol w:w="362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3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enter into the Transaction Documents.</w:t>
            </w:r>
          </w:p>
        </w:tc>
      </w:tr>
    </w:tbl>
    <w:tbl>
      <w:tblPr>
        <w:tblW w:w="10205" w:type="dxa"/>
        <w:jc w:val="left"/>
        <w:tblInd w:w="0" w:type="dxa"/>
        <w:tblCellMar>
          <w:top w:w="0" w:type="dxa"/>
          <w:left w:w="0" w:type="dxa"/>
          <w:bottom w:w="0" w:type="dxa"/>
          <w:right w:w="0" w:type="dxa"/>
        </w:tblCellMar>
      </w:tblPr>
      <w:tblGrid>
        <w:gridCol w:w="23"/>
        <w:gridCol w:w="238"/>
        <w:gridCol w:w="9944"/>
      </w:tblGrid>
      <w:tr>
        <w:trPr/>
        <w:tc>
          <w:tcPr>
            <w:tcW w:w="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tc>
      </w:tr>
    </w:tbl>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tc>
      </w:tr>
    </w:tbl>
    <w:tbl>
      <w:tblPr>
        <w:tblW w:w="8448" w:type="dxa"/>
        <w:jc w:val="left"/>
        <w:tblInd w:w="0" w:type="dxa"/>
        <w:tblCellMar>
          <w:top w:w="0" w:type="dxa"/>
          <w:left w:w="0" w:type="dxa"/>
          <w:bottom w:w="0" w:type="dxa"/>
          <w:right w:w="0" w:type="dxa"/>
        </w:tblCellMar>
      </w:tblPr>
      <w:tblGrid>
        <w:gridCol w:w="23"/>
        <w:gridCol w:w="275"/>
        <w:gridCol w:w="81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81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grant any loan or credit to any person;</w:t>
            </w:r>
          </w:p>
        </w:tc>
      </w:tr>
    </w:tbl>
    <w:tbl>
      <w:tblPr>
        <w:tblW w:w="10205" w:type="dxa"/>
        <w:jc w:val="left"/>
        <w:tblInd w:w="0" w:type="dxa"/>
        <w:tblCellMar>
          <w:top w:w="0" w:type="dxa"/>
          <w:left w:w="0" w:type="dxa"/>
          <w:bottom w:w="0" w:type="dxa"/>
          <w:right w:w="0" w:type="dxa"/>
        </w:tblCellMar>
      </w:tblPr>
      <w:tblGrid>
        <w:gridCol w:w="23"/>
        <w:gridCol w:w="225"/>
        <w:gridCol w:w="9957"/>
      </w:tblGrid>
      <w:tr>
        <w:trPr/>
        <w:tc>
          <w:tcPr>
            <w:tcW w:w="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5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upon Lender’s request, provide to Lender all the information with respect to the operations and financial status of the Domestic Company;</w:t>
            </w:r>
          </w:p>
        </w:tc>
      </w:tr>
    </w:tbl>
    <w:tbl>
      <w:tblPr>
        <w:tblW w:w="10205" w:type="dxa"/>
        <w:jc w:val="left"/>
        <w:tblInd w:w="0" w:type="dxa"/>
        <w:tblCellMar>
          <w:top w:w="0" w:type="dxa"/>
          <w:left w:w="0" w:type="dxa"/>
          <w:bottom w:w="0" w:type="dxa"/>
          <w:right w:w="0" w:type="dxa"/>
        </w:tblCellMar>
      </w:tblPr>
      <w:tblGrid>
        <w:gridCol w:w="23"/>
        <w:gridCol w:w="266"/>
        <w:gridCol w:w="9916"/>
      </w:tblGrid>
      <w:tr>
        <w:trPr/>
        <w:tc>
          <w:tcPr>
            <w:tcW w:w="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1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merge or amalgamate with or form any alliance with any person, or acquire or invest in any person;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5-</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57"/>
        <w:gridCol w:w="9925"/>
      </w:tblGrid>
      <w:tr>
        <w:trPr/>
        <w:tc>
          <w:tcPr>
            <w:tcW w:w="2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immediately notify Lender of the occurrence or threat of any litigation, arbitration or administrative proceedings in relation to or involving its assets, businesses and revenues;</w:t>
            </w:r>
          </w:p>
        </w:tc>
      </w:tr>
    </w:tbl>
    <w:tbl>
      <w:tblPr>
        <w:tblW w:w="10205" w:type="dxa"/>
        <w:jc w:val="left"/>
        <w:tblInd w:w="0" w:type="dxa"/>
        <w:tblCellMar>
          <w:top w:w="0" w:type="dxa"/>
          <w:left w:w="0" w:type="dxa"/>
          <w:bottom w:w="0" w:type="dxa"/>
          <w:right w:w="0" w:type="dxa"/>
        </w:tblCellMar>
      </w:tblPr>
      <w:tblGrid>
        <w:gridCol w:w="23"/>
        <w:gridCol w:w="183"/>
        <w:gridCol w:w="9999"/>
      </w:tblGrid>
      <w:tr>
        <w:trPr/>
        <w:tc>
          <w:tcPr>
            <w:tcW w:w="2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999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declare or distribute any profit or dividend to shareholders in any form, but upon request of Lender, to immediately declare and distribute all the distributable profits to its respective shareholders;</w:t>
            </w:r>
          </w:p>
        </w:tc>
      </w:tr>
    </w:tbl>
    <w:tbl>
      <w:tblPr>
        <w:tblW w:w="10205" w:type="dxa"/>
        <w:jc w:val="left"/>
        <w:tblInd w:w="0" w:type="dxa"/>
        <w:tblCellMar>
          <w:top w:w="0" w:type="dxa"/>
          <w:left w:w="0" w:type="dxa"/>
          <w:bottom w:w="0" w:type="dxa"/>
          <w:right w:w="0" w:type="dxa"/>
        </w:tblCellMar>
      </w:tblPr>
      <w:tblGrid>
        <w:gridCol w:w="23"/>
        <w:gridCol w:w="274"/>
        <w:gridCol w:w="9908"/>
      </w:tblGrid>
      <w:tr>
        <w:trPr/>
        <w:tc>
          <w:tcPr>
            <w:tcW w:w="2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(k)</w:t>
            </w:r>
          </w:p>
        </w:tc>
        <w:tc>
          <w:tcPr>
            <w:tcW w:w="990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Lender, appoint the persons designated by Lender as directors and senior officers of the Domestic Company; and</w:t>
            </w:r>
          </w:p>
        </w:tc>
      </w:tr>
    </w:tbl>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w:t>
            </w:r>
          </w:p>
        </w:tc>
        <w:tc>
          <w:tcPr>
            <w:tcW w:w="999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strictly comply with the provisions under any agreements to which Borrower and Lender are parties and not take any actions or omit to take any actions that may adversely affect the effectiveness and enforceability of such agreements.</w:t>
            </w:r>
          </w:p>
        </w:tc>
      </w:tr>
    </w:tbl>
    <w:tbl>
      <w:tblPr>
        <w:tblW w:w="5688" w:type="dxa"/>
        <w:jc w:val="left"/>
        <w:tblInd w:w="0" w:type="dxa"/>
        <w:tblCellMar>
          <w:top w:w="0" w:type="dxa"/>
          <w:left w:w="0" w:type="dxa"/>
          <w:bottom w:w="0" w:type="dxa"/>
          <w:right w:w="0" w:type="dxa"/>
        </w:tblCellMar>
      </w:tblPr>
      <w:tblGrid>
        <w:gridCol w:w="23"/>
        <w:gridCol w:w="380"/>
        <w:gridCol w:w="5285"/>
      </w:tblGrid>
      <w:tr>
        <w:trPr/>
        <w:tc>
          <w:tcPr>
            <w:tcW w:w="2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3.2.</w:t>
            </w:r>
          </w:p>
        </w:tc>
        <w:tc>
          <w:tcPr>
            <w:tcW w:w="52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undertakes that during the Term, he/she shall:</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tc>
      </w:tr>
    </w:tbl>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cause the shareholders’ meeting of the Domestic Company not to approve the merger or alliance with any person or acquisition or investment in any person without the prior written consent of Lender;</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immediately notify Lender of the occurrence or threat of any litigation, arbitration or administrative proceedings in relation to or involving Borrower’s Equity;</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6-</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refrain from taking any action that may have a material adverse impact on the assets, business and liabilities of the Domestic Company;</w:t>
            </w:r>
          </w:p>
        </w:tc>
      </w:tr>
    </w:tbl>
    <w:tbl>
      <w:tblPr>
        <w:tblW w:w="10205" w:type="dxa"/>
        <w:jc w:val="left"/>
        <w:tblInd w:w="0" w:type="dxa"/>
        <w:tblCellMar>
          <w:top w:w="0" w:type="dxa"/>
          <w:left w:w="0" w:type="dxa"/>
          <w:bottom w:w="0" w:type="dxa"/>
          <w:right w:w="0" w:type="dxa"/>
        </w:tblCellMar>
      </w:tblPr>
      <w:tblGrid>
        <w:gridCol w:w="23"/>
        <w:gridCol w:w="267"/>
        <w:gridCol w:w="9915"/>
      </w:tblGrid>
      <w:tr>
        <w:trPr/>
        <w:tc>
          <w:tcPr>
            <w:tcW w:w="2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Lender, appoint the persons designated by Lender as directors of the Domestic Company (unless otherwise agreed by the Parties);</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permitted by PRC laws, at the request of Lender at any time, promptly and unconditionally transfer all or part of Borrower’s Equity to Lender or Lender’s designated person(s) at any time;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1001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tc>
      </w:tr>
    </w:tbl>
    <w:tbl>
      <w:tblPr>
        <w:tblW w:w="10205" w:type="dxa"/>
        <w:jc w:val="left"/>
        <w:tblInd w:w="0" w:type="dxa"/>
        <w:tblCellMar>
          <w:top w:w="0" w:type="dxa"/>
          <w:left w:w="0" w:type="dxa"/>
          <w:bottom w:w="0" w:type="dxa"/>
          <w:right w:w="0" w:type="dxa"/>
        </w:tblCellMar>
      </w:tblPr>
      <w:tblGrid>
        <w:gridCol w:w="23"/>
        <w:gridCol w:w="213"/>
        <w:gridCol w:w="9969"/>
      </w:tblGrid>
      <w:tr>
        <w:trPr/>
        <w:tc>
          <w:tcPr>
            <w:tcW w:w="2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996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 xml:space="preserve">deliver to Lender the Spousal Consent Letter executed by Borrower’s spouse, substantially in the form attached hereto as </w:t>
            </w:r>
            <w:r>
              <w:rPr>
                <w:rFonts w:ascii="Times New Roman;Times;serif" w:hAnsi="Times New Roman;Times;serif"/>
                <w:sz w:val="24"/>
                <w:u w:val="single"/>
              </w:rPr>
              <w:t>Exhibit B</w:t>
            </w:r>
            <w:r>
              <w:rPr>
                <w:rFonts w:ascii="Times New Roman;Times;serif" w:hAnsi="Times New Roman;Times;serif"/>
                <w:sz w:val="24"/>
              </w:rPr>
              <w:t>.</w:t>
            </w:r>
          </w:p>
        </w:tc>
      </w:tr>
    </w:tbl>
    <w:tbl>
      <w:tblPr>
        <w:tblW w:w="2245" w:type="dxa"/>
        <w:jc w:val="left"/>
        <w:tblInd w:w="0" w:type="dxa"/>
        <w:tblCellMar>
          <w:top w:w="0" w:type="dxa"/>
          <w:left w:w="0" w:type="dxa"/>
          <w:bottom w:w="0" w:type="dxa"/>
          <w:right w:w="0" w:type="dxa"/>
        </w:tblCellMar>
      </w:tblPr>
      <w:tblGrid>
        <w:gridCol w:w="200"/>
        <w:gridCol w:w="204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4.</w:t>
            </w:r>
          </w:p>
        </w:tc>
        <w:tc>
          <w:tcPr>
            <w:tcW w:w="204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Liability for Default</w:t>
            </w:r>
          </w:p>
        </w:tc>
      </w:tr>
    </w:tbl>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tc>
      </w:tr>
    </w:tbl>
    <w:tbl>
      <w:tblPr>
        <w:tblW w:w="10205" w:type="dxa"/>
        <w:jc w:val="left"/>
        <w:tblInd w:w="0" w:type="dxa"/>
        <w:tblCellMar>
          <w:top w:w="0" w:type="dxa"/>
          <w:left w:w="0" w:type="dxa"/>
          <w:bottom w:w="0" w:type="dxa"/>
          <w:right w:w="0" w:type="dxa"/>
        </w:tblCellMar>
      </w:tblPr>
      <w:tblGrid>
        <w:gridCol w:w="23"/>
        <w:gridCol w:w="342"/>
        <w:gridCol w:w="9840"/>
      </w:tblGrid>
      <w:tr>
        <w:trPr/>
        <w:tc>
          <w:tcPr>
            <w:tcW w:w="2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hereby covenants that he will indemnify and hold harmless Lender against any action, charge, claim, cost, harm, demand, fee, liability, loss and procedure incurred by Lender arising out of Borrower’s breach of any of his obligations hereunder.</w:t>
            </w:r>
          </w:p>
        </w:tc>
      </w:tr>
    </w:tbl>
    <w:tbl>
      <w:tblPr>
        <w:tblW w:w="955" w:type="dxa"/>
        <w:jc w:val="left"/>
        <w:tblInd w:w="0" w:type="dxa"/>
        <w:tblCellMar>
          <w:top w:w="0" w:type="dxa"/>
          <w:left w:w="0" w:type="dxa"/>
          <w:bottom w:w="0" w:type="dxa"/>
          <w:right w:w="0" w:type="dxa"/>
        </w:tblCellMar>
      </w:tblPr>
      <w:tblGrid>
        <w:gridCol w:w="200"/>
        <w:gridCol w:w="75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5.</w:t>
            </w:r>
          </w:p>
        </w:tc>
        <w:tc>
          <w:tcPr>
            <w:tcW w:w="75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Lender:</w:t>
      </w:r>
    </w:p>
    <w:p>
      <w:pPr>
        <w:pStyle w:val="TextBody"/>
        <w:spacing w:before="0" w:after="240"/>
        <w:ind w:left="720" w:right="0" w:firstLine="1440"/>
        <w:jc w:val="both"/>
        <w:rPr>
          <w:rFonts w:ascii="Times New Roman;Times;serif" w:hAnsi="Times New Roman;Times;serif"/>
          <w:sz w:val="24"/>
        </w:rPr>
      </w:pPr>
      <w:r>
        <w:rPr>
          <w:rFonts w:ascii="Times New Roman;Times;serif" w:hAnsi="Times New Roman;Times;serif"/>
          <w:sz w:val="24"/>
        </w:rPr>
        <w:t>Hangzhou NetEase Cloud Music Technology Co., Ltd.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7-</w:t>
      </w:r>
    </w:p>
    <w:p>
      <w:pPr>
        <w:pStyle w:val="HorizontalLine"/>
        <w:rPr/>
      </w:pPr>
      <w:r>
        <w:rPr/>
      </w:r>
    </w:p>
    <w:p>
      <w:pPr>
        <w:pStyle w:val="TextBody"/>
        <w:spacing w:before="0" w:after="0"/>
        <w:ind w:left="0" w:right="0" w:hanging="0"/>
        <w:rPr/>
      </w:pPr>
      <w:r>
        <w:rPr/>
        <w:t>​</w:t>
      </w:r>
    </w:p>
    <w:tbl>
      <w:tblPr>
        <w:tblW w:w="9947" w:type="dxa"/>
        <w:jc w:val="center"/>
        <w:tblInd w:w="0" w:type="dxa"/>
        <w:tblCellMar>
          <w:top w:w="0" w:type="dxa"/>
          <w:left w:w="0" w:type="dxa"/>
          <w:bottom w:w="0" w:type="dxa"/>
          <w:right w:w="0" w:type="dxa"/>
        </w:tblCellMar>
      </w:tblPr>
      <w:tblGrid>
        <w:gridCol w:w="961"/>
        <w:gridCol w:w="8986"/>
      </w:tblGrid>
      <w:tr>
        <w:trPr/>
        <w:tc>
          <w:tcPr>
            <w:tcW w:w="961" w:type="dxa"/>
            <w:tcBorders/>
            <w:shd w:fill="auto" w:val="clear"/>
            <w:vAlign w:val="center"/>
          </w:tcPr>
          <w:p>
            <w:pPr>
              <w:pStyle w:val="TableContents"/>
              <w:spacing w:before="0" w:after="0"/>
              <w:ind w:left="0" w:right="0" w:hanging="0"/>
              <w:rPr/>
            </w:pPr>
            <w:r>
              <w:rPr/>
              <w:t>​</w:t>
            </w:r>
          </w:p>
        </w:tc>
        <w:tc>
          <w:tcPr>
            <w:tcW w:w="8986" w:type="dxa"/>
            <w:tcBorders/>
            <w:shd w:fill="auto" w:val="clear"/>
            <w:vAlign w:val="center"/>
          </w:tcPr>
          <w:p>
            <w:pPr>
              <w:pStyle w:val="TableContents"/>
              <w:spacing w:before="0" w:after="0"/>
              <w:ind w:left="0" w:right="0" w:hanging="0"/>
              <w:rPr/>
            </w:pPr>
            <w:r>
              <w:rPr/>
              <w:t>​</w:t>
            </w:r>
          </w:p>
        </w:tc>
      </w:tr>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898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Floor 7, Building 4, No. 599 Wangshang Road, Changhe Street, Binjiang District, Hangzhou</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Borrower:</w:t>
      </w:r>
    </w:p>
    <w:p>
      <w:pPr>
        <w:pStyle w:val="TextBody"/>
        <w:spacing w:before="0" w:after="240"/>
        <w:ind w:left="0" w:right="0" w:firstLine="1800"/>
        <w:jc w:val="both"/>
        <w:rPr>
          <w:rFonts w:ascii="Times New Roman;Times;serif" w:hAnsi="Times New Roman;Times;serif"/>
          <w:sz w:val="24"/>
        </w:rPr>
      </w:pPr>
      <w:r>
        <w:rPr>
          <w:rFonts w:ascii="Times New Roman;Times;serif" w:hAnsi="Times New Roman;Times;serif"/>
          <w:sz w:val="24"/>
        </w:rPr>
        <w:t>William Lei Ding</w:t>
      </w:r>
    </w:p>
    <w:tbl>
      <w:tblPr>
        <w:tblW w:w="8057" w:type="dxa"/>
        <w:jc w:val="center"/>
        <w:tblInd w:w="0" w:type="dxa"/>
        <w:tblCellMar>
          <w:top w:w="0" w:type="dxa"/>
          <w:left w:w="0" w:type="dxa"/>
          <w:bottom w:w="0" w:type="dxa"/>
          <w:right w:w="0" w:type="dxa"/>
        </w:tblCellMar>
      </w:tblPr>
      <w:tblGrid>
        <w:gridCol w:w="961"/>
        <w:gridCol w:w="7096"/>
      </w:tblGrid>
      <w:tr>
        <w:trPr/>
        <w:tc>
          <w:tcPr>
            <w:tcW w:w="961" w:type="dxa"/>
            <w:tcBorders/>
            <w:shd w:fill="auto" w:val="clear"/>
            <w:vAlign w:val="center"/>
          </w:tcPr>
          <w:p>
            <w:pPr>
              <w:pStyle w:val="TableContents"/>
              <w:spacing w:before="0" w:after="0"/>
              <w:ind w:left="0" w:right="0" w:hanging="0"/>
              <w:rPr/>
            </w:pPr>
            <w:r>
              <w:rPr/>
              <w:t>​</w:t>
            </w:r>
          </w:p>
        </w:tc>
        <w:tc>
          <w:tcPr>
            <w:tcW w:w="7096" w:type="dxa"/>
            <w:tcBorders/>
            <w:shd w:fill="auto" w:val="clear"/>
            <w:vAlign w:val="center"/>
          </w:tcPr>
          <w:p>
            <w:pPr>
              <w:pStyle w:val="TableContents"/>
              <w:spacing w:before="0" w:after="0"/>
              <w:ind w:left="0" w:right="0" w:hanging="0"/>
              <w:rPr/>
            </w:pPr>
            <w:r>
              <w:rPr/>
              <w:t>​</w:t>
            </w:r>
          </w:p>
        </w:tc>
      </w:tr>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7096" w:type="dxa"/>
            <w:tcBorders/>
            <w:shd w:fill="auto" w:val="clear"/>
            <w:vAlign w:val="center"/>
          </w:tcPr>
          <w:p>
            <w:pPr>
              <w:pStyle w:val="TableContents"/>
              <w:spacing w:before="0" w:after="240"/>
              <w:ind w:left="0" w:right="0" w:hanging="0"/>
              <w:jc w:val="both"/>
              <w:rPr>
                <w:rFonts w:ascii="Times New Roman;Times;serif" w:hAnsi="Times New Roman;Times;serif"/>
                <w:sz w:val="20"/>
              </w:rPr>
            </w:pPr>
            <w:r>
              <w:rPr>
                <w:rFonts w:ascii="Times New Roman;Times;serif" w:hAnsi="Times New Roman;Times;serif"/>
                <w:sz w:val="24"/>
              </w:rPr>
              <w:t>No. 599 Wangshang Road, Changhe Street, Binjiang District, Hangzhou</w:t>
            </w:r>
            <w:r>
              <w:rPr>
                <w:rFonts w:ascii="Times New Roman;Times;serif" w:hAnsi="Times New Roman;Times;serif"/>
                <w:sz w:val="20"/>
              </w:rPr>
              <w:t xml:space="preserve"> </w:t>
            </w:r>
          </w:p>
        </w:tc>
      </w:tr>
    </w:tbl>
    <w:p>
      <w:pPr>
        <w:pStyle w:val="TextBody"/>
        <w:spacing w:before="0" w:after="0"/>
        <w:ind w:left="0" w:right="0" w:hanging="0"/>
        <w:rPr/>
      </w:pPr>
      <w:r>
        <w:rPr/>
        <w:t>​</w:t>
      </w:r>
    </w:p>
    <w:tbl>
      <w:tblPr>
        <w:tblW w:w="1735" w:type="dxa"/>
        <w:jc w:val="left"/>
        <w:tblInd w:w="0" w:type="dxa"/>
        <w:tblCellMar>
          <w:top w:w="0" w:type="dxa"/>
          <w:left w:w="0" w:type="dxa"/>
          <w:bottom w:w="0" w:type="dxa"/>
          <w:right w:w="0" w:type="dxa"/>
        </w:tblCellMar>
      </w:tblPr>
      <w:tblGrid>
        <w:gridCol w:w="200"/>
        <w:gridCol w:w="153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6.</w:t>
            </w:r>
          </w:p>
        </w:tc>
        <w:tc>
          <w:tcPr>
            <w:tcW w:w="15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Confidentiality</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4270" w:type="dxa"/>
        <w:jc w:val="left"/>
        <w:tblInd w:w="0" w:type="dxa"/>
        <w:tblCellMar>
          <w:top w:w="0" w:type="dxa"/>
          <w:left w:w="0" w:type="dxa"/>
          <w:bottom w:w="0" w:type="dxa"/>
          <w:right w:w="0" w:type="dxa"/>
        </w:tblCellMar>
      </w:tblPr>
      <w:tblGrid>
        <w:gridCol w:w="200"/>
        <w:gridCol w:w="407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7.</w:t>
            </w:r>
          </w:p>
        </w:tc>
        <w:tc>
          <w:tcPr>
            <w:tcW w:w="407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Applicable Law and Dispute Resolution</w:t>
            </w:r>
          </w:p>
        </w:tc>
      </w:tr>
    </w:tbl>
    <w:tbl>
      <w:tblPr>
        <w:tblW w:w="10205" w:type="dxa"/>
        <w:jc w:val="left"/>
        <w:tblInd w:w="0" w:type="dxa"/>
        <w:tblCellMar>
          <w:top w:w="0" w:type="dxa"/>
          <w:left w:w="0" w:type="dxa"/>
          <w:bottom w:w="0" w:type="dxa"/>
          <w:right w:w="0" w:type="dxa"/>
        </w:tblCellMar>
      </w:tblPr>
      <w:tblGrid>
        <w:gridCol w:w="23"/>
        <w:gridCol w:w="360"/>
        <w:gridCol w:w="9822"/>
      </w:tblGrid>
      <w:tr>
        <w:trPr/>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7.1.</w:t>
            </w:r>
          </w:p>
        </w:tc>
        <w:tc>
          <w:tcPr>
            <w:tcW w:w="98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effect, interpretation, performance, amendment, termination and dispute resolution of this Agreement shall be governed by PRC law.</w:t>
            </w:r>
          </w:p>
        </w:tc>
      </w:tr>
    </w:tbl>
    <w:tbl>
      <w:tblPr>
        <w:tblW w:w="10205" w:type="dxa"/>
        <w:jc w:val="left"/>
        <w:tblInd w:w="0" w:type="dxa"/>
        <w:tblCellMar>
          <w:top w:w="0" w:type="dxa"/>
          <w:left w:w="0" w:type="dxa"/>
          <w:bottom w:w="0" w:type="dxa"/>
          <w:right w:w="0" w:type="dxa"/>
        </w:tblCellMar>
      </w:tblPr>
      <w:tblGrid>
        <w:gridCol w:w="23"/>
        <w:gridCol w:w="325"/>
        <w:gridCol w:w="9857"/>
      </w:tblGrid>
      <w:tr>
        <w:trPr/>
        <w:tc>
          <w:tcPr>
            <w:tcW w:w="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7.2.</w:t>
            </w:r>
          </w:p>
        </w:tc>
        <w:tc>
          <w:tcPr>
            <w:tcW w:w="985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Any</w:t>
            </w:r>
            <w:r>
              <w:rPr>
                <w:rFonts w:ascii="Times New Roman;Times;serif" w:hAnsi="Times New Roman;Times;serif"/>
                <w:sz w:val="20"/>
              </w:rPr>
              <w:t xml:space="preserve"> </w:t>
            </w:r>
            <w:r>
              <w:rPr>
                <w:rFonts w:ascii="Times New Roman;Times;serif" w:hAnsi="Times New Roman;Times;serif"/>
                <w:sz w:val="24"/>
              </w:rPr>
              <w:t>dispute arising under or in connection with this Agreement shall be settled by the parties through negotiation. If the parties fail to reach an agreement within 30 days after the dispute arises, the dispute shall be submitted to China International</w:t>
            </w:r>
            <w:r>
              <w:rPr>
                <w:rFonts w:ascii="Times New Roman;Times;serif" w:hAnsi="Times New Roman;Times;serif"/>
                <w:sz w:val="20"/>
              </w:rPr>
              <w:t xml:space="preserve"> </w:t>
            </w:r>
            <w:r>
              <w:rPr>
                <w:rFonts w:ascii="Times New Roman;Times;serif" w:hAnsi="Times New Roman;Times;serif"/>
                <w:sz w:val="24"/>
              </w:rPr>
              <w:t>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8"/>
        <w:gridCol w:w="9854"/>
      </w:tblGrid>
      <w:tr>
        <w:trPr/>
        <w:tc>
          <w:tcPr>
            <w:tcW w:w="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7.3.</w:t>
            </w:r>
          </w:p>
        </w:tc>
        <w:tc>
          <w:tcPr>
            <w:tcW w:w="985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hereby specifically acknowledge and undertake that, subject to the provisions</w:t>
            </w:r>
            <w:r>
              <w:rPr>
                <w:rFonts w:ascii="Times New Roman;Times;serif" w:hAnsi="Times New Roman;Times;serif"/>
                <w:sz w:val="20"/>
              </w:rPr>
              <w:t xml:space="preserve"> </w:t>
            </w:r>
            <w:r>
              <w:rPr>
                <w:rFonts w:ascii="Times New Roman;Times;serif" w:hAnsi="Times New Roman;Times;serif"/>
                <w:sz w:val="24"/>
              </w:rPr>
              <w:t>of the PRC law, the arbitrators have the right to make appropriate awards according to the actual situation, so as to give Lender</w:t>
            </w:r>
            <w:r>
              <w:rPr>
                <w:rFonts w:ascii="Times New Roman;Times;serif" w:hAnsi="Times New Roman;Times;serif"/>
                <w:sz w:val="20"/>
              </w:rPr>
              <w:t xml:space="preserve"> </w:t>
            </w:r>
            <w:r>
              <w:rPr>
                <w:rFonts w:ascii="Times New Roman;Times;serif" w:hAnsi="Times New Roman;Times;serif"/>
                <w:sz w:val="24"/>
              </w:rPr>
              <w:t>appropriate legal remedies, including but not limited to restricting the Domestic Company's business operation, restricting and / or disposing Domestic Company 's equities or assets (including land assets) (including but not limited to taking them as compensation), or forbidding transfer or dispose, or taking other relevant remedies, or ordering the winding up of the Domestic Company. The Parties shall perform such awards.</w:t>
            </w:r>
          </w:p>
        </w:tc>
      </w:tr>
    </w:tbl>
    <w:tbl>
      <w:tblPr>
        <w:tblW w:w="10205" w:type="dxa"/>
        <w:jc w:val="left"/>
        <w:tblInd w:w="0" w:type="dxa"/>
        <w:tblCellMar>
          <w:top w:w="0" w:type="dxa"/>
          <w:left w:w="0" w:type="dxa"/>
          <w:bottom w:w="0" w:type="dxa"/>
          <w:right w:w="0" w:type="dxa"/>
        </w:tblCellMar>
      </w:tblPr>
      <w:tblGrid>
        <w:gridCol w:w="23"/>
        <w:gridCol w:w="328"/>
        <w:gridCol w:w="9854"/>
      </w:tblGrid>
      <w:tr>
        <w:trPr/>
        <w:tc>
          <w:tcPr>
            <w:tcW w:w="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7.4.</w:t>
            </w:r>
          </w:p>
        </w:tc>
        <w:tc>
          <w:tcPr>
            <w:tcW w:w="985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Subject to the provisions of the PRC</w:t>
            </w:r>
            <w:r>
              <w:rPr>
                <w:rFonts w:ascii="Times New Roman;Times;serif" w:hAnsi="Times New Roman;Times;serif"/>
                <w:sz w:val="20"/>
              </w:rPr>
              <w:t xml:space="preserve"> </w:t>
            </w:r>
            <w:r>
              <w:rPr>
                <w:rFonts w:ascii="Times New Roman;Times;serif" w:hAnsi="Times New Roman;Times;serif"/>
                <w:sz w:val="24"/>
              </w:rPr>
              <w:t>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CellMar>
          <w:top w:w="0" w:type="dxa"/>
          <w:left w:w="0" w:type="dxa"/>
          <w:bottom w:w="0" w:type="dxa"/>
          <w:right w:w="0" w:type="dxa"/>
        </w:tblCellMar>
      </w:tblPr>
      <w:tblGrid>
        <w:gridCol w:w="23"/>
        <w:gridCol w:w="360"/>
        <w:gridCol w:w="9822"/>
      </w:tblGrid>
      <w:tr>
        <w:trPr/>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7.5.</w:t>
            </w:r>
          </w:p>
        </w:tc>
        <w:tc>
          <w:tcPr>
            <w:tcW w:w="98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7.6.</w:t>
            </w:r>
          </w:p>
        </w:tc>
        <w:tc>
          <w:tcPr>
            <w:tcW w:w="98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agree that: the courts in (i) the Hong Kong Special Administrative Region; (ii) the registered place of Cloud Village Inc.; (iii) the registered place of the Domestic Company; and (iv) the place where main assets of Cloud Village Inc. or the Domestic Company</w:t>
            </w:r>
            <w:r>
              <w:rPr>
                <w:rFonts w:ascii="Times New Roman;Times;serif" w:hAnsi="Times New Roman;Times;serif"/>
                <w:sz w:val="20"/>
              </w:rPr>
              <w:t xml:space="preserve"> </w:t>
            </w:r>
            <w:r>
              <w:rPr>
                <w:rFonts w:ascii="Times New Roman;Times;serif" w:hAnsi="Times New Roman;Times;serif"/>
                <w:sz w:val="24"/>
              </w:rPr>
              <w:t>are located shall be deemed to have jurisdiction for the purpose of this article.</w:t>
            </w:r>
          </w:p>
        </w:tc>
      </w:tr>
    </w:tbl>
    <w:tbl>
      <w:tblPr>
        <w:tblW w:w="1630" w:type="dxa"/>
        <w:jc w:val="left"/>
        <w:tblInd w:w="0" w:type="dxa"/>
        <w:tblCellMar>
          <w:top w:w="0" w:type="dxa"/>
          <w:left w:w="0" w:type="dxa"/>
          <w:bottom w:w="0" w:type="dxa"/>
          <w:right w:w="0" w:type="dxa"/>
        </w:tblCellMar>
      </w:tblPr>
      <w:tblGrid>
        <w:gridCol w:w="200"/>
        <w:gridCol w:w="143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8.</w:t>
            </w:r>
          </w:p>
        </w:tc>
        <w:tc>
          <w:tcPr>
            <w:tcW w:w="14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Miscellaneous</w:t>
            </w:r>
          </w:p>
        </w:tc>
      </w:tr>
    </w:tbl>
    <w:tbl>
      <w:tblPr>
        <w:tblW w:w="10205" w:type="dxa"/>
        <w:jc w:val="left"/>
        <w:tblInd w:w="0" w:type="dxa"/>
        <w:tblCellMar>
          <w:top w:w="0" w:type="dxa"/>
          <w:left w:w="0" w:type="dxa"/>
          <w:bottom w:w="0" w:type="dxa"/>
          <w:right w:w="0" w:type="dxa"/>
        </w:tblCellMar>
      </w:tblPr>
      <w:tblGrid>
        <w:gridCol w:w="23"/>
        <w:gridCol w:w="338"/>
        <w:gridCol w:w="9844"/>
      </w:tblGrid>
      <w:tr>
        <w:trPr/>
        <w:tc>
          <w:tcPr>
            <w:tcW w:w="2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8.1.</w:t>
            </w:r>
          </w:p>
        </w:tc>
        <w:tc>
          <w:tcPr>
            <w:tcW w:w="98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on the date hereof, and shall expire upon the date of full performance by the Parties of their respective obligations under this Agreement. Upon execution by both Parties, this Agreement shall supersede the Original Agreement and the Original Agreement shall become void.</w:t>
            </w:r>
          </w:p>
        </w:tc>
      </w:tr>
    </w:tbl>
    <w:tbl>
      <w:tblPr>
        <w:tblW w:w="10205" w:type="dxa"/>
        <w:jc w:val="left"/>
        <w:tblInd w:w="0" w:type="dxa"/>
        <w:tblCellMar>
          <w:top w:w="0" w:type="dxa"/>
          <w:left w:w="0" w:type="dxa"/>
          <w:bottom w:w="0" w:type="dxa"/>
          <w:right w:w="0" w:type="dxa"/>
        </w:tblCellMar>
      </w:tblPr>
      <w:tblGrid>
        <w:gridCol w:w="23"/>
        <w:gridCol w:w="367"/>
        <w:gridCol w:w="9815"/>
      </w:tblGrid>
      <w:tr>
        <w:trPr/>
        <w:tc>
          <w:tcPr>
            <w:tcW w:w="2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8.2.</w:t>
            </w:r>
          </w:p>
        </w:tc>
        <w:tc>
          <w:tcPr>
            <w:tcW w:w="98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may not be amended or modified in any manner except by an instrument in writing signed by the Parties hereto.</w:t>
            </w:r>
          </w:p>
        </w:tc>
      </w:tr>
    </w:tbl>
    <w:tbl>
      <w:tblPr>
        <w:tblW w:w="10205" w:type="dxa"/>
        <w:jc w:val="left"/>
        <w:tblInd w:w="0" w:type="dxa"/>
        <w:tblCellMar>
          <w:top w:w="0" w:type="dxa"/>
          <w:left w:w="0" w:type="dxa"/>
          <w:bottom w:w="0" w:type="dxa"/>
          <w:right w:w="0" w:type="dxa"/>
        </w:tblCellMar>
      </w:tblPr>
      <w:tblGrid>
        <w:gridCol w:w="23"/>
        <w:gridCol w:w="330"/>
        <w:gridCol w:w="9852"/>
      </w:tblGrid>
      <w:tr>
        <w:trPr/>
        <w:tc>
          <w:tcPr>
            <w:tcW w:w="2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8.3.</w:t>
            </w:r>
          </w:p>
        </w:tc>
        <w:tc>
          <w:tcPr>
            <w:tcW w:w="98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tbl>
      <w:tblPr>
        <w:tblW w:w="10205" w:type="dxa"/>
        <w:jc w:val="left"/>
        <w:tblInd w:w="0" w:type="dxa"/>
        <w:tblCellMar>
          <w:top w:w="0" w:type="dxa"/>
          <w:left w:w="0" w:type="dxa"/>
          <w:bottom w:w="0" w:type="dxa"/>
          <w:right w:w="0" w:type="dxa"/>
        </w:tblCellMar>
      </w:tblPr>
      <w:tblGrid>
        <w:gridCol w:w="23"/>
        <w:gridCol w:w="333"/>
        <w:gridCol w:w="9849"/>
      </w:tblGrid>
      <w:tr>
        <w:trPr/>
        <w:tc>
          <w:tcPr>
            <w:tcW w:w="2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8.4.</w:t>
            </w:r>
          </w:p>
        </w:tc>
        <w:tc>
          <w:tcPr>
            <w:tcW w:w="98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9-</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27"/>
        <w:gridCol w:w="9855"/>
      </w:tblGrid>
      <w:tr>
        <w:trPr/>
        <w:tc>
          <w:tcPr>
            <w:tcW w:w="2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8.5.</w:t>
            </w:r>
          </w:p>
        </w:tc>
        <w:tc>
          <w:tcPr>
            <w:tcW w:w="98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If required under any applicable law, regulations or listing rules or required or deemed desirable by any stock exchange, government or other regulatory authority having competent jurisdiction over the Parties and their affiliates (the “</w:t>
            </w:r>
            <w:r>
              <w:rPr>
                <w:rFonts w:ascii="Times New Roman;Times;serif" w:hAnsi="Times New Roman;Times;serif"/>
                <w:b/>
                <w:sz w:val="24"/>
              </w:rPr>
              <w:t>Applicable Requirements</w:t>
            </w:r>
            <w:r>
              <w:rPr>
                <w:rFonts w:ascii="Times New Roman;Times;serif" w:hAnsi="Times New Roman;Times;serif"/>
                <w:sz w:val="20"/>
              </w:rPr>
              <w:t>”</w:t>
            </w:r>
            <w:r>
              <w:rPr>
                <w:rFonts w:ascii="Times New Roman;Times;serif" w:hAnsi="Times New Roman;Times;serif"/>
                <w:sz w:val="24"/>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tc>
      </w:tr>
    </w:tbl>
    <w:p>
      <w:pPr>
        <w:pStyle w:val="TextBody"/>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[Signature page follows]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10-</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Agreement has been duly executed by the Parties as of the date first above written.</w:t>
      </w:r>
    </w:p>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7321" w:type="dxa"/>
        <w:jc w:val="left"/>
        <w:tblInd w:w="0" w:type="dxa"/>
        <w:tblCellMar>
          <w:top w:w="0" w:type="dxa"/>
          <w:left w:w="0" w:type="dxa"/>
          <w:bottom w:w="0" w:type="dxa"/>
          <w:right w:w="0" w:type="dxa"/>
        </w:tblCellMar>
      </w:tblPr>
      <w:tblGrid>
        <w:gridCol w:w="124"/>
        <w:gridCol w:w="1186"/>
        <w:gridCol w:w="326"/>
        <w:gridCol w:w="2669"/>
        <w:gridCol w:w="301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78740" cy="175260"/>
                      <wp:effectExtent l="0" t="0" r="0" b="0"/>
                      <wp:wrapNone/>
                      <wp:docPr id="598" name="Frame59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53110" cy="175260"/>
                      <wp:effectExtent l="0" t="0" r="0" b="0"/>
                      <wp:wrapNone/>
                      <wp:docPr id="599" name="Frame598"/>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0" name="Frame5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694815" cy="175260"/>
                      <wp:effectExtent l="0" t="0" r="0" b="0"/>
                      <wp:wrapNone/>
                      <wp:docPr id="601" name="Frame600"/>
                      <a:graphic xmlns:a="http://schemas.openxmlformats.org/drawingml/2006/main">
                        <a:graphicData uri="http://schemas.microsoft.com/office/word/2010/wordprocessingShape">
                          <wps:wsp>
                            <wps:cNvSpPr txBox="1"/>
                            <wps:spPr>
                              <a:xfrm>
                                <a:off x="0" y="0"/>
                                <a:ext cx="1694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915160" cy="175260"/>
                      <wp:effectExtent l="0" t="0" r="0" b="0"/>
                      <wp:wrapNone/>
                      <wp:docPr id="602" name="Frame601"/>
                      <a:graphic xmlns:a="http://schemas.openxmlformats.org/drawingml/2006/main">
                        <a:graphicData uri="http://schemas.microsoft.com/office/word/2010/wordprocessingShape">
                          <wps:wsp>
                            <wps:cNvSpPr txBox="1"/>
                            <wps:spPr>
                              <a:xfrm>
                                <a:off x="0" y="0"/>
                                <a:ext cx="191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Lender:</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Borrower:</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William Lei Ding</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30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William Lei Ding</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sz w:val="24"/>
        </w:rPr>
      </w:pPr>
      <w:r>
        <w:rPr>
          <w:rFonts w:ascii="Times New Roman;Times;serif" w:hAnsi="Times New Roman;Times;serif"/>
          <w:b/>
          <w:sz w:val="24"/>
        </w:rPr>
        <w:t>Exhibit A</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SUPPLEMENTAL AGREEMENT TO LOAN AGREEMENT</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This </w:t>
      </w:r>
      <w:r>
        <w:rPr>
          <w:rFonts w:ascii="Times New Roman;Times;serif" w:hAnsi="Times New Roman;Times;serif"/>
          <w:b/>
          <w:sz w:val="24"/>
        </w:rPr>
        <w:t xml:space="preserve">SUPPLEMENTAL AGREEMENT </w:t>
      </w:r>
      <w:r>
        <w:rPr>
          <w:rFonts w:ascii="Times New Roman;Times;serif" w:hAnsi="Times New Roman;Times;serif"/>
          <w:sz w:val="24"/>
        </w:rPr>
        <w:t>(this “</w:t>
      </w:r>
      <w:r>
        <w:rPr>
          <w:rFonts w:ascii="Times New Roman;Times;serif" w:hAnsi="Times New Roman;Times;serif"/>
          <w:b/>
          <w:sz w:val="24"/>
        </w:rPr>
        <w:t>Supplemental Agreement</w:t>
      </w:r>
      <w:r>
        <w:rPr>
          <w:rFonts w:ascii="Times New Roman;Times;serif" w:hAnsi="Times New Roman;Times;serif"/>
          <w:sz w:val="20"/>
        </w:rPr>
        <w:t>”</w:t>
      </w:r>
      <w:r>
        <w:rPr>
          <w:rFonts w:ascii="Times New Roman;Times;serif" w:hAnsi="Times New Roman;Times;serif"/>
          <w:sz w:val="24"/>
        </w:rPr>
        <w:t>) to that certain Loan Agreement dated ___________________ (as the same may be amended and supplemented from time to time, the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___________________ by and between Hangzhou NetEase Cloud Music Technology Co., Ltd.</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Lender</w:t>
      </w:r>
      <w:r>
        <w:rPr>
          <w:rFonts w:ascii="Times New Roman;Times;serif" w:hAnsi="Times New Roman;Times;serif"/>
          <w:sz w:val="20"/>
        </w:rPr>
        <w:t>”</w:t>
      </w:r>
      <w:r>
        <w:rPr>
          <w:rFonts w:ascii="Times New Roman;Times;serif" w:hAnsi="Times New Roman;Times;serif"/>
          <w:sz w:val="24"/>
        </w:rPr>
        <w:t>), a wholly foreign-owned enterprise incorporated in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and William Lei Ding</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Borrower</w:t>
      </w:r>
      <w:r>
        <w:rPr>
          <w:rFonts w:ascii="Times New Roman;Times;serif" w:hAnsi="Times New Roman;Times;serif"/>
          <w:sz w:val="20"/>
        </w:rPr>
        <w:t>”</w:t>
      </w:r>
      <w:r>
        <w:rPr>
          <w:rFonts w:ascii="Times New Roman;Times;serif" w:hAnsi="Times New Roman;Times;serif"/>
          <w:sz w:val="24"/>
        </w:rPr>
        <w:t>), a citizen of the PRC and owner of 99% of the equity interests of Hangzhou Yuedu Technology Co., Ltd. (the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Lender and Borrower are hereinafter collectively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individually as a “</w:t>
      </w:r>
      <w:r>
        <w:rPr>
          <w:rFonts w:ascii="Times New Roman;Times;serif" w:hAnsi="Times New Roman;Times;serif"/>
          <w:b/>
          <w:sz w:val="24"/>
        </w:rPr>
        <w:t>Party</w:t>
      </w:r>
      <w:r>
        <w:rPr>
          <w:rFonts w:ascii="Times New Roman;Times;serif" w:hAnsi="Times New Roman;Times;serif"/>
          <w:sz w:val="24"/>
        </w:rPr>
        <w:t>.” Capitalized terms used herein and not otherwise defined shall have the respective meanings assigned to them in the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Parties desire to supplement the Agreement in connection with the extension of a new loan from Lender to Borrower in connection with [an increase in the Company’s registered capital], as herein provided.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mutual agreements contained herein and subject to the terms and conditions herein set forth, the Parties agree that the Agreement is hereby amended and supplemented as follows: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w:t>
            </w:r>
          </w:p>
        </w:tc>
        <w:tc>
          <w:tcPr>
            <w:tcW w:w="1002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Lender agrees to provide an additional loan to Borrower with an aggregate principal amount of RMB ___________________ (the “</w:t>
            </w:r>
            <w:r>
              <w:rPr>
                <w:rFonts w:ascii="Times New Roman;Times;serif" w:hAnsi="Times New Roman;Times;serif"/>
                <w:b/>
                <w:sz w:val="24"/>
              </w:rPr>
              <w:t>Additional Loan</w:t>
            </w:r>
            <w:r>
              <w:rPr>
                <w:rFonts w:ascii="Times New Roman;Times;serif" w:hAnsi="Times New Roman;Times;serif"/>
                <w:sz w:val="20"/>
              </w:rPr>
              <w:t>”</w:t>
            </w:r>
            <w:r>
              <w:rPr>
                <w:rFonts w:ascii="Times New Roman;Times;serif" w:hAnsi="Times New Roman;Times;serif"/>
                <w:i/>
                <w:sz w:val="24"/>
              </w:rPr>
              <w:t>)</w:t>
            </w:r>
            <w:r>
              <w:rPr>
                <w:rFonts w:ascii="Times New Roman;Times;serif" w:hAnsi="Times New Roman;Times;serif"/>
                <w:sz w:val="24"/>
              </w:rPr>
              <w: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2.</w:t>
            </w:r>
          </w:p>
        </w:tc>
        <w:tc>
          <w:tcPr>
            <w:tcW w:w="1002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Borrower confirms that he has received the total amount of the Additional Loan and [has invested it into the Domestic Company as an additional capital contribution].</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3.</w:t>
            </w:r>
          </w:p>
        </w:tc>
        <w:tc>
          <w:tcPr>
            <w:tcW w:w="1004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4.</w:t>
            </w:r>
          </w:p>
        </w:tc>
        <w:tc>
          <w:tcPr>
            <w:tcW w:w="1004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5.</w:t>
            </w:r>
          </w:p>
        </w:tc>
        <w:tc>
          <w:tcPr>
            <w:tcW w:w="1001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Articles 6, 7 and 8 of the Agreement are hereby incorporated into this Supplemental Agreement by this reference.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6.</w:t>
            </w:r>
          </w:p>
        </w:tc>
        <w:tc>
          <w:tcPr>
            <w:tcW w:w="1004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This Supplemental Agreement contains the entire agreement between the Parties with respect to the subject matter of this Supplemental Agreement and supersedes and extinguishes all prior agreement and understandings, oral or written, with respect to such matter.</w:t>
            </w:r>
          </w:p>
        </w:tc>
      </w:tr>
    </w:tbl>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7.</w:t>
            </w:r>
          </w:p>
        </w:tc>
        <w:tc>
          <w:tcPr>
            <w:tcW w:w="1002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As amended and supplemented hereby, the terms and conditions and all the provisions of the Agreement are and will remain in full force and effect.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8.</w:t>
            </w:r>
          </w:p>
        </w:tc>
        <w:tc>
          <w:tcPr>
            <w:tcW w:w="1004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This Supplemental Agreement may be executed in one or more counterparts, each of which shall be deemed to be an original instrument by the Parties executing such counterpart, but all of which shall be considered one and the same instrument.</w:t>
            </w:r>
          </w:p>
        </w:tc>
      </w:tr>
    </w:tbl>
    <w:p>
      <w:pPr>
        <w:pStyle w:val="TextBody"/>
        <w:pBdr/>
        <w:spacing w:before="0" w:after="0"/>
        <w:ind w:left="0" w:right="0" w:hanging="720"/>
        <w:jc w:val="both"/>
        <w:rPr/>
      </w:pPr>
      <w:r>
        <w:rPr/>
        <w:t>​</w:t>
      </w:r>
    </w:p>
    <w:p>
      <w:pPr>
        <w:pStyle w:val="TextBody"/>
        <w:pBdr/>
        <w:spacing w:before="0" w:after="0"/>
        <w:ind w:left="0" w:right="0" w:hanging="720"/>
        <w:jc w:val="both"/>
        <w:rPr/>
      </w:pPr>
      <w:r>
        <w:rPr/>
        <w:t>​</w:t>
      </w:r>
    </w:p>
    <w:p>
      <w:pPr>
        <w:pStyle w:val="TextBody"/>
        <w:spacing w:before="0" w:after="0"/>
        <w:ind w:left="0" w:right="0" w:hanging="0"/>
        <w:jc w:val="both"/>
        <w:rPr>
          <w:rFonts w:ascii="Times New Roman;Times;serif" w:hAnsi="Times New Roman;Times;serif"/>
          <w:i/>
          <w:sz w:val="24"/>
        </w:rPr>
      </w:pPr>
      <w:r>
        <w:rPr>
          <w:rFonts w:ascii="Times New Roman;Times;serif" w:hAnsi="Times New Roman;Times;serif"/>
          <w:i/>
          <w:sz w:val="24"/>
        </w:rPr>
        <w:t>[Signature page follows]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i/>
          <w:sz w:val="24"/>
        </w:rPr>
      </w:pPr>
      <w:r>
        <w:rPr>
          <w:rFonts w:ascii="Times New Roman;Times;serif" w:hAnsi="Times New Roman;Times;serif"/>
          <w:i/>
          <w:sz w:val="24"/>
        </w:rPr>
        <w:t>Exhibit A</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Supplemental Agreement has been signed by the Parties hereto as of the date first written above.</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7321" w:type="dxa"/>
        <w:jc w:val="left"/>
        <w:tblInd w:w="0" w:type="dxa"/>
        <w:tblCellMar>
          <w:top w:w="0" w:type="dxa"/>
          <w:left w:w="0" w:type="dxa"/>
          <w:bottom w:w="0" w:type="dxa"/>
          <w:right w:w="0" w:type="dxa"/>
        </w:tblCellMar>
      </w:tblPr>
      <w:tblGrid>
        <w:gridCol w:w="124"/>
        <w:gridCol w:w="1186"/>
        <w:gridCol w:w="326"/>
        <w:gridCol w:w="5248"/>
        <w:gridCol w:w="437"/>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8740" cy="175260"/>
                      <wp:effectExtent l="0" t="0" r="0" b="0"/>
                      <wp:wrapNone/>
                      <wp:docPr id="603" name="Frame60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753110" cy="175260"/>
                      <wp:effectExtent l="0" t="0" r="0" b="0"/>
                      <wp:wrapNone/>
                      <wp:docPr id="604" name="Frame603"/>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5" name="Frame6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332480" cy="175260"/>
                      <wp:effectExtent l="0" t="0" r="0" b="0"/>
                      <wp:wrapNone/>
                      <wp:docPr id="606" name="Frame605"/>
                      <a:graphic xmlns:a="http://schemas.openxmlformats.org/drawingml/2006/main">
                        <a:graphicData uri="http://schemas.microsoft.com/office/word/2010/wordprocessingShape">
                          <wps:wsp>
                            <wps:cNvSpPr txBox="1"/>
                            <wps:spPr>
                              <a:xfrm>
                                <a:off x="0" y="0"/>
                                <a:ext cx="3332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77495" cy="175260"/>
                      <wp:effectExtent l="0" t="0" r="0" b="0"/>
                      <wp:wrapNone/>
                      <wp:docPr id="607" name="Frame606"/>
                      <a:graphic xmlns:a="http://schemas.openxmlformats.org/drawingml/2006/main">
                        <a:graphicData uri="http://schemas.microsoft.com/office/word/2010/wordprocessingShape">
                          <wps:wsp>
                            <wps:cNvSpPr txBox="1"/>
                            <wps:spPr>
                              <a:xfrm>
                                <a:off x="0" y="0"/>
                                <a:ext cx="277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Lender:</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Seal:</w:t>
            </w:r>
          </w:p>
        </w:tc>
        <w:tc>
          <w:tcPr>
            <w:tcW w:w="4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pPr>
            <w:r>
              <w:rPr/>
              <w:t>​</w:t>
            </w:r>
          </w:p>
        </w:tc>
        <w:tc>
          <w:tcPr>
            <w:tcW w:w="43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pPr>
            <w:r>
              <w:rPr/>
              <w:t>​</w:t>
            </w:r>
          </w:p>
        </w:tc>
        <w:tc>
          <w:tcPr>
            <w:tcW w:w="437"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pPr>
            <w:r>
              <w:rPr/>
              <w:t>​</w:t>
            </w:r>
          </w:p>
        </w:tc>
        <w:tc>
          <w:tcPr>
            <w:tcW w:w="437"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Borrower:</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William Lei Ding</w:t>
            </w:r>
          </w:p>
        </w:tc>
        <w:tc>
          <w:tcPr>
            <w:tcW w:w="437"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pPr>
            <w:r>
              <w:rPr/>
              <w:t>​</w:t>
            </w:r>
          </w:p>
        </w:tc>
        <w:tc>
          <w:tcPr>
            <w:tcW w:w="437"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8"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4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tbl>
      <w:tblPr>
        <w:tblW w:w="4742" w:type="dxa"/>
        <w:jc w:val="left"/>
        <w:tblInd w:w="0" w:type="dxa"/>
        <w:tblCellMar>
          <w:top w:w="0" w:type="dxa"/>
          <w:left w:w="0" w:type="dxa"/>
          <w:bottom w:w="0" w:type="dxa"/>
          <w:right w:w="0" w:type="dxa"/>
        </w:tblCellMar>
      </w:tblPr>
      <w:tblGrid>
        <w:gridCol w:w="1156"/>
        <w:gridCol w:w="3586"/>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734060" cy="29210"/>
                      <wp:effectExtent l="0" t="0" r="0" b="0"/>
                      <wp:wrapNone/>
                      <wp:docPr id="608" name="Frame607"/>
                      <a:graphic xmlns:a="http://schemas.openxmlformats.org/drawingml/2006/main">
                        <a:graphicData uri="http://schemas.microsoft.com/office/word/2010/wordprocessingShape">
                          <wps:wsp>
                            <wps:cNvSpPr txBox="1"/>
                            <wps:spPr>
                              <a:xfrm>
                                <a:off x="0" y="0"/>
                                <a:ext cx="7340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277110" cy="29210"/>
                      <wp:effectExtent l="0" t="0" r="0" b="0"/>
                      <wp:wrapNone/>
                      <wp:docPr id="609" name="Frame608"/>
                      <a:graphic xmlns:a="http://schemas.openxmlformats.org/drawingml/2006/main">
                        <a:graphicData uri="http://schemas.microsoft.com/office/word/2010/wordprocessingShape">
                          <wps:wsp>
                            <wps:cNvSpPr txBox="1"/>
                            <wps:spPr>
                              <a:xfrm>
                                <a:off x="0" y="0"/>
                                <a:ext cx="2277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15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 xml:space="preserve">Exhibit B </w:t>
            </w:r>
          </w:p>
        </w:tc>
        <w:tc>
          <w:tcPr>
            <w:tcW w:w="35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SPOUSAL CONSENT LETTER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                (ID Card No.:                 ), am the lawful spouse of William Lei Ding (ID Card No.:                 ).  I hereby unconditionally consent and agree that the disposition of the equity interest in </w:t>
      </w:r>
      <w:r>
        <w:rPr>
          <w:rFonts w:ascii="Times New Roman;Times;serif" w:hAnsi="Times New Roman;Times;serif"/>
          <w:sz w:val="20"/>
          <w:u w:val="single"/>
        </w:rPr>
        <w:t>Hangzhou Yuedu Technology Co., Ltd</w:t>
      </w:r>
      <w:r>
        <w:rPr>
          <w:rFonts w:ascii="Times New Roman;Times;serif" w:hAnsi="Times New Roman;Times;serif"/>
          <w:sz w:val="20"/>
        </w:rPr>
        <w:t>. which is held by and registered under the name of my spouse will be made pursuant to the arrangements under the Loan Agreement dated </w:t>
      </w:r>
      <w:r>
        <w:rPr>
          <w:rFonts w:ascii="Times New Roman;Times;serif" w:hAnsi="Times New Roman;Times;serif"/>
          <w:sz w:val="20"/>
          <w:u w:val="single"/>
        </w:rPr>
        <w:t>              </w:t>
      </w:r>
      <w:r>
        <w:rPr>
          <w:rFonts w:ascii="Times New Roman;Times;serif" w:hAnsi="Times New Roman;Times;serif"/>
          <w:sz w:val="20"/>
        </w:rPr>
        <w:t> , the Equity Pledge Agreement dated                , the Exclusive Purchase Option Agreement dated </w:t>
      </w:r>
      <w:r>
        <w:rPr>
          <w:rFonts w:ascii="Times New Roman;Times;serif" w:hAnsi="Times New Roman;Times;serif"/>
          <w:sz w:val="20"/>
          <w:u w:val="single"/>
        </w:rPr>
        <w:t>              </w:t>
      </w:r>
      <w:r>
        <w:rPr>
          <w:rFonts w:ascii="Times New Roman;Times;serif" w:hAnsi="Times New Roman;Times;serif"/>
          <w:sz w:val="20"/>
        </w:rPr>
        <w:t> , the Shareholder Voting Right Trust Agreement dated</w:t>
      </w:r>
      <w:r>
        <w:rPr>
          <w:rFonts w:ascii="Times New Roman;Times;serif" w:hAnsi="Times New Roman;Times;serif"/>
          <w:sz w:val="20"/>
          <w:u w:val="single"/>
        </w:rPr>
        <w:t>               </w:t>
      </w:r>
      <w:r>
        <w:rPr>
          <w:rFonts w:ascii="Times New Roman;Times;serif" w:hAnsi="Times New Roman;Times;serif"/>
          <w:sz w:val="20"/>
        </w:rPr>
        <w:t>, the Operating Agreement dated </w:t>
      </w:r>
      <w:r>
        <w:rPr>
          <w:rFonts w:ascii="Times New Roman;Times;serif" w:hAnsi="Times New Roman;Times;serif"/>
          <w:sz w:val="20"/>
          <w:u w:val="single"/>
        </w:rPr>
        <w:t>               </w:t>
      </w:r>
      <w:r>
        <w:rPr>
          <w:rFonts w:ascii="Times New Roman;Times;serif" w:hAnsi="Times New Roman;Times;serif"/>
          <w:sz w:val="20"/>
        </w:rPr>
        <w:t>, all of which were executed by my spouse as a party, and any other supplemental or related agreement(s) or amendments thereof that may be entered into by my spouse from time to time.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pStyle w:val="TextBody"/>
        <w:spacing w:before="0" w:after="0"/>
        <w:ind w:left="0" w:right="0" w:hanging="0"/>
        <w:jc w:val="both"/>
        <w:rPr/>
      </w:pPr>
      <w:r>
        <w:rPr/>
        <w:t>​</w:t>
      </w:r>
    </w:p>
    <w:tbl>
      <w:tblPr>
        <w:tblW w:w="1175" w:type="dxa"/>
        <w:jc w:val="left"/>
        <w:tblInd w:w="0" w:type="dxa"/>
        <w:tblCellMar>
          <w:top w:w="0" w:type="dxa"/>
          <w:left w:w="0" w:type="dxa"/>
          <w:bottom w:w="28" w:type="dxa"/>
          <w:right w:w="0" w:type="dxa"/>
        </w:tblCellMar>
      </w:tblPr>
      <w:tblGrid>
        <w:gridCol w:w="124"/>
        <w:gridCol w:w="1051"/>
      </w:tblGrid>
      <w:tr>
        <w:trPr/>
        <w:tc>
          <w:tcPr>
            <w:tcW w:w="124" w:type="dxa"/>
            <w:tcBorders>
              <w:bottom w:val="single" w:sz="2" w:space="0" w:color="000000"/>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(Signature)</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p>
      <w:pPr>
        <w:pStyle w:val="TextBody"/>
        <w:spacing w:before="480" w:after="0"/>
        <w:ind w:left="0" w:right="0" w:hanging="0"/>
        <w:jc w:val="center"/>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294" w:name="ntes-20221231xex4d48.htm"/>
      <w:bookmarkStart w:id="2295" w:name="ksntes20221231xex4d48"/>
      <w:bookmarkEnd w:id="2294"/>
      <w:bookmarkEnd w:id="2295"/>
      <w:r>
        <w:rPr>
          <w:rFonts w:ascii="Times New Roman;Times;serif" w:hAnsi="Times New Roman;Times;serif"/>
          <w:b/>
          <w:sz w:val="24"/>
        </w:rPr>
        <w:t>Exhibit 4.48</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THE AMENDED AND RESTATED EQUITY PLEDGE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Amended and Restated Equity Pledge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by and among the following parties on May 18, 2021:</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994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Hangzhou NetEase Cloud Music Technology Co., Ltd. (the “</w:t>
            </w:r>
            <w:r>
              <w:rPr>
                <w:rFonts w:ascii="Times New Roman;Times;serif" w:hAnsi="Times New Roman;Times;serif"/>
                <w:b/>
                <w:sz w:val="24"/>
              </w:rPr>
              <w:t>Pledgee</w:t>
            </w:r>
            <w:r>
              <w:rPr>
                <w:rFonts w:ascii="Times New Roman;Times;serif" w:hAnsi="Times New Roman;Times;serif"/>
                <w:sz w:val="20"/>
              </w:rPr>
              <w:t>”</w:t>
            </w:r>
            <w:r>
              <w:rPr>
                <w:rFonts w:ascii="Times New Roman;Times;serif" w:hAnsi="Times New Roman;Times;serif"/>
                <w:sz w:val="24"/>
              </w:rPr>
              <w:t>), a wholly foreign owned enterprise registered in Hangzhou, People’s Republic of China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with its address at Room 1201, Block A, Hangzhou International Expo Center, No. 353 Benjing Avenue, Qianjiang Century City, Xiaoshan District, Hangzhou, Zhejiang; and</w:t>
            </w:r>
          </w:p>
        </w:tc>
      </w:tr>
    </w:tbl>
    <w:tbl>
      <w:tblPr>
        <w:tblW w:w="5028" w:type="dxa"/>
        <w:jc w:val="left"/>
        <w:tblInd w:w="0" w:type="dxa"/>
        <w:tblCellMar>
          <w:top w:w="0" w:type="dxa"/>
          <w:left w:w="0" w:type="dxa"/>
          <w:bottom w:w="0" w:type="dxa"/>
          <w:right w:w="0" w:type="dxa"/>
        </w:tblCellMar>
      </w:tblPr>
      <w:tblGrid>
        <w:gridCol w:w="23"/>
        <w:gridCol w:w="290"/>
        <w:gridCol w:w="471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7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William Lei Ding (the “</w:t>
            </w:r>
            <w:r>
              <w:rPr>
                <w:rFonts w:ascii="Times New Roman;Times;serif" w:hAnsi="Times New Roman;Times;serif"/>
                <w:b/>
                <w:sz w:val="24"/>
              </w:rPr>
              <w:t>Pledgor</w:t>
            </w:r>
            <w:r>
              <w:rPr>
                <w:rFonts w:ascii="Times New Roman;Times;serif" w:hAnsi="Times New Roman;Times;serif"/>
                <w:sz w:val="20"/>
              </w:rPr>
              <w:t>”</w:t>
            </w:r>
            <w:r>
              <w:rPr>
                <w:rFonts w:ascii="Times New Roman;Times;serif" w:hAnsi="Times New Roman;Times;serif"/>
                <w:sz w:val="24"/>
              </w:rPr>
              <w:t>), a PRC citizen.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The Pledgee and the Pledgor are hereinafter jointly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individually, as a “</w:t>
      </w:r>
      <w:r>
        <w:rPr>
          <w:rFonts w:ascii="Times New Roman;Times;serif" w:hAnsi="Times New Roman;Times;serif"/>
          <w:b/>
          <w:sz w:val="24"/>
        </w:rPr>
        <w:t>Party</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w:t>
      </w:r>
    </w:p>
    <w:tbl>
      <w:tblPr>
        <w:tblW w:w="10158" w:type="dxa"/>
        <w:jc w:val="left"/>
        <w:tblInd w:w="0" w:type="dxa"/>
        <w:tblCellMar>
          <w:top w:w="0" w:type="dxa"/>
          <w:left w:w="0" w:type="dxa"/>
          <w:bottom w:w="0" w:type="dxa"/>
          <w:right w:w="0" w:type="dxa"/>
        </w:tblCellMar>
      </w:tblPr>
      <w:tblGrid>
        <w:gridCol w:w="23"/>
        <w:gridCol w:w="350"/>
        <w:gridCol w:w="9785"/>
      </w:tblGrid>
      <w:tr>
        <w:trPr/>
        <w:tc>
          <w:tcPr>
            <w:tcW w:w="2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7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entered into an Equity Pledge Agreement on October 1, 2016 (the “</w:t>
            </w:r>
            <w:r>
              <w:rPr>
                <w:rFonts w:ascii="Times New Roman;Times;serif" w:hAnsi="Times New Roman;Times;serif"/>
                <w:b/>
                <w:sz w:val="24"/>
              </w:rPr>
              <w:t>Original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273"/>
        <w:gridCol w:w="9909"/>
      </w:tblGrid>
      <w:tr>
        <w:trPr/>
        <w:tc>
          <w:tcPr>
            <w:tcW w:w="2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0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is a registered shareholder of</w:t>
            </w:r>
            <w:r>
              <w:rPr>
                <w:rFonts w:ascii="Times New Roman;Times;serif" w:hAnsi="Times New Roman;Times;serif"/>
                <w:sz w:val="20"/>
              </w:rPr>
              <w:t xml:space="preserve"> </w:t>
            </w:r>
            <w:r>
              <w:rPr>
                <w:rFonts w:ascii="Times New Roman;Times;serif" w:hAnsi="Times New Roman;Times;serif"/>
                <w:sz w:val="24"/>
              </w:rPr>
              <w:t>Hangzhou Yuedu Technology Co., Ltd., a limited liability company registered in Hangzhou, PRC with its address at Room 1202, Block A, Hangzhou International Expo Center, No. 353 Benjing Avenue, Qianjiang Century City, Ningwei Street, Xiaoshan District, Hangzhou, Zhejiang</w:t>
            </w:r>
            <w:r>
              <w:rPr>
                <w:rFonts w:ascii="Times New Roman;Times;serif" w:hAnsi="Times New Roman;Times;serif"/>
                <w:sz w:val="20"/>
              </w:rPr>
              <w:t> </w:t>
            </w:r>
            <w:r>
              <w:rPr>
                <w:rFonts w:ascii="Times New Roman;Times;serif" w:hAnsi="Times New Roman;Times;serif"/>
                <w:sz w:val="24"/>
              </w:rPr>
              <w:t>(the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xml:space="preserve">), and holds 99% of the equity interests in the Domestic Company. The equity structure of Domestic Company as of the date of execution of this Agreement is set forth in </w:t>
            </w:r>
            <w:r>
              <w:rPr>
                <w:rFonts w:ascii="Times New Roman;Times;serif" w:hAnsi="Times New Roman;Times;serif"/>
                <w:sz w:val="24"/>
                <w:u w:val="single"/>
              </w:rPr>
              <w:t>Appendix I</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283"/>
        <w:gridCol w:w="9899"/>
      </w:tblGrid>
      <w:tr>
        <w:trPr/>
        <w:tc>
          <w:tcPr>
            <w:tcW w:w="2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89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 Loan Agreement signed on the same date of this Agreement between the Pledgee and the Pledgor (as the same may be amended and supplemented from time to time, the “</w:t>
            </w:r>
            <w:r>
              <w:rPr>
                <w:rFonts w:ascii="Times New Roman;Times;serif" w:hAnsi="Times New Roman;Times;serif"/>
                <w:b/>
                <w:sz w:val="24"/>
              </w:rPr>
              <w:t>Loan Agreement</w:t>
            </w:r>
            <w:r>
              <w:rPr>
                <w:rFonts w:ascii="Times New Roman;Times;serif" w:hAnsi="Times New Roman;Times;serif"/>
                <w:sz w:val="20"/>
              </w:rPr>
              <w:t>”</w:t>
            </w:r>
            <w:r>
              <w:rPr>
                <w:rFonts w:ascii="Times New Roman;Times;serif" w:hAnsi="Times New Roman;Times;serif"/>
                <w:sz w:val="24"/>
              </w:rPr>
              <w:t>), the Pledgee has provided a loan to the Pledgor in the original principal amount of RMB 9,900,000.</w:t>
            </w:r>
          </w:p>
        </w:tc>
      </w:tr>
    </w:tbl>
    <w:tbl>
      <w:tblPr>
        <w:tblW w:w="10205" w:type="dxa"/>
        <w:jc w:val="left"/>
        <w:tblInd w:w="0" w:type="dxa"/>
        <w:tblCellMar>
          <w:top w:w="0" w:type="dxa"/>
          <w:left w:w="0" w:type="dxa"/>
          <w:bottom w:w="0" w:type="dxa"/>
          <w:right w:w="0" w:type="dxa"/>
        </w:tblCellMar>
      </w:tblPr>
      <w:tblGrid>
        <w:gridCol w:w="23"/>
        <w:gridCol w:w="289"/>
        <w:gridCol w:w="9893"/>
      </w:tblGrid>
      <w:tr>
        <w:trPr/>
        <w:tc>
          <w:tcPr>
            <w:tcW w:w="23"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89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 Shareholder Voting Right Trust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4"/>
              </w:rPr>
              <w:t>Voting Trust Agreement</w:t>
            </w:r>
            <w:r>
              <w:rPr>
                <w:rFonts w:ascii="Times New Roman;Times;serif" w:hAnsi="Times New Roman;Times;serif"/>
                <w:sz w:val="20"/>
              </w:rPr>
              <w:t>”</w:t>
            </w:r>
            <w:r>
              <w:rPr>
                <w:rFonts w:ascii="Times New Roman;Times;serif" w:hAnsi="Times New Roman;Times;serif"/>
                <w:sz w:val="24"/>
              </w:rPr>
              <w:t>), the Pledgor has irrevocably appointed the Pledgee as proxy and vested the Pledgee with full power to exercise on his behalf all of his shareholder’s voting rights in respect of the Domestic Company.</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an Exclusive Purchase Option Agreement signed on the same date of this Agreement among the Pledgee, the Pledgor and the Domestic Company (as amended and supplemented from time to time, the “</w:t>
            </w:r>
            <w:r>
              <w:rPr>
                <w:rFonts w:ascii="Times New Roman;Times;serif" w:hAnsi="Times New Roman;Times;serif"/>
                <w:b/>
                <w:sz w:val="24"/>
              </w:rPr>
              <w:t>Purchase Option Agreement</w:t>
            </w:r>
            <w:r>
              <w:rPr>
                <w:rFonts w:ascii="Times New Roman;Times;serif" w:hAnsi="Times New Roman;Times;serif"/>
                <w:sz w:val="20"/>
              </w:rPr>
              <w:t>”</w:t>
            </w:r>
            <w:r>
              <w:rPr>
                <w:rFonts w:ascii="Times New Roman;Times;serif" w:hAnsi="Times New Roman;Times;serif"/>
                <w:sz w:val="24"/>
              </w:rPr>
              <w:t>), the Pledgor has irrevocably granted to the Pledgee an option to purchase all or a portion of the Pledgor’s equity interests in the Domestic Company.</w:t>
            </w:r>
          </w:p>
        </w:tc>
      </w:tr>
    </w:tbl>
    <w:tbl>
      <w:tblPr>
        <w:tblW w:w="10205" w:type="dxa"/>
        <w:jc w:val="left"/>
        <w:tblInd w:w="0" w:type="dxa"/>
        <w:tblCellMar>
          <w:top w:w="0" w:type="dxa"/>
          <w:left w:w="0" w:type="dxa"/>
          <w:bottom w:w="0" w:type="dxa"/>
          <w:right w:w="0" w:type="dxa"/>
        </w:tblCellMar>
      </w:tblPr>
      <w:tblGrid>
        <w:gridCol w:w="23"/>
        <w:gridCol w:w="247"/>
        <w:gridCol w:w="9935"/>
      </w:tblGrid>
      <w:tr>
        <w:trPr/>
        <w:tc>
          <w:tcPr>
            <w:tcW w:w="2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an Operating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4"/>
              </w:rPr>
              <w:t>Operating Agreement</w:t>
            </w:r>
            <w:r>
              <w:rPr>
                <w:rFonts w:ascii="Times New Roman;Times;serif" w:hAnsi="Times New Roman;Times;serif"/>
                <w:sz w:val="20"/>
              </w:rPr>
              <w:t>”</w:t>
            </w:r>
            <w:r>
              <w:rPr>
                <w:rFonts w:ascii="Times New Roman;Times;serif" w:hAnsi="Times New Roman;Times;serif"/>
                <w:sz w:val="24"/>
              </w:rPr>
              <w:t>), the Pledgor has agreed, among other things, not to engage in certain transactions relating to the Domestic Company without the Pledgee’s prior written consent.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35"/>
        <w:gridCol w:w="9847"/>
      </w:tblGrid>
      <w:tr>
        <w:trPr/>
        <w:tc>
          <w:tcPr>
            <w:tcW w:w="2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8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hereto desire to enter into this Agreement to terminate, supersede and replace the Original Agreement in its entirety.</w:t>
            </w:r>
          </w:p>
        </w:tc>
      </w:tr>
    </w:tbl>
    <w:tbl>
      <w:tblPr>
        <w:tblW w:w="10205" w:type="dxa"/>
        <w:jc w:val="left"/>
        <w:tblInd w:w="0" w:type="dxa"/>
        <w:tblCellMar>
          <w:top w:w="0" w:type="dxa"/>
          <w:left w:w="0" w:type="dxa"/>
          <w:bottom w:w="0" w:type="dxa"/>
          <w:right w:w="0" w:type="dxa"/>
        </w:tblCellMar>
      </w:tblPr>
      <w:tblGrid>
        <w:gridCol w:w="23"/>
        <w:gridCol w:w="294"/>
        <w:gridCol w:w="9888"/>
      </w:tblGrid>
      <w:tr>
        <w:trPr/>
        <w:tc>
          <w:tcPr>
            <w:tcW w:w="2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88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security for performance by the Pledgor of the Contract Obligations (as defined below) and discharge and satisfaction of the Secured Debts (as defined below), the Pledgor has agreed to pledge all of his equity interests in the Domestic Company to the Pledgee and grants the Pledgee the right to repayment in first priority on and subject to the terms of this Agreement.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Therefore</w:t>
      </w:r>
      <w:r>
        <w:rPr>
          <w:rFonts w:ascii="Times New Roman;Times;serif" w:hAnsi="Times New Roman;Times;serif"/>
          <w:sz w:val="24"/>
        </w:rPr>
        <w:t>, the Parties enter into this Agreement as follows upon friendly negotiation:</w:t>
      </w:r>
    </w:p>
    <w:tbl>
      <w:tblPr>
        <w:tblW w:w="1315" w:type="dxa"/>
        <w:jc w:val="left"/>
        <w:tblInd w:w="0" w:type="dxa"/>
        <w:tblCellMar>
          <w:top w:w="0" w:type="dxa"/>
          <w:left w:w="0" w:type="dxa"/>
          <w:bottom w:w="0" w:type="dxa"/>
          <w:right w:w="0" w:type="dxa"/>
        </w:tblCellMar>
      </w:tblPr>
      <w:tblGrid>
        <w:gridCol w:w="200"/>
        <w:gridCol w:w="111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w:t>
            </w:r>
          </w:p>
        </w:tc>
        <w:tc>
          <w:tcPr>
            <w:tcW w:w="111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Definitions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Unless the context otherwise requires, the following terms in this Agreement shall have the following meanings:</w:t>
            </w:r>
          </w:p>
        </w:tc>
      </w:tr>
    </w:tbl>
    <w:p>
      <w:pPr>
        <w:pStyle w:val="TextBody"/>
        <w:spacing w:before="0" w:after="240"/>
        <w:ind w:left="1440" w:right="0" w:hanging="0"/>
        <w:jc w:val="both"/>
        <w:rPr/>
      </w:pPr>
      <w:r>
        <w:rPr/>
        <w:t>“</w:t>
      </w:r>
      <w:r>
        <w:rPr>
          <w:rFonts w:ascii="Times New Roman;Times;serif" w:hAnsi="Times New Roman;Times;serif"/>
          <w:b/>
          <w:sz w:val="24"/>
        </w:rPr>
        <w:t>Breaching Event”</w:t>
      </w:r>
      <w:r>
        <w:rPr>
          <w:rFonts w:ascii="Times New Roman;Times;serif" w:hAnsi="Times New Roman;Times;serif"/>
          <w:sz w:val="20"/>
        </w:rPr>
        <w:t xml:space="preserve"> </w:t>
      </w:r>
      <w:r>
        <w:rPr>
          <w:rFonts w:ascii="Times New Roman;Times;serif" w:hAnsi="Times New Roman;Times;serif"/>
          <w:sz w:val="24"/>
        </w:rPr>
        <w:t>shall mean any breach by the Pledgor of any of his Contract Obligations (as defined below).</w:t>
      </w:r>
    </w:p>
    <w:p>
      <w:pPr>
        <w:pStyle w:val="TextBody"/>
        <w:spacing w:before="0" w:after="240"/>
        <w:ind w:left="1440" w:right="0" w:hanging="0"/>
        <w:jc w:val="both"/>
        <w:rPr/>
      </w:pPr>
      <w:r>
        <w:rPr/>
        <w:t>“</w:t>
      </w:r>
      <w:r>
        <w:rPr>
          <w:rFonts w:ascii="Times New Roman;Times;serif" w:hAnsi="Times New Roman;Times;serif"/>
          <w:b/>
          <w:sz w:val="24"/>
        </w:rPr>
        <w:t>Contract Obligations”</w:t>
      </w:r>
      <w:r>
        <w:rPr>
          <w:rFonts w:ascii="Times New Roman;Times;serif" w:hAnsi="Times New Roman;Times;serif"/>
          <w:sz w:val="20"/>
        </w:rPr>
        <w:t xml:space="preserve"> </w:t>
      </w:r>
      <w:r>
        <w:rPr>
          <w:rFonts w:ascii="Times New Roman;Times;serif" w:hAnsi="Times New Roman;Times;serif"/>
          <w:sz w:val="24"/>
        </w:rPr>
        <w:t>shall mean the obligations of the Pledgor to repay the Loan (as defined in the Loan Agreement) under the Loan 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pStyle w:val="TextBody"/>
        <w:spacing w:before="0" w:after="240"/>
        <w:ind w:left="1440" w:right="0" w:hanging="0"/>
        <w:jc w:val="both"/>
        <w:rPr/>
      </w:pPr>
      <w:r>
        <w:rPr/>
        <w:t>“</w:t>
      </w:r>
      <w:r>
        <w:rPr>
          <w:rFonts w:ascii="Times New Roman;Times;serif" w:hAnsi="Times New Roman;Times;serif"/>
          <w:b/>
          <w:sz w:val="24"/>
        </w:rPr>
        <w:t>Pledged Equity”</w:t>
      </w:r>
      <w:r>
        <w:rPr>
          <w:rFonts w:ascii="Times New Roman;Times;serif" w:hAnsi="Times New Roman;Times;serif"/>
          <w:sz w:val="20"/>
        </w:rPr>
        <w:t xml:space="preserve"> </w:t>
      </w:r>
      <w:r>
        <w:rPr>
          <w:rFonts w:ascii="Times New Roman;Times;serif" w:hAnsi="Times New Roman;Times;serif"/>
          <w:sz w:val="24"/>
        </w:rPr>
        <w:t>shall mean all of the equity interests in the Domestic Company which are legally owned by the Pledgor during the term of this Agreement and are to be pledged to the Pledgee pursuant to the provisions hereof as the security for the performance by the Pledgor of the Contract Obligations.</w:t>
      </w:r>
    </w:p>
    <w:p>
      <w:pPr>
        <w:pStyle w:val="TextBody"/>
        <w:spacing w:before="0" w:after="240"/>
        <w:ind w:left="1440" w:right="0" w:hanging="0"/>
        <w:jc w:val="both"/>
        <w:rPr/>
      </w:pPr>
      <w:r>
        <w:rPr/>
        <w:t>“</w:t>
      </w:r>
      <w:r>
        <w:rPr>
          <w:rFonts w:ascii="Times New Roman;Times;serif" w:hAnsi="Times New Roman;Times;serif"/>
          <w:b/>
          <w:sz w:val="24"/>
        </w:rPr>
        <w:t>PRC Law”</w:t>
      </w:r>
      <w:r>
        <w:rPr>
          <w:rFonts w:ascii="Times New Roman;Times;serif" w:hAnsi="Times New Roman;Times;serif"/>
          <w:sz w:val="20"/>
        </w:rPr>
        <w:t xml:space="preserve"> </w:t>
      </w:r>
      <w:r>
        <w:rPr>
          <w:rFonts w:ascii="Times New Roman;Times;serif" w:hAnsi="Times New Roman;Times;serif"/>
          <w:sz w:val="24"/>
        </w:rPr>
        <w:t>shall mean the then valid laws, administrative regulations, administrative rules, local regulations, judicial interpretations and other binding regulatory documents of the PRC.</w:t>
      </w:r>
    </w:p>
    <w:p>
      <w:pPr>
        <w:pStyle w:val="TextBody"/>
        <w:spacing w:before="0" w:after="240"/>
        <w:ind w:left="1440" w:right="0" w:hanging="0"/>
        <w:jc w:val="both"/>
        <w:rPr/>
      </w:pPr>
      <w:r>
        <w:rPr/>
        <w:t>“</w:t>
      </w:r>
      <w:r>
        <w:rPr>
          <w:rFonts w:ascii="Times New Roman;Times;serif" w:hAnsi="Times New Roman;Times;serif"/>
          <w:b/>
          <w:sz w:val="24"/>
        </w:rPr>
        <w:t>Secured Debts”</w:t>
      </w:r>
      <w:r>
        <w:rPr>
          <w:rFonts w:ascii="Times New Roman;Times;serif" w:hAnsi="Times New Roman;Times;serif"/>
          <w:sz w:val="20"/>
        </w:rPr>
        <w:t xml:space="preserve"> </w:t>
      </w:r>
      <w:r>
        <w:rPr>
          <w:rFonts w:ascii="Times New Roman;Times;serif" w:hAnsi="Times New Roman;Times;serif"/>
          <w:sz w:val="24"/>
        </w:rPr>
        <w:t>shall mean all direct, indirect and consequential losses and losses of foreseeable profits suffered by the Pledgee due to any Breaching Event of any of the Pledgor, and all fees incurred by Pledgee for the enforcement of the Contract Obligations of the Pledgor.</w:t>
      </w:r>
    </w:p>
    <w:p>
      <w:pPr>
        <w:pStyle w:val="TextBody"/>
        <w:spacing w:before="0" w:after="240"/>
        <w:ind w:left="1440" w:right="0" w:hanging="0"/>
        <w:jc w:val="both"/>
        <w:rPr/>
      </w:pPr>
      <w:r>
        <w:rPr/>
        <w:t>“</w:t>
      </w:r>
      <w:r>
        <w:rPr>
          <w:rFonts w:ascii="Times New Roman;Times;serif" w:hAnsi="Times New Roman;Times;serif"/>
          <w:b/>
          <w:sz w:val="24"/>
        </w:rPr>
        <w:t>Transaction Agreements”</w:t>
      </w:r>
      <w:r>
        <w:rPr>
          <w:rFonts w:ascii="Times New Roman;Times;serif" w:hAnsi="Times New Roman;Times;serif"/>
          <w:sz w:val="20"/>
        </w:rPr>
        <w:t xml:space="preserve"> </w:t>
      </w:r>
      <w:r>
        <w:rPr>
          <w:rFonts w:ascii="Times New Roman;Times;serif" w:hAnsi="Times New Roman;Times;serif"/>
          <w:sz w:val="24"/>
        </w:rPr>
        <w:t>shall mean the Cooperation Agreement, the Loan Agreement, the Purchase Option Agreement, the Operating Agreement and the Voting Trust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5703" w:type="dxa"/>
        <w:jc w:val="left"/>
        <w:tblInd w:w="0" w:type="dxa"/>
        <w:tblCellMar>
          <w:top w:w="0" w:type="dxa"/>
          <w:left w:w="0" w:type="dxa"/>
          <w:bottom w:w="0" w:type="dxa"/>
          <w:right w:w="0" w:type="dxa"/>
        </w:tblCellMar>
      </w:tblPr>
      <w:tblGrid>
        <w:gridCol w:w="23"/>
        <w:gridCol w:w="320"/>
        <w:gridCol w:w="536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5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references to any PRC Law herein shall be deemed:</w:t>
            </w:r>
          </w:p>
        </w:tc>
      </w:tr>
    </w:tbl>
    <w:p>
      <w:pPr>
        <w:pStyle w:val="TextBody"/>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to include references to the amendments, changes, supplements and reenactments of such law, irrespective of whether they take effect before or after the formation of this Agreement; and</w:t>
      </w:r>
    </w:p>
    <w:p>
      <w:pPr>
        <w:pStyle w:val="TextBody"/>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to include references to other decisions, notices or regulations enacted in accordance therewith or effective as a result thereof.</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Unless otherwise stated in the context herein, all references to an Article, clause, item or paragraph shall refer to the relevant article, clause, item or paragraph of this Agreement.</w:t>
            </w:r>
          </w:p>
        </w:tc>
      </w:tr>
    </w:tbl>
    <w:tbl>
      <w:tblPr>
        <w:tblW w:w="1645" w:type="dxa"/>
        <w:jc w:val="left"/>
        <w:tblInd w:w="0" w:type="dxa"/>
        <w:tblCellMar>
          <w:top w:w="0" w:type="dxa"/>
          <w:left w:w="0" w:type="dxa"/>
          <w:bottom w:w="0" w:type="dxa"/>
          <w:right w:w="0" w:type="dxa"/>
        </w:tblCellMar>
      </w:tblPr>
      <w:tblGrid>
        <w:gridCol w:w="200"/>
        <w:gridCol w:w="144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2.</w:t>
            </w:r>
          </w:p>
        </w:tc>
        <w:tc>
          <w:tcPr>
            <w:tcW w:w="144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Equity Pledge</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Times New Roman;Times;serif" w:hAnsi="Times New Roman;Times;serif"/>
                <w:b/>
                <w:sz w:val="24"/>
              </w:rPr>
              <w:t>Equity Pledge</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shall have been or will be registered at the local branch of State Administration for Market Regulation (“</w:t>
            </w:r>
            <w:r>
              <w:rPr>
                <w:rFonts w:ascii="Times New Roman;Times;serif" w:hAnsi="Times New Roman;Times;serif"/>
                <w:b/>
                <w:sz w:val="24"/>
              </w:rPr>
              <w:t>SAMR</w:t>
            </w:r>
            <w:r>
              <w:rPr>
                <w:rFonts w:ascii="Times New Roman;Times;serif" w:hAnsi="Times New Roman;Times;serif"/>
                <w:sz w:val="20"/>
              </w:rPr>
              <w:t>”</w:t>
            </w:r>
            <w:r>
              <w:rPr>
                <w:rFonts w:ascii="Times New Roman;Times;serif" w:hAnsi="Times New Roman;Times;serif"/>
                <w:sz w:val="24"/>
              </w:rPr>
              <w:t xml:space="preserve">) as one of the shareholders of the Domestic Company holding his proportion of the equity interests in the Domestic Company as set forth in </w:t>
            </w:r>
            <w:r>
              <w:rPr>
                <w:rFonts w:ascii="Times New Roman;Times;serif" w:hAnsi="Times New Roman;Times;serif"/>
                <w:sz w:val="24"/>
                <w:u w:val="single"/>
              </w:rPr>
              <w:t>Appendix I</w:t>
            </w:r>
            <w:r>
              <w:rPr>
                <w:rFonts w:ascii="Times New Roman;Times;serif" w:hAnsi="Times New Roman;Times;serif"/>
                <w:sz w:val="20"/>
              </w:rPr>
              <w:t xml:space="preserve"> </w:t>
            </w:r>
            <w:r>
              <w:rPr>
                <w:rFonts w:ascii="Times New Roman;Times;serif" w:hAnsi="Times New Roman;Times;serif"/>
                <w:sz w:val="24"/>
              </w:rPr>
              <w:t>above and hold such equity interests free and clear of encumbrances except for the Equity Pledge as provided in this Agreement and/or as otherwise agreed by the Parties.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2.3</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hereby undertakes that he will be responsible for recording the Equity Pledge on the register of equityholders of the Domestic Company on the date hereof or as soon as practicable from the date hereof, and will use his best endeavors to register the Equity Pledge with SAMR (the “</w:t>
            </w:r>
            <w:r>
              <w:rPr>
                <w:rFonts w:ascii="Times New Roman;Times;serif" w:hAnsi="Times New Roman;Times;serif"/>
                <w:b/>
                <w:sz w:val="24"/>
              </w:rPr>
              <w:t>Registration of Equity Pledge</w:t>
            </w:r>
            <w:r>
              <w:rPr>
                <w:rFonts w:ascii="Times New Roman;Times;serif" w:hAnsi="Times New Roman;Times;serif"/>
                <w:sz w:val="20"/>
              </w:rPr>
              <w:t>”</w:t>
            </w:r>
            <w:r>
              <w:rPr>
                <w:rFonts w:ascii="Times New Roman;Times;serif" w:hAnsi="Times New Roman;Times;serif"/>
                <w:sz w:val="24"/>
              </w:rPr>
              <w:t>). In the event the SAMR requires that the Registration of Equity Pledge be completed by using an equity pledge agreement between the Parties substantially in form stipulated by the SAMR, subject to Section 13.5, the Parties shall enter into an equity pledge agreement in such stipulated form (the “</w:t>
            </w:r>
            <w:r>
              <w:rPr>
                <w:rFonts w:ascii="Times New Roman;Times;serif" w:hAnsi="Times New Roman;Times;serif"/>
                <w:b/>
                <w:sz w:val="24"/>
              </w:rPr>
              <w:t>Registration Version</w:t>
            </w:r>
            <w:r>
              <w:rPr>
                <w:rFonts w:ascii="Times New Roman;Times;serif" w:hAnsi="Times New Roman;Times;serif"/>
                <w:sz w:val="20"/>
              </w:rPr>
              <w:t>”</w:t>
            </w:r>
            <w:r>
              <w:rPr>
                <w:rFonts w:ascii="Times New Roman;Times;serif" w:hAnsi="Times New Roman;Times;serif"/>
                <w:sz w:val="24"/>
              </w:rPr>
              <w:t>) and the Pledgor shall and hereby undertakes that he will use his best endeavors to register the Equity Pledge with SAMR by using the Registration Version.</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During the term of this Agreement, the Pledgee shall not be liable in any way for impairment in value of the Pledged Equity, nor shall the Pledgor have any right to make any claims against the Pledgee for such impairment in value.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2.5</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Upon the occurrence of any Breaching Event, the Pledgee shall have the right to dispose of the Pledged Equity in the manner set forth in Article 4 hereof.</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2.6</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increase the registered capital of the Domestic Company by contributing additional capital, or allowing any third party to contribute additional capital to the Domestic Company.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2.7</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consent to the adoption of any shareholders’ resolution or by any other means permit the Domestic Company to declare or distribute any dividends or profits.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2.8</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enter into any transactions with the Domestic Company.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2.9</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During the term of the Equity Pledge, the Pledgor shall deliver to the Pledgee’s custody the original capital contribution certificate for the Pledged Equity and the original equityholders’ register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containing the Equity Pledge). The Pledgee shall take custody of such original documents during the entire term of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2.10</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shall have the right to collect dividends or any other distribution paid with respect to the Pledged Equity during the term of this Agreement.</w:t>
            </w:r>
          </w:p>
        </w:tc>
      </w:tr>
    </w:tbl>
    <w:tbl>
      <w:tblPr>
        <w:tblW w:w="1975" w:type="dxa"/>
        <w:jc w:val="left"/>
        <w:tblInd w:w="0" w:type="dxa"/>
        <w:tblCellMar>
          <w:top w:w="0" w:type="dxa"/>
          <w:left w:w="0" w:type="dxa"/>
          <w:bottom w:w="0" w:type="dxa"/>
          <w:right w:w="0" w:type="dxa"/>
        </w:tblCellMar>
      </w:tblPr>
      <w:tblGrid>
        <w:gridCol w:w="200"/>
        <w:gridCol w:w="177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3.</w:t>
            </w:r>
          </w:p>
        </w:tc>
        <w:tc>
          <w:tcPr>
            <w:tcW w:w="177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Release of Pledge</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of the Domestic Company and the registration with SAMR, and all expenses reasonably incurred in connection with such release shall be borne by the Domestic Company. The Parties shall procure the Domestic Company to bear such expenses.</w:t>
      </w:r>
    </w:p>
    <w:tbl>
      <w:tblPr>
        <w:tblW w:w="3325" w:type="dxa"/>
        <w:jc w:val="left"/>
        <w:tblInd w:w="0" w:type="dxa"/>
        <w:tblCellMar>
          <w:top w:w="0" w:type="dxa"/>
          <w:left w:w="0" w:type="dxa"/>
          <w:bottom w:w="0" w:type="dxa"/>
          <w:right w:w="0" w:type="dxa"/>
        </w:tblCellMar>
      </w:tblPr>
      <w:tblGrid>
        <w:gridCol w:w="200"/>
        <w:gridCol w:w="312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4.</w:t>
            </w:r>
          </w:p>
        </w:tc>
        <w:tc>
          <w:tcPr>
            <w:tcW w:w="312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Disposal of the Pledged Equity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shall have the right to designate in writing its legal counsel or other agents to exercise on its behalf any and all rights and powers referred to above, and the Pledgor shall not raise any objection thereto.</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proceeds that the Pledgee acquires from the exercise of its rights and powers shall be applied in the following order of priority:</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(1)</w:t>
            </w:r>
          </w:p>
        </w:tc>
        <w:tc>
          <w:tcPr>
            <w:tcW w:w="993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first, to pay any cost incurred in connection with the disposal of the Pledged Equity and the exercise by the Pledgee of its rights and powers (including remuneration paid to its legal counsels and agents);</w:t>
            </w:r>
          </w:p>
        </w:tc>
      </w:tr>
    </w:tbl>
    <w:tbl>
      <w:tblPr>
        <w:tblW w:w="10205" w:type="dxa"/>
        <w:jc w:val="left"/>
        <w:tblInd w:w="0" w:type="dxa"/>
        <w:tblCellMar>
          <w:top w:w="0" w:type="dxa"/>
          <w:left w:w="0" w:type="dxa"/>
          <w:bottom w:w="0" w:type="dxa"/>
          <w:right w:w="0" w:type="dxa"/>
        </w:tblCellMar>
      </w:tblPr>
      <w:tblGrid>
        <w:gridCol w:w="23"/>
        <w:gridCol w:w="263"/>
        <w:gridCol w:w="9919"/>
      </w:tblGrid>
      <w:tr>
        <w:trPr/>
        <w:tc>
          <w:tcPr>
            <w:tcW w:w="2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(2)</w:t>
            </w:r>
          </w:p>
        </w:tc>
        <w:tc>
          <w:tcPr>
            <w:tcW w:w="9919"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second, to pay any taxes and levies payable for the disposal of the Pledged Equity (for the avoidance of doubt, such taxes do not include any income tax); and</w:t>
            </w:r>
          </w:p>
        </w:tc>
      </w:tr>
    </w:tbl>
    <w:tbl>
      <w:tblPr>
        <w:tblW w:w="4983" w:type="dxa"/>
        <w:jc w:val="left"/>
        <w:tblInd w:w="0" w:type="dxa"/>
        <w:tblCellMar>
          <w:top w:w="0" w:type="dxa"/>
          <w:left w:w="0" w:type="dxa"/>
          <w:bottom w:w="0" w:type="dxa"/>
          <w:right w:w="0" w:type="dxa"/>
        </w:tblCellMar>
      </w:tblPr>
      <w:tblGrid>
        <w:gridCol w:w="23"/>
        <w:gridCol w:w="290"/>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46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third, to repay the Pledgee for the Secured Debts.</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tbl>
      <w:tblPr>
        <w:tblW w:w="2935" w:type="dxa"/>
        <w:jc w:val="left"/>
        <w:tblInd w:w="0" w:type="dxa"/>
        <w:tblCellMar>
          <w:top w:w="0" w:type="dxa"/>
          <w:left w:w="0" w:type="dxa"/>
          <w:bottom w:w="0" w:type="dxa"/>
          <w:right w:w="0" w:type="dxa"/>
        </w:tblCellMar>
      </w:tblPr>
      <w:tblGrid>
        <w:gridCol w:w="200"/>
        <w:gridCol w:w="273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5.</w:t>
            </w:r>
          </w:p>
        </w:tc>
        <w:tc>
          <w:tcPr>
            <w:tcW w:w="27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Continuity and No Waiver</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tbl>
      <w:tblPr>
        <w:tblW w:w="3520" w:type="dxa"/>
        <w:jc w:val="left"/>
        <w:tblInd w:w="0" w:type="dxa"/>
        <w:tblCellMar>
          <w:top w:w="0" w:type="dxa"/>
          <w:left w:w="0" w:type="dxa"/>
          <w:bottom w:w="0" w:type="dxa"/>
          <w:right w:w="0" w:type="dxa"/>
        </w:tblCellMar>
      </w:tblPr>
      <w:tblGrid>
        <w:gridCol w:w="200"/>
        <w:gridCol w:w="33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6.</w:t>
            </w:r>
          </w:p>
        </w:tc>
        <w:tc>
          <w:tcPr>
            <w:tcW w:w="3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Representations and Warranties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of this Agreement through the date of termination or expiration of this Agreement, the Pledgor hereby represents and warrants as follows:</w:t>
            </w:r>
          </w:p>
        </w:tc>
      </w:tr>
    </w:tbl>
    <w:tbl>
      <w:tblPr>
        <w:tblW w:w="10205" w:type="dxa"/>
        <w:jc w:val="left"/>
        <w:tblInd w:w="0" w:type="dxa"/>
        <w:tblCellMar>
          <w:top w:w="0" w:type="dxa"/>
          <w:left w:w="0" w:type="dxa"/>
          <w:bottom w:w="0" w:type="dxa"/>
          <w:right w:w="0" w:type="dxa"/>
        </w:tblCellMar>
      </w:tblPr>
      <w:tblGrid>
        <w:gridCol w:w="23"/>
        <w:gridCol w:w="266"/>
        <w:gridCol w:w="9916"/>
      </w:tblGrid>
      <w:tr>
        <w:trPr/>
        <w:tc>
          <w:tcPr>
            <w:tcW w:w="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1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is a PRC citizen with power and capacity to execute and perform his obligations under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tc>
      </w:tr>
    </w:tbl>
    <w:tbl>
      <w:tblPr>
        <w:tblW w:w="8598" w:type="dxa"/>
        <w:jc w:val="left"/>
        <w:tblInd w:w="0" w:type="dxa"/>
        <w:tblCellMar>
          <w:top w:w="0" w:type="dxa"/>
          <w:left w:w="0" w:type="dxa"/>
          <w:bottom w:w="0" w:type="dxa"/>
          <w:right w:w="0" w:type="dxa"/>
        </w:tblCellMar>
      </w:tblPr>
      <w:tblGrid>
        <w:gridCol w:w="23"/>
        <w:gridCol w:w="275"/>
        <w:gridCol w:w="830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83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constitutes the lawful, valid and enforceable obligations of the Pledgor.</w:t>
            </w:r>
          </w:p>
        </w:tc>
      </w:tr>
    </w:tbl>
    <w:tbl>
      <w:tblPr>
        <w:tblW w:w="10205" w:type="dxa"/>
        <w:jc w:val="left"/>
        <w:tblInd w:w="0" w:type="dxa"/>
        <w:tblCellMar>
          <w:top w:w="0" w:type="dxa"/>
          <w:left w:w="0" w:type="dxa"/>
          <w:bottom w:w="0" w:type="dxa"/>
          <w:right w:w="0" w:type="dxa"/>
        </w:tblCellMar>
      </w:tblPr>
      <w:tblGrid>
        <w:gridCol w:w="23"/>
        <w:gridCol w:w="273"/>
        <w:gridCol w:w="9909"/>
      </w:tblGrid>
      <w:tr>
        <w:trPr/>
        <w:tc>
          <w:tcPr>
            <w:tcW w:w="2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0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reports, documents and information provided by the Pledgor to the Pledgee are true, correct and accurate in all material respects.</w:t>
            </w:r>
          </w:p>
        </w:tc>
      </w:tr>
    </w:tbl>
    <w:tbl>
      <w:tblPr>
        <w:tblW w:w="10205" w:type="dxa"/>
        <w:jc w:val="left"/>
        <w:tblInd w:w="0" w:type="dxa"/>
        <w:tblCellMar>
          <w:top w:w="0" w:type="dxa"/>
          <w:left w:w="0" w:type="dxa"/>
          <w:bottom w:w="0" w:type="dxa"/>
          <w:right w:w="0" w:type="dxa"/>
        </w:tblCellMar>
      </w:tblPr>
      <w:tblGrid>
        <w:gridCol w:w="23"/>
        <w:gridCol w:w="221"/>
        <w:gridCol w:w="9961"/>
      </w:tblGrid>
      <w:tr>
        <w:trPr/>
        <w:tc>
          <w:tcPr>
            <w:tcW w:w="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for the encumbrance set on the Pledged Equity hereunder and otherwise agreed by the Parties and the rights set forth under the Transaction Agreements, there is no other encumbrance or third party interest over the Pledged Equity.</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Pledged Equity is capable of being pledged or transferred according to PRC Law, and the Pledgor has the full right and power to pledge the Pledged Equity to the Pledgee according to this Agreement.</w:t>
            </w:r>
          </w:p>
        </w:tc>
      </w:tr>
    </w:tbl>
    <w:tbl>
      <w:tblPr>
        <w:tblW w:w="10205" w:type="dxa"/>
        <w:jc w:val="left"/>
        <w:tblInd w:w="0" w:type="dxa"/>
        <w:tblCellMar>
          <w:top w:w="0" w:type="dxa"/>
          <w:left w:w="0" w:type="dxa"/>
          <w:bottom w:w="0" w:type="dxa"/>
          <w:right w:w="0" w:type="dxa"/>
        </w:tblCellMar>
      </w:tblPr>
      <w:tblGrid>
        <w:gridCol w:w="23"/>
        <w:gridCol w:w="231"/>
        <w:gridCol w:w="9951"/>
      </w:tblGrid>
      <w:tr>
        <w:trPr/>
        <w:tc>
          <w:tcPr>
            <w:tcW w:w="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tc>
      </w:tr>
    </w:tbl>
    <w:tbl>
      <w:tblPr>
        <w:tblW w:w="7593" w:type="dxa"/>
        <w:jc w:val="left"/>
        <w:tblInd w:w="0" w:type="dxa"/>
        <w:tblCellMar>
          <w:top w:w="0" w:type="dxa"/>
          <w:left w:w="0" w:type="dxa"/>
          <w:bottom w:w="0" w:type="dxa"/>
          <w:right w:w="0" w:type="dxa"/>
        </w:tblCellMar>
      </w:tblPr>
      <w:tblGrid>
        <w:gridCol w:w="23"/>
        <w:gridCol w:w="230"/>
        <w:gridCol w:w="7340"/>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73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Equity Pledge hereunder constitutes a first pledge on the Pledged Equity.</w:t>
            </w:r>
          </w:p>
        </w:tc>
      </w:tr>
    </w:tbl>
    <w:tbl>
      <w:tblPr>
        <w:tblW w:w="10205" w:type="dxa"/>
        <w:jc w:val="left"/>
        <w:tblInd w:w="0" w:type="dxa"/>
        <w:tblCellMar>
          <w:top w:w="0" w:type="dxa"/>
          <w:left w:w="0" w:type="dxa"/>
          <w:bottom w:w="0" w:type="dxa"/>
          <w:right w:w="0" w:type="dxa"/>
        </w:tblCellMar>
      </w:tblPr>
      <w:tblGrid>
        <w:gridCol w:w="23"/>
        <w:gridCol w:w="169"/>
        <w:gridCol w:w="10013"/>
      </w:tblGrid>
      <w:tr>
        <w:trPr/>
        <w:tc>
          <w:tcPr>
            <w:tcW w:w="2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1001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of this Agreement through the date of termination or expiration of this Agreement, the Pledgee hereby represents and warrants as follows: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tbl>
      <w:tblPr>
        <w:tblW w:w="9348" w:type="dxa"/>
        <w:jc w:val="left"/>
        <w:tblInd w:w="0" w:type="dxa"/>
        <w:tblCellMar>
          <w:top w:w="0" w:type="dxa"/>
          <w:left w:w="0" w:type="dxa"/>
          <w:bottom w:w="0" w:type="dxa"/>
          <w:right w:w="0" w:type="dxa"/>
        </w:tblCellMar>
      </w:tblPr>
      <w:tblGrid>
        <w:gridCol w:w="23"/>
        <w:gridCol w:w="275"/>
        <w:gridCol w:w="90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0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is a wholly foreign owned enterprise duly registered and existing under PRC Law.</w:t>
            </w:r>
          </w:p>
        </w:tc>
      </w:tr>
    </w:tbl>
    <w:tbl>
      <w:tblPr>
        <w:tblW w:w="10205" w:type="dxa"/>
        <w:jc w:val="left"/>
        <w:tblInd w:w="0" w:type="dxa"/>
        <w:tblCellMar>
          <w:top w:w="0" w:type="dxa"/>
          <w:left w:w="0" w:type="dxa"/>
          <w:bottom w:w="0" w:type="dxa"/>
          <w:right w:w="0" w:type="dxa"/>
        </w:tblCellMar>
      </w:tblPr>
      <w:tblGrid>
        <w:gridCol w:w="23"/>
        <w:gridCol w:w="232"/>
        <w:gridCol w:w="9950"/>
      </w:tblGrid>
      <w:tr>
        <w:trPr/>
        <w:tc>
          <w:tcPr>
            <w:tcW w:w="2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tc>
      </w:tr>
    </w:tbl>
    <w:tbl>
      <w:tblPr>
        <w:tblW w:w="8673" w:type="dxa"/>
        <w:jc w:val="left"/>
        <w:tblInd w:w="0" w:type="dxa"/>
        <w:tblCellMar>
          <w:top w:w="0" w:type="dxa"/>
          <w:left w:w="0" w:type="dxa"/>
          <w:bottom w:w="0" w:type="dxa"/>
          <w:right w:w="0" w:type="dxa"/>
        </w:tblCellMar>
      </w:tblPr>
      <w:tblGrid>
        <w:gridCol w:w="23"/>
        <w:gridCol w:w="275"/>
        <w:gridCol w:w="8375"/>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83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of the Pledgee.</w:t>
            </w:r>
          </w:p>
        </w:tc>
      </w:tr>
    </w:tbl>
    <w:tbl>
      <w:tblPr>
        <w:tblW w:w="3160" w:type="dxa"/>
        <w:jc w:val="left"/>
        <w:tblInd w:w="0" w:type="dxa"/>
        <w:tblCellMar>
          <w:top w:w="0" w:type="dxa"/>
          <w:left w:w="0" w:type="dxa"/>
          <w:bottom w:w="0" w:type="dxa"/>
          <w:right w:w="0" w:type="dxa"/>
        </w:tblCellMar>
      </w:tblPr>
      <w:tblGrid>
        <w:gridCol w:w="200"/>
        <w:gridCol w:w="296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7.</w:t>
            </w:r>
          </w:p>
        </w:tc>
        <w:tc>
          <w:tcPr>
            <w:tcW w:w="296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Undertakings by the Pledgor</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Pledgor hereby undertakes to the Pledgee as follows:</w:t>
      </w:r>
    </w:p>
    <w:tbl>
      <w:tblPr>
        <w:tblW w:w="10205" w:type="dxa"/>
        <w:jc w:val="left"/>
        <w:tblInd w:w="0" w:type="dxa"/>
        <w:tblCellMar>
          <w:top w:w="0" w:type="dxa"/>
          <w:left w:w="0" w:type="dxa"/>
          <w:bottom w:w="0" w:type="dxa"/>
          <w:right w:w="0" w:type="dxa"/>
        </w:tblCellMar>
      </w:tblPr>
      <w:tblGrid>
        <w:gridCol w:w="23"/>
        <w:gridCol w:w="224"/>
        <w:gridCol w:w="9958"/>
      </w:tblGrid>
      <w:tr>
        <w:trPr/>
        <w:tc>
          <w:tcPr>
            <w:tcW w:w="2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5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tc>
      </w:tr>
    </w:tbl>
    <w:tbl>
      <w:tblPr>
        <w:tblW w:w="10205" w:type="dxa"/>
        <w:jc w:val="left"/>
        <w:tblInd w:w="0" w:type="dxa"/>
        <w:tblCellMar>
          <w:top w:w="0" w:type="dxa"/>
          <w:left w:w="0" w:type="dxa"/>
          <w:bottom w:w="0" w:type="dxa"/>
          <w:right w:w="0" w:type="dxa"/>
        </w:tblCellMar>
      </w:tblPr>
      <w:tblGrid>
        <w:gridCol w:w="23"/>
        <w:gridCol w:w="215"/>
        <w:gridCol w:w="9967"/>
      </w:tblGrid>
      <w:tr>
        <w:trPr/>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tc>
      </w:tr>
    </w:tbl>
    <w:tbl>
      <w:tblPr>
        <w:tblW w:w="10205" w:type="dxa"/>
        <w:jc w:val="left"/>
        <w:tblInd w:w="0" w:type="dxa"/>
        <w:tblCellMar>
          <w:top w:w="0" w:type="dxa"/>
          <w:left w:w="0" w:type="dxa"/>
          <w:bottom w:w="0" w:type="dxa"/>
          <w:right w:w="0" w:type="dxa"/>
        </w:tblCellMar>
      </w:tblPr>
      <w:tblGrid>
        <w:gridCol w:w="23"/>
        <w:gridCol w:w="253"/>
        <w:gridCol w:w="9929"/>
      </w:tblGrid>
      <w:tr>
        <w:trPr/>
        <w:tc>
          <w:tcPr>
            <w:tcW w:w="2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shall not take or permit any act or action which may adversely affect the interest of the Pledgee under the Transaction Agreements and hereunder or in respect of the Pledged Equity.</w:t>
            </w:r>
          </w:p>
        </w:tc>
      </w:tr>
    </w:tbl>
    <w:tbl>
      <w:tblPr>
        <w:tblW w:w="10205" w:type="dxa"/>
        <w:jc w:val="left"/>
        <w:tblInd w:w="0" w:type="dxa"/>
        <w:tblCellMar>
          <w:top w:w="0" w:type="dxa"/>
          <w:left w:w="0" w:type="dxa"/>
          <w:bottom w:w="0" w:type="dxa"/>
          <w:right w:w="0" w:type="dxa"/>
        </w:tblCellMar>
      </w:tblPr>
      <w:tblGrid>
        <w:gridCol w:w="23"/>
        <w:gridCol w:w="221"/>
        <w:gridCol w:w="9961"/>
      </w:tblGrid>
      <w:tr>
        <w:trPr/>
        <w:tc>
          <w:tcPr>
            <w:tcW w:w="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7-</w:t>
      </w:r>
    </w:p>
    <w:p>
      <w:pPr>
        <w:pStyle w:val="HorizontalLine"/>
        <w:rPr/>
      </w:pPr>
      <w:r>
        <w:rPr/>
      </w:r>
    </w:p>
    <w:p>
      <w:pPr>
        <w:pStyle w:val="TextBody"/>
        <w:spacing w:before="0" w:after="0"/>
        <w:ind w:left="0" w:right="0" w:hanging="0"/>
        <w:rPr/>
      </w:pPr>
      <w:r>
        <w:rPr/>
        <w:t>​</w:t>
      </w:r>
    </w:p>
    <w:tbl>
      <w:tblPr>
        <w:tblW w:w="2830" w:type="dxa"/>
        <w:jc w:val="left"/>
        <w:tblInd w:w="0" w:type="dxa"/>
        <w:tblCellMar>
          <w:top w:w="0" w:type="dxa"/>
          <w:left w:w="0" w:type="dxa"/>
          <w:bottom w:w="0" w:type="dxa"/>
          <w:right w:w="0" w:type="dxa"/>
        </w:tblCellMar>
      </w:tblPr>
      <w:tblGrid>
        <w:gridCol w:w="200"/>
        <w:gridCol w:w="263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8.</w:t>
            </w:r>
          </w:p>
        </w:tc>
        <w:tc>
          <w:tcPr>
            <w:tcW w:w="26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Change of Circumstances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pStyle w:val="TextBody"/>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keep this Agreement valid and effective;</w:t>
      </w:r>
    </w:p>
    <w:p>
      <w:pPr>
        <w:pStyle w:val="TextBody"/>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facilitate the disposal of the Pledged Equity in the manner provided herein; and/or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rPr>
        <w:t>maintain or realize the intention or the security established hereunder.</w:t>
      </w:r>
    </w:p>
    <w:tbl>
      <w:tblPr>
        <w:tblW w:w="4420" w:type="dxa"/>
        <w:jc w:val="left"/>
        <w:tblInd w:w="0" w:type="dxa"/>
        <w:tblCellMar>
          <w:top w:w="0" w:type="dxa"/>
          <w:left w:w="0" w:type="dxa"/>
          <w:bottom w:w="0" w:type="dxa"/>
          <w:right w:w="0" w:type="dxa"/>
        </w:tblCellMar>
      </w:tblPr>
      <w:tblGrid>
        <w:gridCol w:w="200"/>
        <w:gridCol w:w="42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9.</w:t>
            </w:r>
          </w:p>
        </w:tc>
        <w:tc>
          <w:tcPr>
            <w:tcW w:w="42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Effectiveness and Term of the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when it has been duly executed by the parties hereto and recorded in the register of equityholders of the Domestic Company, and the Equity Pledge under this Agreement or the Registration Version, as applicable, shall become effective when it has been registered with SAMR to the extent permitted by SAMR. This Agreement shall supersede the Original Agreement and the Original Agreement shall become void. The Pledgor shall carry out all the approval and registration formalities in a timely manner as required by PRC Law (including but not limited to the registration of the Equity Pledge with SAMR to the extent permitted by SAMR) and shall take all other necessary actions required for completing such approval and/or registration formalities.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continue to be valid until the full performance of the Contract Obligations or the full discharge and satisfaction of the Secured Debts.</w:t>
            </w:r>
          </w:p>
        </w:tc>
      </w:tr>
    </w:tbl>
    <w:tbl>
      <w:tblPr>
        <w:tblW w:w="1075" w:type="dxa"/>
        <w:jc w:val="left"/>
        <w:tblInd w:w="0" w:type="dxa"/>
        <w:tblCellMar>
          <w:top w:w="0" w:type="dxa"/>
          <w:left w:w="0" w:type="dxa"/>
          <w:bottom w:w="0" w:type="dxa"/>
          <w:right w:w="0" w:type="dxa"/>
        </w:tblCellMar>
      </w:tblPr>
      <w:tblGrid>
        <w:gridCol w:w="320"/>
        <w:gridCol w:w="755"/>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10.</w:t>
            </w:r>
          </w:p>
        </w:tc>
        <w:tc>
          <w:tcPr>
            <w:tcW w:w="75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 xml:space="preserve">If to Pledgee: </w:t>
      </w:r>
      <w:r>
        <w:rPr>
          <w:rFonts w:ascii="Times New Roman;Times;serif" w:hAnsi="Times New Roman;Times;serif"/>
          <w:sz w:val="24"/>
        </w:rPr>
        <w:t>Hangzhou NetEase Cloud Music Technology Co., Ltd.</w:t>
      </w:r>
    </w:p>
    <w:tbl>
      <w:tblPr>
        <w:tblW w:w="9947" w:type="dxa"/>
        <w:jc w:val="center"/>
        <w:tblInd w:w="0" w:type="dxa"/>
        <w:tblCellMar>
          <w:top w:w="0" w:type="dxa"/>
          <w:left w:w="0" w:type="dxa"/>
          <w:bottom w:w="0" w:type="dxa"/>
          <w:right w:w="0" w:type="dxa"/>
        </w:tblCellMar>
      </w:tblPr>
      <w:tblGrid>
        <w:gridCol w:w="961"/>
        <w:gridCol w:w="8986"/>
      </w:tblGrid>
      <w:tr>
        <w:trPr/>
        <w:tc>
          <w:tcPr>
            <w:tcW w:w="961"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Address:</w:t>
            </w:r>
          </w:p>
        </w:tc>
        <w:tc>
          <w:tcPr>
            <w:tcW w:w="898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Floor 7, Building 4, No. 599 Wangshang Road, Changhe Street, Binjiang District, Hangzhou</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 xml:space="preserve">If to Pledgor: </w:t>
      </w:r>
      <w:r>
        <w:rPr>
          <w:rFonts w:ascii="Times New Roman;Times;serif" w:hAnsi="Times New Roman;Times;serif"/>
          <w:sz w:val="24"/>
        </w:rPr>
        <w:t>William Lei Ding</w:t>
      </w:r>
    </w:p>
    <w:tbl>
      <w:tblPr>
        <w:tblW w:w="8012" w:type="dxa"/>
        <w:jc w:val="center"/>
        <w:tblInd w:w="0" w:type="dxa"/>
        <w:tblCellMar>
          <w:top w:w="0" w:type="dxa"/>
          <w:left w:w="0" w:type="dxa"/>
          <w:bottom w:w="0" w:type="dxa"/>
          <w:right w:w="0" w:type="dxa"/>
        </w:tblCellMar>
      </w:tblPr>
      <w:tblGrid>
        <w:gridCol w:w="961"/>
        <w:gridCol w:w="7051"/>
      </w:tblGrid>
      <w:tr>
        <w:trPr/>
        <w:tc>
          <w:tcPr>
            <w:tcW w:w="961"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Address:</w:t>
            </w:r>
          </w:p>
        </w:tc>
        <w:tc>
          <w:tcPr>
            <w:tcW w:w="7051"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No. 599 Wangshang Road, Changhe Street, Binjiang District, Hangzhou</w:t>
            </w:r>
          </w:p>
        </w:tc>
      </w:tr>
    </w:tbl>
    <w:p>
      <w:pPr>
        <w:pStyle w:val="TextBody"/>
        <w:spacing w:before="0" w:after="0"/>
        <w:ind w:left="0" w:right="0" w:hanging="0"/>
        <w:rPr/>
      </w:pPr>
      <w:r>
        <w:rPr/>
        <w:t>​</w:t>
      </w:r>
    </w:p>
    <w:tbl>
      <w:tblPr>
        <w:tblW w:w="1855" w:type="dxa"/>
        <w:jc w:val="left"/>
        <w:tblInd w:w="0" w:type="dxa"/>
        <w:tblCellMar>
          <w:top w:w="0" w:type="dxa"/>
          <w:left w:w="0" w:type="dxa"/>
          <w:bottom w:w="0" w:type="dxa"/>
          <w:right w:w="0" w:type="dxa"/>
        </w:tblCellMar>
      </w:tblPr>
      <w:tblGrid>
        <w:gridCol w:w="320"/>
        <w:gridCol w:w="1535"/>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11.</w:t>
            </w:r>
          </w:p>
        </w:tc>
        <w:tc>
          <w:tcPr>
            <w:tcW w:w="15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Confidentiality</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4390" w:type="dxa"/>
        <w:jc w:val="left"/>
        <w:tblInd w:w="0" w:type="dxa"/>
        <w:tblCellMar>
          <w:top w:w="0" w:type="dxa"/>
          <w:left w:w="0" w:type="dxa"/>
          <w:bottom w:w="0" w:type="dxa"/>
          <w:right w:w="0" w:type="dxa"/>
        </w:tblCellMar>
      </w:tblPr>
      <w:tblGrid>
        <w:gridCol w:w="320"/>
        <w:gridCol w:w="4070"/>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12.</w:t>
            </w:r>
          </w:p>
        </w:tc>
        <w:tc>
          <w:tcPr>
            <w:tcW w:w="407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Applicable Law and Dispute Resolution</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12.1</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validity, interpretation, performance, amendment, termination and dispute resolution of this Agreement shall be governed by PRC Law.</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12.2</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Any dispute arising under or in connection with this Agreement shall be settled by the parties</w:t>
            </w:r>
            <w:r>
              <w:rPr>
                <w:rFonts w:ascii="Times New Roman;Times;serif" w:hAnsi="Times New Roman;Times;serif"/>
                <w:sz w:val="20"/>
              </w:rPr>
              <w:t xml:space="preserve"> </w:t>
            </w:r>
            <w:r>
              <w:rPr>
                <w:rFonts w:ascii="Times New Roman;Times;serif" w:hAnsi="Times New Roman;Times;serif"/>
                <w:sz w:val="24"/>
              </w:rPr>
              <w:t>through negotiation. If the parties fail to reach an agreement within 30 days after the dispute arises, the dispute shall be submitted to China International</w:t>
            </w:r>
            <w:r>
              <w:rPr>
                <w:rFonts w:ascii="Times New Roman;Times;serif" w:hAnsi="Times New Roman;Times;serif"/>
                <w:sz w:val="20"/>
              </w:rPr>
              <w:t xml:space="preserve"> </w:t>
            </w:r>
            <w:r>
              <w:rPr>
                <w:rFonts w:ascii="Times New Roman;Times;serif" w:hAnsi="Times New Roman;Times;serif"/>
                <w:sz w:val="24"/>
              </w:rPr>
              <w:t>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12.3</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Pledgee</w:t>
            </w:r>
            <w:r>
              <w:rPr>
                <w:rFonts w:ascii="Times New Roman;Times;serif" w:hAnsi="Times New Roman;Times;serif"/>
                <w:sz w:val="20"/>
              </w:rPr>
              <w:t xml:space="preserve"> </w:t>
            </w:r>
            <w:r>
              <w:rPr>
                <w:rFonts w:ascii="Times New Roman;Times;serif" w:hAnsi="Times New Roman;Times;serif"/>
                <w:sz w:val="24"/>
              </w:rPr>
              <w:t>appropriate legal remedies, including but not limited to restricting the Domestic Company’s business operation, restricting and / or disposing the Domestic Company’s equities or assets (including land assets) (including but not limited to taking them as compensation), or forbidding transfer or dispose, or taking other relevant remedies, or ordering the winding up of the Domestic Company. The Parties shall perform such awards.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9-</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12.4</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12.5</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12.6</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agree that: the courts in (i) the Hong Kong Special Administrative Region; (ii) the registered place of Cloud Village Inc.; (iii) the registered place of the Domestic Company; and (iv) the place where main assets of Cloud Village Inc. or the Domestic Company</w:t>
            </w:r>
            <w:r>
              <w:rPr>
                <w:rFonts w:ascii="Times New Roman;Times;serif" w:hAnsi="Times New Roman;Times;serif"/>
                <w:sz w:val="20"/>
              </w:rPr>
              <w:t xml:space="preserve"> </w:t>
            </w:r>
            <w:r>
              <w:rPr>
                <w:rFonts w:ascii="Times New Roman;Times;serif" w:hAnsi="Times New Roman;Times;serif"/>
                <w:sz w:val="24"/>
              </w:rPr>
              <w:t>are located shall be deemed to have jurisdiction for the purpose of this article.</w:t>
            </w:r>
          </w:p>
        </w:tc>
      </w:tr>
    </w:tbl>
    <w:tbl>
      <w:tblPr>
        <w:tblW w:w="1750" w:type="dxa"/>
        <w:jc w:val="left"/>
        <w:tblInd w:w="0" w:type="dxa"/>
        <w:tblCellMar>
          <w:top w:w="0" w:type="dxa"/>
          <w:left w:w="0" w:type="dxa"/>
          <w:bottom w:w="0" w:type="dxa"/>
          <w:right w:w="0" w:type="dxa"/>
        </w:tblCellMar>
      </w:tblPr>
      <w:tblGrid>
        <w:gridCol w:w="320"/>
        <w:gridCol w:w="1430"/>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13.</w:t>
            </w:r>
          </w:p>
        </w:tc>
        <w:tc>
          <w:tcPr>
            <w:tcW w:w="14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Miscellaneous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13.1</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SAMR.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13.2</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amount of Secured Debts determined by the Pledgee in exercising its rights over the Pledged Equity in accordance with the provisions contained herein shall be conclusive evidence of the amount of the Secured Debts hereunder.</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13.3</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may not be amended or modified in any manner except by an instrument in writing signed by the Parties hereto.</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13.4</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10-</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13.5</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13.6</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Upon the execution of this Agreement, the Pledgor shall enter into a power of attorney (the “</w:t>
            </w:r>
            <w:r>
              <w:rPr>
                <w:rFonts w:ascii="Times New Roman;Times;serif" w:hAnsi="Times New Roman;Times;serif"/>
                <w:b/>
                <w:sz w:val="24"/>
              </w:rPr>
              <w:t>Power of Attorney</w:t>
            </w:r>
            <w:r>
              <w:rPr>
                <w:rFonts w:ascii="Times New Roman;Times;serif" w:hAnsi="Times New Roman;Times;serif"/>
                <w:sz w:val="20"/>
              </w:rPr>
              <w:t>”</w:t>
            </w:r>
            <w:r>
              <w:rPr>
                <w:rFonts w:ascii="Times New Roman;Times;serif" w:hAnsi="Times New Roman;Times;serif"/>
                <w:sz w:val="24"/>
              </w:rPr>
              <w:t xml:space="preserve">, the form of which is set forth in </w:t>
            </w:r>
            <w:r>
              <w:rPr>
                <w:rFonts w:ascii="Times New Roman;Times;serif" w:hAnsi="Times New Roman;Times;serif"/>
                <w:sz w:val="24"/>
                <w:u w:val="single"/>
              </w:rPr>
              <w:t>Appendix II</w:t>
            </w:r>
            <w:r>
              <w:rPr>
                <w:rFonts w:ascii="Times New Roman;Times;serif" w:hAnsi="Times New Roman;Times;serif"/>
                <w:sz w:val="20"/>
              </w:rPr>
              <w:t xml:space="preserve"> </w:t>
            </w:r>
            <w:r>
              <w:rPr>
                <w:rFonts w:ascii="Times New Roman;Times;serif" w:hAnsi="Times New Roman;Times;serif"/>
                <w:sz w:val="24"/>
              </w:rPr>
              <w:t>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13.7</w:t>
            </w:r>
          </w:p>
        </w:tc>
        <w:tc>
          <w:tcPr>
            <w:tcW w:w="97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Times New Roman;Times;serif" w:hAnsi="Times New Roman;Times;serif"/>
                <w:b/>
                <w:sz w:val="24"/>
              </w:rPr>
              <w:t>Applicable Requirements</w:t>
            </w:r>
            <w:r>
              <w:rPr>
                <w:rFonts w:ascii="Times New Roman;Times;serif" w:hAnsi="Times New Roman;Times;serif"/>
                <w:sz w:val="20"/>
              </w:rPr>
              <w:t>”</w:t>
            </w:r>
            <w:r>
              <w:rPr>
                <w:rFonts w:ascii="Times New Roman;Times;serif" w:hAnsi="Times New Roman;Times;serif"/>
                <w:sz w:val="24"/>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tc>
      </w:tr>
    </w:tbl>
    <w:p>
      <w:pPr>
        <w:pStyle w:val="TextBody"/>
        <w:pBdr/>
        <w:spacing w:before="0" w:after="0"/>
        <w:ind w:left="720" w:right="0" w:hanging="720"/>
        <w:jc w:val="both"/>
        <w:rPr/>
      </w:pPr>
      <w:r>
        <w:rPr/>
        <w:t>​</w:t>
      </w:r>
    </w:p>
    <w:p>
      <w:pPr>
        <w:pStyle w:val="TextBody"/>
        <w:spacing w:before="0" w:after="240"/>
        <w:ind w:left="1440" w:right="0" w:hanging="0"/>
        <w:jc w:val="both"/>
        <w:rPr>
          <w:rFonts w:ascii="Times New Roman;Times;serif" w:hAnsi="Times New Roman;Times;serif"/>
          <w:i/>
          <w:sz w:val="24"/>
        </w:rPr>
      </w:pPr>
      <w:r>
        <w:rPr>
          <w:rFonts w:ascii="Times New Roman;Times;serif" w:hAnsi="Times New Roman;Times;serif"/>
          <w:i/>
          <w:sz w:val="24"/>
        </w:rPr>
        <w:t>[Signature page follows]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Agreement has been duly executed by the Parties as of the date first above written.</w:t>
      </w:r>
    </w:p>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7111" w:type="dxa"/>
        <w:jc w:val="left"/>
        <w:tblInd w:w="0" w:type="dxa"/>
        <w:tblCellMar>
          <w:top w:w="0" w:type="dxa"/>
          <w:left w:w="0" w:type="dxa"/>
          <w:bottom w:w="0" w:type="dxa"/>
          <w:right w:w="0" w:type="dxa"/>
        </w:tblCellMar>
      </w:tblPr>
      <w:tblGrid>
        <w:gridCol w:w="124"/>
        <w:gridCol w:w="976"/>
        <w:gridCol w:w="326"/>
        <w:gridCol w:w="2669"/>
        <w:gridCol w:w="301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78740" cy="175260"/>
                      <wp:effectExtent l="0" t="0" r="0" b="0"/>
                      <wp:wrapNone/>
                      <wp:docPr id="610" name="Frame60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19760" cy="175260"/>
                      <wp:effectExtent l="0" t="0" r="0" b="0"/>
                      <wp:wrapNone/>
                      <wp:docPr id="611" name="Frame61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2" name="Frame6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694815" cy="175260"/>
                      <wp:effectExtent l="0" t="0" r="0" b="0"/>
                      <wp:wrapNone/>
                      <wp:docPr id="613" name="Frame612"/>
                      <a:graphic xmlns:a="http://schemas.openxmlformats.org/drawingml/2006/main">
                        <a:graphicData uri="http://schemas.microsoft.com/office/word/2010/wordprocessingShape">
                          <wps:wsp>
                            <wps:cNvSpPr txBox="1"/>
                            <wps:spPr>
                              <a:xfrm>
                                <a:off x="0" y="0"/>
                                <a:ext cx="1694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915160" cy="175260"/>
                      <wp:effectExtent l="0" t="0" r="0" b="0"/>
                      <wp:wrapNone/>
                      <wp:docPr id="614" name="Frame613"/>
                      <a:graphic xmlns:a="http://schemas.openxmlformats.org/drawingml/2006/main">
                        <a:graphicData uri="http://schemas.microsoft.com/office/word/2010/wordprocessingShape">
                          <wps:wsp>
                            <wps:cNvSpPr txBox="1"/>
                            <wps:spPr>
                              <a:xfrm>
                                <a:off x="0" y="0"/>
                                <a:ext cx="191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Pledgee:</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Pledgor:</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William Lei Ding</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9"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30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William Lei Ding</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12-</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Appendix I</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Basic Information of the Domestic Company</w:t>
      </w:r>
    </w:p>
    <w:tbl>
      <w:tblPr>
        <w:tblW w:w="10205" w:type="dxa"/>
        <w:jc w:val="left"/>
        <w:tblInd w:w="0" w:type="dxa"/>
        <w:tblCellMar>
          <w:top w:w="0" w:type="dxa"/>
          <w:left w:w="0" w:type="dxa"/>
          <w:bottom w:w="0" w:type="dxa"/>
          <w:right w:w="0" w:type="dxa"/>
        </w:tblCellMar>
      </w:tblPr>
      <w:tblGrid>
        <w:gridCol w:w="1599"/>
        <w:gridCol w:w="8606"/>
      </w:tblGrid>
      <w:tr>
        <w:trPr/>
        <w:tc>
          <w:tcPr>
            <w:tcW w:w="1599" w:type="dxa"/>
            <w:tcBorders/>
            <w:shd w:fill="auto" w:val="clear"/>
            <w:vAlign w:val="center"/>
          </w:tcPr>
          <w:p>
            <w:pPr>
              <w:pStyle w:val="TableContents"/>
              <w:spacing w:before="0" w:after="0"/>
              <w:ind w:left="0" w:right="0" w:hanging="0"/>
              <w:rPr/>
            </w:pPr>
            <w:r>
              <w:rPr/>
              <w:t>​</w:t>
            </w:r>
          </w:p>
        </w:tc>
        <w:tc>
          <w:tcPr>
            <w:tcW w:w="8606" w:type="dxa"/>
            <w:tcBorders/>
            <w:shd w:fill="auto" w:val="clear"/>
            <w:vAlign w:val="center"/>
          </w:tcPr>
          <w:p>
            <w:pPr>
              <w:pStyle w:val="TableContents"/>
              <w:spacing w:before="0" w:after="0"/>
              <w:ind w:left="0" w:right="0" w:hanging="0"/>
              <w:rPr/>
            </w:pPr>
            <w:r>
              <w:rPr/>
              <w:t>​</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Company Name:</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Hangzhou Yuedu Technology Co., Ltd.</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Registered Address: </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Room 1202, Block A, Hangzhou International Expo Center, No. 353 Benjing Avenue, Qianjiang Century City, Ningwei Street, Xiaoshan District, Hangzhou, Zhejiang</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Registered Capital: </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RMB 10,000,000 Yuan</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Equity Structure:</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William Lei Ding — 99%</w:t>
            </w:r>
          </w:p>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Yiwen Zhu — 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Appendix I</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Appendix II</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Power of Attorney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I, William Lei Ding, hereby irrevocably entrust </w:t>
      </w:r>
      <w:r>
        <w:rPr>
          <w:rFonts w:ascii="Times New Roman;Times;serif" w:hAnsi="Times New Roman;Times;serif"/>
          <w:sz w:val="24"/>
          <w:u w:val="single"/>
        </w:rPr>
        <w:t>the person designated by Hangzhou NetEase Cloud Music Technology Co., Ltd.</w:t>
      </w:r>
      <w:r>
        <w:rPr>
          <w:rFonts w:ascii="Times New Roman;Times;serif" w:hAnsi="Times New Roman;Times;serif"/>
          <w:sz w:val="20"/>
        </w:rPr>
        <w:t xml:space="preserve"> </w:t>
      </w:r>
      <w:r>
        <w:rPr>
          <w:rFonts w:ascii="Times New Roman;Times;serif" w:hAnsi="Times New Roman;Times;serif"/>
          <w:sz w:val="24"/>
        </w:rPr>
        <w:t xml:space="preserve">as my authorized representative, to sign all legal documents necessary for Hangzhou NetEase Cloud Music Technology Co., Ltd. as the pledgee to exercise its rights under the Amended and Restated Equity Pledge Agreement entered into on </w:t>
      </w:r>
      <w:r>
        <w:rPr>
          <w:rFonts w:ascii="Times New Roman;Times;serif" w:hAnsi="Times New Roman;Times;serif"/>
          <w:sz w:val="24"/>
          <w:u w:val="single"/>
        </w:rPr>
        <w:t>May 18, 2021</w:t>
      </w:r>
      <w:r>
        <w:rPr>
          <w:rFonts w:ascii="Times New Roman;Times;serif" w:hAnsi="Times New Roman;Times;serif"/>
          <w:sz w:val="20"/>
        </w:rPr>
        <w:t xml:space="preserve"> </w:t>
      </w:r>
      <w:r>
        <w:rPr>
          <w:rFonts w:ascii="Times New Roman;Times;serif" w:hAnsi="Times New Roman;Times;serif"/>
          <w:sz w:val="24"/>
        </w:rPr>
        <w:t>by and between</w:t>
      </w:r>
      <w:r>
        <w:rPr>
          <w:rFonts w:ascii="Times New Roman;Times;serif" w:hAnsi="Times New Roman;Times;serif"/>
          <w:sz w:val="20"/>
        </w:rPr>
        <w:t xml:space="preserve"> </w:t>
      </w:r>
      <w:r>
        <w:rPr>
          <w:rFonts w:ascii="Times New Roman;Times;serif" w:hAnsi="Times New Roman;Times;serif"/>
          <w:sz w:val="24"/>
        </w:rPr>
        <w:t>Hangzhou NetEase Cloud Music Technology Co., Ltd. and me.</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2124" w:type="dxa"/>
        <w:jc w:val="left"/>
        <w:tblInd w:w="0" w:type="dxa"/>
        <w:tblCellMar>
          <w:top w:w="0" w:type="dxa"/>
          <w:left w:w="0" w:type="dxa"/>
          <w:bottom w:w="0" w:type="dxa"/>
          <w:right w:w="0" w:type="dxa"/>
        </w:tblCellMar>
      </w:tblPr>
      <w:tblGrid>
        <w:gridCol w:w="124"/>
        <w:gridCol w:w="1846"/>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78740" cy="175260"/>
                      <wp:effectExtent l="0" t="0" r="0" b="0"/>
                      <wp:wrapNone/>
                      <wp:docPr id="615" name="Frame61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172210" cy="175260"/>
                      <wp:effectExtent l="0" t="0" r="0" b="0"/>
                      <wp:wrapNone/>
                      <wp:docPr id="616" name="Frame615"/>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97790" cy="175260"/>
                      <wp:effectExtent l="0" t="0" r="0" b="0"/>
                      <wp:wrapNone/>
                      <wp:docPr id="617" name="Frame61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William Lei Ding</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Signature</w:t>
            </w:r>
            <w:r>
              <w:rPr>
                <w:rFonts w:ascii="Times New Roman;Times;serif" w:hAnsi="Times New Roman;Times;serif"/>
                <w:sz w:val="24"/>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15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Date</w:t>
            </w:r>
            <w:r>
              <w:rPr>
                <w:rFonts w:ascii="Times New Roman;Times;serif" w:hAnsi="Times New Roman;Times;serif"/>
                <w:sz w:val="24"/>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14-</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296" w:name="ntes-20221231xex4d49.htm"/>
      <w:bookmarkStart w:id="2297" w:name="ksntes20221231xex4d49"/>
      <w:bookmarkEnd w:id="2296"/>
      <w:bookmarkEnd w:id="2297"/>
      <w:r>
        <w:rPr>
          <w:rFonts w:ascii="Times New Roman;Times;serif" w:hAnsi="Times New Roman;Times;serif"/>
          <w:b/>
          <w:sz w:val="24"/>
        </w:rPr>
        <w:t>Exhibit 4.49</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THE AMENDED AND RESTATED EXCLUSIVE PURCHASE OPTION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Amended and Restated Exclusive Purchase Option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May 18, 2021 among the following parties in Hangzhou:</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A:</w:t>
      </w:r>
      <w:r>
        <w:rPr>
          <w:rFonts w:ascii="Times New Roman;Times;serif" w:hAnsi="Times New Roman;Times;serif"/>
          <w:sz w:val="24"/>
        </w:rPr>
        <w:t>Hangzhou NetEase Cloud Music Technology Co., Ltd.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Legal Address:</w:t>
      </w:r>
      <w:r>
        <w:rPr>
          <w:rFonts w:ascii="Times New Roman;Times;serif" w:hAnsi="Times New Roman;Times;serif"/>
          <w:sz w:val="24"/>
        </w:rPr>
        <w:t>Room 1201, Block A, Hangzhou International Expo Center, No. 353 Benjing Avenue, Qianjiang Century City, Xiaoshan District, Hangzhou, Zhejiang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B:</w:t>
      </w:r>
      <w:r>
        <w:rPr>
          <w:rFonts w:ascii="Times New Roman;Times;serif" w:hAnsi="Times New Roman;Times;serif"/>
          <w:sz w:val="24"/>
        </w:rPr>
        <w:t>William Lei Ding</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C:</w:t>
      </w:r>
      <w:r>
        <w:rPr>
          <w:rFonts w:ascii="Times New Roman;Times;serif" w:hAnsi="Times New Roman;Times;serif"/>
          <w:sz w:val="24"/>
        </w:rPr>
        <w:t>Hangzhou Yuedu Technology Co., Ltd.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Legal Address:</w:t>
      </w:r>
      <w:r>
        <w:rPr>
          <w:rFonts w:ascii="Times New Roman;Times;serif" w:hAnsi="Times New Roman;Times;serif"/>
          <w:sz w:val="24"/>
        </w:rPr>
        <w:t>Room 1202, Block A, Hangzhou International Expo Center, No. 353 Benjing Avenue, Qianjiang Century City, Ningwei Street, Xiaoshan District, Hangzhou, Zhejiang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this Agreement, Party A, Party B and Party C are called collectively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sz w:val="24"/>
        </w:rPr>
        <w:t>Party</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WHEREAS:</w:t>
      </w:r>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is a wholly foreign-owned enterprise incorporated under the laws of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w:t>
            </w:r>
          </w:p>
        </w:tc>
      </w:tr>
    </w:tbl>
    <w:tbl>
      <w:tblPr>
        <w:tblW w:w="6130" w:type="dxa"/>
        <w:jc w:val="left"/>
        <w:tblInd w:w="0" w:type="dxa"/>
        <w:tblCellMar>
          <w:top w:w="0" w:type="dxa"/>
          <w:left w:w="0" w:type="dxa"/>
          <w:bottom w:w="0" w:type="dxa"/>
          <w:right w:w="0" w:type="dxa"/>
        </w:tblCellMar>
      </w:tblPr>
      <w:tblGrid>
        <w:gridCol w:w="200"/>
        <w:gridCol w:w="593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59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is a limited liability company incorporated in the PRC;</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is a shareholder of Party C. Party B has ownership of 99% of the equity interest in Party C (the “</w:t>
            </w:r>
            <w:r>
              <w:rPr>
                <w:rFonts w:ascii="Times New Roman;Times;serif" w:hAnsi="Times New Roman;Times;serif"/>
                <w:b/>
                <w:sz w:val="24"/>
              </w:rPr>
              <w:t>Equity Interest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entered into an Exclusive Purchase Option Agreement on October 1, 2016 (the “</w:t>
            </w:r>
            <w:r>
              <w:rPr>
                <w:rFonts w:ascii="Times New Roman;Times;serif" w:hAnsi="Times New Roman;Times;serif"/>
                <w:b/>
                <w:sz w:val="24"/>
              </w:rPr>
              <w:t>Original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5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and Party B have entered into a loan agreement (as the same may be amended and supplemented from time to time, the “</w:t>
            </w:r>
            <w:r>
              <w:rPr>
                <w:rFonts w:ascii="Times New Roman;Times;serif" w:hAnsi="Times New Roman;Times;serif"/>
                <w:b/>
                <w:sz w:val="24"/>
              </w:rPr>
              <w:t>Loan Agreement</w:t>
            </w:r>
            <w:r>
              <w:rPr>
                <w:rFonts w:ascii="Times New Roman;Times;serif" w:hAnsi="Times New Roman;Times;serif"/>
                <w:sz w:val="20"/>
              </w:rPr>
              <w:t>”</w:t>
            </w:r>
            <w:r>
              <w:rPr>
                <w:rFonts w:ascii="Times New Roman;Times;serif" w:hAnsi="Times New Roman;Times;serif"/>
                <w:sz w:val="24"/>
              </w:rPr>
              <w:t>), on the same date of this Agreement pursuant to which Party A made a loan, and may make additional loans from time to time, to Party B (such loans are hereinafter collectively referred to as the “</w:t>
            </w:r>
            <w:r>
              <w:rPr>
                <w:rFonts w:ascii="Times New Roman;Times;serif" w:hAnsi="Times New Roman;Times;serif"/>
                <w:b/>
                <w:sz w:val="24"/>
              </w:rPr>
              <w:t>Loan</w:t>
            </w:r>
            <w:r>
              <w:rPr>
                <w:rFonts w:ascii="Times New Roman;Times;serif" w:hAnsi="Times New Roman;Times;serif"/>
                <w:sz w:val="20"/>
              </w:rPr>
              <w:t>”</w:t>
            </w:r>
            <w:r>
              <w:rPr>
                <w:rFonts w:ascii="Times New Roman;Times;serif" w:hAnsi="Times New Roman;Times;serif"/>
                <w:sz w:val="24"/>
              </w:rPr>
              <w:t>), so that Party B could invest the proceeds from the Loan in Party C as a capital contribution; and</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100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and Party B have entered into an equity pledge agreement (the “</w:t>
            </w:r>
            <w:r>
              <w:rPr>
                <w:rFonts w:ascii="Times New Roman;Times;serif" w:hAnsi="Times New Roman;Times;serif"/>
                <w:b/>
                <w:sz w:val="24"/>
              </w:rPr>
              <w:t>Equity Pledge Agreement</w:t>
            </w:r>
            <w:r>
              <w:rPr>
                <w:rFonts w:ascii="Times New Roman;Times;serif" w:hAnsi="Times New Roman;Times;serif"/>
                <w:sz w:val="20"/>
              </w:rPr>
              <w:t>”</w:t>
            </w:r>
            <w:r>
              <w:rPr>
                <w:rFonts w:ascii="Times New Roman;Times;serif" w:hAnsi="Times New Roman;Times;serif"/>
                <w:sz w:val="24"/>
              </w:rPr>
              <w:t>) on the same date of this Agreement.</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00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hereto desire to enter into this Agreement to terminate, supersede and replace</w:t>
            </w:r>
            <w:r>
              <w:rPr>
                <w:rFonts w:ascii="Times New Roman;Times;serif" w:hAnsi="Times New Roman;Times;serif"/>
                <w:sz w:val="20"/>
              </w:rPr>
              <w:t xml:space="preserve"> </w:t>
            </w:r>
            <w:r>
              <w:rPr>
                <w:rFonts w:ascii="Times New Roman;Times;serif" w:hAnsi="Times New Roman;Times;serif"/>
                <w:sz w:val="24"/>
              </w:rPr>
              <w:t>the Original Agreement in its entirety.</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through negotiations, all parties to this Agreement hereby agree as follows: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0"/>
        <w:ind w:left="0" w:right="0" w:hanging="0"/>
        <w:rPr/>
      </w:pPr>
      <w:r>
        <w:rPr/>
        <w:t>​</w:t>
      </w:r>
    </w:p>
    <w:tbl>
      <w:tblPr>
        <w:tblW w:w="2950" w:type="dxa"/>
        <w:jc w:val="left"/>
        <w:tblInd w:w="0" w:type="dxa"/>
        <w:tblCellMar>
          <w:top w:w="0" w:type="dxa"/>
          <w:left w:w="0" w:type="dxa"/>
          <w:bottom w:w="0" w:type="dxa"/>
          <w:right w:w="0" w:type="dxa"/>
        </w:tblCellMar>
      </w:tblPr>
      <w:tblGrid>
        <w:gridCol w:w="200"/>
        <w:gridCol w:w="275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27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Purchase and Sale of Interest</w:t>
            </w:r>
          </w:p>
        </w:tc>
      </w:tr>
    </w:tbl>
    <w:tbl>
      <w:tblPr>
        <w:tblW w:w="2133" w:type="dxa"/>
        <w:jc w:val="left"/>
        <w:tblInd w:w="0" w:type="dxa"/>
        <w:tblCellMar>
          <w:top w:w="0" w:type="dxa"/>
          <w:left w:w="0" w:type="dxa"/>
          <w:bottom w:w="0" w:type="dxa"/>
          <w:right w:w="0" w:type="dxa"/>
        </w:tblCellMar>
      </w:tblPr>
      <w:tblGrid>
        <w:gridCol w:w="23"/>
        <w:gridCol w:w="320"/>
        <w:gridCol w:w="179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17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Granting of Rights</w:t>
            </w:r>
          </w:p>
        </w:tc>
      </w:tr>
    </w:tbl>
    <w:tbl>
      <w:tblPr>
        <w:tblW w:w="1893" w:type="dxa"/>
        <w:jc w:val="left"/>
        <w:tblInd w:w="0" w:type="dxa"/>
        <w:tblCellMar>
          <w:top w:w="0" w:type="dxa"/>
          <w:left w:w="0" w:type="dxa"/>
          <w:bottom w:w="0" w:type="dxa"/>
          <w:right w:w="0" w:type="dxa"/>
        </w:tblCellMar>
      </w:tblPr>
      <w:tblGrid>
        <w:gridCol w:w="23"/>
        <w:gridCol w:w="500"/>
        <w:gridCol w:w="137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1.1.1</w:t>
            </w:r>
          </w:p>
        </w:tc>
        <w:tc>
          <w:tcPr>
            <w:tcW w:w="13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Equity Option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Party B hereby irrevocably grants to Party A an option (exercisable one or more times) to purchase or cause any one or more persons designated by Party A (“</w:t>
      </w:r>
      <w:r>
        <w:rPr>
          <w:rFonts w:ascii="Times New Roman;Times;serif" w:hAnsi="Times New Roman;Times;serif"/>
          <w:b/>
          <w:sz w:val="24"/>
        </w:rPr>
        <w:t>Designated Persons</w:t>
      </w:r>
      <w:r>
        <w:rPr>
          <w:rFonts w:ascii="Times New Roman;Times;serif" w:hAnsi="Times New Roman;Times;serif"/>
          <w:sz w:val="20"/>
        </w:rPr>
        <w:t>”</w:t>
      </w:r>
      <w:r>
        <w:rPr>
          <w:rFonts w:ascii="Times New Roman;Times;serif" w:hAnsi="Times New Roman;Times;serif"/>
          <w:sz w:val="24"/>
        </w:rPr>
        <w:t>) to purchase, to the extent permitted under PRC law, according to the steps determined by Party A, at the price specified in Article 1.3 of this Agreement, and at any time from Party B, a portion of, or all of, the Equity Interest (the “</w:t>
      </w:r>
      <w:r>
        <w:rPr>
          <w:rFonts w:ascii="Times New Roman;Times;serif" w:hAnsi="Times New Roman;Times;serif"/>
          <w:b/>
          <w:sz w:val="24"/>
        </w:rPr>
        <w:t>Equity Option</w:t>
      </w:r>
      <w:r>
        <w:rPr>
          <w:rFonts w:ascii="Times New Roman;Times;serif" w:hAnsi="Times New Roman;Times;serif"/>
          <w:sz w:val="20"/>
        </w:rPr>
        <w:t>”</w:t>
      </w:r>
      <w:r>
        <w:rPr>
          <w:rFonts w:ascii="Times New Roman;Times;serif" w:hAnsi="Times New Roman;Times;serif"/>
          <w:sz w:val="24"/>
        </w:rPr>
        <w:t>). No Equity Option shall be granted to any third party other than Party A and/or the Designated Persons. Party C hereby agrees to the granting of the Equity Option by Party B to Party A and/or the Designated Persons. The term “</w:t>
      </w:r>
      <w:r>
        <w:rPr>
          <w:rFonts w:ascii="Times New Roman;Times;serif" w:hAnsi="Times New Roman;Times;serif"/>
          <w:b/>
          <w:sz w:val="24"/>
        </w:rPr>
        <w:t>person</w:t>
      </w:r>
      <w:r>
        <w:rPr>
          <w:rFonts w:ascii="Times New Roman;Times;serif" w:hAnsi="Times New Roman;Times;serif"/>
          <w:sz w:val="20"/>
        </w:rPr>
        <w:t xml:space="preserve">” </w:t>
      </w:r>
      <w:r>
        <w:rPr>
          <w:rFonts w:ascii="Times New Roman;Times;serif" w:hAnsi="Times New Roman;Times;serif"/>
          <w:sz w:val="24"/>
        </w:rPr>
        <w:t>in this Agreement means an individual person, corporation, joint venture, partnership, enterprise, trust or a non-corporation organization.</w:t>
      </w:r>
    </w:p>
    <w:tbl>
      <w:tblPr>
        <w:tblW w:w="1788" w:type="dxa"/>
        <w:jc w:val="left"/>
        <w:tblInd w:w="0" w:type="dxa"/>
        <w:tblCellMar>
          <w:top w:w="0" w:type="dxa"/>
          <w:left w:w="0" w:type="dxa"/>
          <w:bottom w:w="0" w:type="dxa"/>
          <w:right w:w="0" w:type="dxa"/>
        </w:tblCellMar>
      </w:tblPr>
      <w:tblGrid>
        <w:gridCol w:w="23"/>
        <w:gridCol w:w="500"/>
        <w:gridCol w:w="126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1.1.2</w:t>
            </w:r>
          </w:p>
        </w:tc>
        <w:tc>
          <w:tcPr>
            <w:tcW w:w="12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Asset Option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Times New Roman;Times;serif" w:hAnsi="Times New Roman;Times;serif"/>
          <w:b/>
          <w:sz w:val="24"/>
        </w:rPr>
        <w:t>Asset Option</w:t>
      </w:r>
      <w:r>
        <w:rPr>
          <w:rFonts w:ascii="Times New Roman;Times;serif" w:hAnsi="Times New Roman;Times;serif"/>
          <w:sz w:val="20"/>
        </w:rPr>
        <w:t>”</w:t>
      </w:r>
      <w:r>
        <w:rPr>
          <w:rFonts w:ascii="Times New Roman;Times;serif" w:hAnsi="Times New Roman;Times;serif"/>
          <w:sz w:val="24"/>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Times New Roman;Times;serif" w:hAnsi="Times New Roman;Times;serif"/>
          <w:b/>
          <w:sz w:val="24"/>
        </w:rPr>
        <w:t>Option</w:t>
      </w:r>
      <w:r>
        <w:rPr>
          <w:rFonts w:ascii="Times New Roman;Times;serif" w:hAnsi="Times New Roman;Times;serif"/>
          <w:sz w:val="20"/>
        </w:rPr>
        <w:t xml:space="preserve">” </w:t>
      </w:r>
      <w:r>
        <w:rPr>
          <w:rFonts w:ascii="Times New Roman;Times;serif" w:hAnsi="Times New Roman;Times;serif"/>
          <w:sz w:val="24"/>
        </w:rPr>
        <w:t>in this Agreement means either the Equity Option or the Asset Option. The term “</w:t>
      </w:r>
      <w:r>
        <w:rPr>
          <w:rFonts w:ascii="Times New Roman;Times;serif" w:hAnsi="Times New Roman;Times;serif"/>
          <w:b/>
          <w:sz w:val="24"/>
        </w:rPr>
        <w:t>Transferor</w:t>
      </w:r>
      <w:r>
        <w:rPr>
          <w:rFonts w:ascii="Times New Roman;Times;serif" w:hAnsi="Times New Roman;Times;serif"/>
          <w:sz w:val="20"/>
        </w:rPr>
        <w:t xml:space="preserve">” </w:t>
      </w:r>
      <w:r>
        <w:rPr>
          <w:rFonts w:ascii="Times New Roman;Times;serif" w:hAnsi="Times New Roman;Times;serif"/>
          <w:sz w:val="24"/>
        </w:rPr>
        <w:t>in this Agreement means (i) Party B, in reference to the Equity Option and (ii) Party C, in reference to the Asset Option.</w:t>
      </w:r>
    </w:p>
    <w:tbl>
      <w:tblPr>
        <w:tblW w:w="1743" w:type="dxa"/>
        <w:jc w:val="left"/>
        <w:tblInd w:w="0" w:type="dxa"/>
        <w:tblCellMar>
          <w:top w:w="0" w:type="dxa"/>
          <w:left w:w="0" w:type="dxa"/>
          <w:bottom w:w="0" w:type="dxa"/>
          <w:right w:w="0" w:type="dxa"/>
        </w:tblCellMar>
      </w:tblPr>
      <w:tblGrid>
        <w:gridCol w:w="23"/>
        <w:gridCol w:w="320"/>
        <w:gridCol w:w="14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14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Exercise Steps</w:t>
            </w:r>
          </w:p>
        </w:tc>
      </w:tr>
    </w:tbl>
    <w:tbl>
      <w:tblPr>
        <w:tblW w:w="2073" w:type="dxa"/>
        <w:jc w:val="left"/>
        <w:tblInd w:w="0" w:type="dxa"/>
        <w:tblCellMar>
          <w:top w:w="0" w:type="dxa"/>
          <w:left w:w="0" w:type="dxa"/>
          <w:bottom w:w="0" w:type="dxa"/>
          <w:right w:w="0" w:type="dxa"/>
        </w:tblCellMar>
      </w:tblPr>
      <w:tblGrid>
        <w:gridCol w:w="23"/>
        <w:gridCol w:w="500"/>
        <w:gridCol w:w="155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1.2.1</w:t>
            </w:r>
          </w:p>
        </w:tc>
        <w:tc>
          <w:tcPr>
            <w:tcW w:w="15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Option Exercise</w:t>
            </w:r>
          </w:p>
        </w:tc>
      </w:tr>
    </w:tbl>
    <w:p>
      <w:pPr>
        <w:pStyle w:val="TextBody"/>
        <w:spacing w:before="0" w:after="0"/>
        <w:ind w:left="1440" w:right="0" w:hanging="0"/>
        <w:jc w:val="both"/>
        <w:rPr>
          <w:rFonts w:ascii="Times New Roman;Times;serif" w:hAnsi="Times New Roman;Times;serif"/>
          <w:sz w:val="20"/>
        </w:rPr>
      </w:pPr>
      <w:r>
        <w:rPr>
          <w:rFonts w:ascii="Times New Roman;Times;serif" w:hAnsi="Times New Roman;Times;serif"/>
          <w:sz w:val="24"/>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Times New Roman;Times;serif" w:hAnsi="Times New Roman;Times;serif"/>
          <w:b/>
          <w:sz w:val="24"/>
        </w:rPr>
        <w:t>Notice</w:t>
      </w:r>
      <w:r>
        <w:rPr>
          <w:rFonts w:ascii="Times New Roman;Times;serif" w:hAnsi="Times New Roman;Times;serif"/>
          <w:sz w:val="20"/>
        </w:rPr>
        <w:t>”</w:t>
      </w:r>
      <w:r>
        <w:rPr>
          <w:rFonts w:ascii="Times New Roman;Times;serif" w:hAnsi="Times New Roman;Times;serif"/>
          <w:sz w:val="24"/>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Times New Roman;Times;serif" w:hAnsi="Times New Roman;Times;serif"/>
          <w:b/>
          <w:sz w:val="24"/>
        </w:rPr>
        <w:t>Purchased Interest</w:t>
      </w:r>
      <w:r>
        <w:rPr>
          <w:rFonts w:ascii="Times New Roman;Times;serif" w:hAnsi="Times New Roman;Times;serif"/>
          <w:sz w:val="20"/>
        </w:rPr>
        <w:t>”</w:t>
      </w:r>
      <w:r>
        <w:rPr>
          <w:rFonts w:ascii="Times New Roman;Times;serif" w:hAnsi="Times New Roman;Times;serif"/>
          <w:sz w:val="24"/>
        </w:rPr>
        <w:t>) and the manner of such purchase.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2688" w:type="dxa"/>
        <w:jc w:val="left"/>
        <w:tblInd w:w="0" w:type="dxa"/>
        <w:tblCellMar>
          <w:top w:w="0" w:type="dxa"/>
          <w:left w:w="0" w:type="dxa"/>
          <w:bottom w:w="0" w:type="dxa"/>
          <w:right w:w="0" w:type="dxa"/>
        </w:tblCellMar>
      </w:tblPr>
      <w:tblGrid>
        <w:gridCol w:w="23"/>
        <w:gridCol w:w="500"/>
        <w:gridCol w:w="216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1.2.2</w:t>
            </w:r>
          </w:p>
        </w:tc>
        <w:tc>
          <w:tcPr>
            <w:tcW w:w="21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Transferor Obligations</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tbl>
      <w:tblPr>
        <w:tblW w:w="1758" w:type="dxa"/>
        <w:jc w:val="left"/>
        <w:tblInd w:w="0" w:type="dxa"/>
        <w:tblCellMar>
          <w:top w:w="0" w:type="dxa"/>
          <w:left w:w="0" w:type="dxa"/>
          <w:bottom w:w="0" w:type="dxa"/>
          <w:right w:w="0" w:type="dxa"/>
        </w:tblCellMar>
      </w:tblPr>
      <w:tblGrid>
        <w:gridCol w:w="23"/>
        <w:gridCol w:w="320"/>
        <w:gridCol w:w="141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14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Purchase Price</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1.3.1</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If Party A exercises either Option, the purchase price of the Purchased Interest (“</w:t>
            </w:r>
            <w:r>
              <w:rPr>
                <w:rFonts w:ascii="Times New Roman;Times;serif" w:hAnsi="Times New Roman;Times;serif"/>
                <w:b/>
                <w:sz w:val="24"/>
              </w:rPr>
              <w:t>Purchase Price</w:t>
            </w:r>
            <w:r>
              <w:rPr>
                <w:rFonts w:ascii="Times New Roman;Times;serif" w:hAnsi="Times New Roman;Times;serif"/>
                <w:sz w:val="20"/>
              </w:rPr>
              <w:t>”</w:t>
            </w:r>
            <w:r>
              <w:rPr>
                <w:rFonts w:ascii="Times New Roman;Times;serif" w:hAnsi="Times New Roman;Times;serif"/>
                <w:sz w:val="24"/>
              </w:rPr>
              <w:t>) shall be: (i) in the case of the Equity Option, equal to outstanding loans owed by Party B to Party A (or part of the outstanding loan amounts in proportion to the equity interests being transferred) under the Loan Agreement, and (ii) in the case of the Asset Option, equal to the minimum purchase price permitted under the PRC laws and regulations.</w:t>
            </w:r>
          </w:p>
        </w:tc>
      </w:tr>
    </w:tbl>
    <w:tbl>
      <w:tblPr>
        <w:tblW w:w="3543" w:type="dxa"/>
        <w:jc w:val="left"/>
        <w:tblInd w:w="0" w:type="dxa"/>
        <w:tblCellMar>
          <w:top w:w="0" w:type="dxa"/>
          <w:left w:w="0" w:type="dxa"/>
          <w:bottom w:w="0" w:type="dxa"/>
          <w:right w:w="0" w:type="dxa"/>
        </w:tblCellMar>
      </w:tblPr>
      <w:tblGrid>
        <w:gridCol w:w="23"/>
        <w:gridCol w:w="320"/>
        <w:gridCol w:w="32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3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Transfer of the Purchased Interest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At each exercise of either Option:</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shall (and Party B shall cause Party C to) convene a shareholders’ meeting. During the meeting, resolutions approving the transfer of the Purchased Interest from the Transferor to Party A and/or the Designated Persons shall be adopted;</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1.4.2</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Times New Roman;Times;serif" w:hAnsi="Times New Roman;Times;serif"/>
                <w:b/>
                <w:sz w:val="24"/>
              </w:rPr>
              <w:t>Transfer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1.4.3</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relevant parties shall execute all other requisite contracts, agreements or documents, obtain all requisite government approvals 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Times New Roman;Times;serif" w:hAnsi="Times New Roman;Times;serif"/>
                <w:b/>
                <w:sz w:val="24"/>
              </w:rPr>
              <w:t>Security Interest</w:t>
            </w:r>
            <w:r>
              <w:rPr>
                <w:rFonts w:ascii="Times New Roman;Times;serif" w:hAnsi="Times New Roman;Times;serif"/>
                <w:sz w:val="20"/>
              </w:rPr>
              <w:t xml:space="preserve">” </w:t>
            </w:r>
            <w:r>
              <w:rPr>
                <w:rFonts w:ascii="Times New Roman;Times;serif" w:hAnsi="Times New Roman;Times;serif"/>
                <w:sz w:val="24"/>
              </w:rPr>
              <w:t>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1188" w:type="dxa"/>
        <w:jc w:val="left"/>
        <w:tblInd w:w="0" w:type="dxa"/>
        <w:tblCellMar>
          <w:top w:w="0" w:type="dxa"/>
          <w:left w:w="0" w:type="dxa"/>
          <w:bottom w:w="0" w:type="dxa"/>
          <w:right w:w="0" w:type="dxa"/>
        </w:tblCellMar>
      </w:tblPr>
      <w:tblGrid>
        <w:gridCol w:w="23"/>
        <w:gridCol w:w="320"/>
        <w:gridCol w:w="84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8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Payment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tbl>
      <w:tblPr>
        <w:tblW w:w="3753" w:type="dxa"/>
        <w:jc w:val="left"/>
        <w:tblInd w:w="0" w:type="dxa"/>
        <w:tblCellMar>
          <w:top w:w="0" w:type="dxa"/>
          <w:left w:w="0" w:type="dxa"/>
          <w:bottom w:w="0" w:type="dxa"/>
          <w:right w:w="0" w:type="dxa"/>
        </w:tblCellMar>
      </w:tblPr>
      <w:tblGrid>
        <w:gridCol w:w="23"/>
        <w:gridCol w:w="500"/>
        <w:gridCol w:w="323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1.5.1</w:t>
            </w:r>
          </w:p>
        </w:tc>
        <w:tc>
          <w:tcPr>
            <w:tcW w:w="3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Offset Payment for Equity Option</w:t>
            </w:r>
          </w:p>
        </w:tc>
      </w:tr>
    </w:tbl>
    <w:p>
      <w:pPr>
        <w:pStyle w:val="TextBody"/>
        <w:spacing w:before="0" w:after="0"/>
        <w:ind w:left="2160" w:right="0" w:hanging="0"/>
        <w:jc w:val="both"/>
        <w:rPr>
          <w:rFonts w:ascii="Times New Roman;Times;serif" w:hAnsi="Times New Roman;Times;serif"/>
          <w:sz w:val="24"/>
        </w:rPr>
      </w:pPr>
      <w:r>
        <w:rPr>
          <w:rFonts w:ascii="Times New Roman;Times;serif" w:hAnsi="Times New Roman;Times;serif"/>
          <w:sz w:val="24"/>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pStyle w:val="TextBody"/>
        <w:spacing w:before="0" w:after="0"/>
        <w:ind w:left="0" w:right="0" w:hanging="0"/>
        <w:jc w:val="both"/>
        <w:rPr/>
      </w:pPr>
      <w:r>
        <w:rPr/>
        <w:t>​</w:t>
      </w:r>
    </w:p>
    <w:tbl>
      <w:tblPr>
        <w:tblW w:w="3543" w:type="dxa"/>
        <w:jc w:val="left"/>
        <w:tblInd w:w="0" w:type="dxa"/>
        <w:tblCellMar>
          <w:top w:w="0" w:type="dxa"/>
          <w:left w:w="0" w:type="dxa"/>
          <w:bottom w:w="0" w:type="dxa"/>
          <w:right w:w="0" w:type="dxa"/>
        </w:tblCellMar>
      </w:tblPr>
      <w:tblGrid>
        <w:gridCol w:w="23"/>
        <w:gridCol w:w="500"/>
        <w:gridCol w:w="302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1.5.2</w:t>
            </w:r>
          </w:p>
        </w:tc>
        <w:tc>
          <w:tcPr>
            <w:tcW w:w="30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Cash Payment for Asset Option</w:t>
            </w:r>
          </w:p>
        </w:tc>
      </w:tr>
    </w:tbl>
    <w:p>
      <w:pPr>
        <w:pStyle w:val="TextBody"/>
        <w:spacing w:before="0" w:after="240"/>
        <w:ind w:left="2160" w:right="0" w:hanging="0"/>
        <w:jc w:val="both"/>
        <w:rPr>
          <w:rFonts w:ascii="Times New Roman;Times;serif" w:hAnsi="Times New Roman;Times;serif"/>
          <w:sz w:val="24"/>
        </w:rPr>
      </w:pPr>
      <w:r>
        <w:rPr>
          <w:rFonts w:ascii="Times New Roman;Times;serif" w:hAnsi="Times New Roman;Times;serif"/>
          <w:sz w:val="24"/>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tbl>
      <w:tblPr>
        <w:tblW w:w="3228" w:type="dxa"/>
        <w:jc w:val="left"/>
        <w:tblInd w:w="0" w:type="dxa"/>
        <w:tblCellMar>
          <w:top w:w="0" w:type="dxa"/>
          <w:left w:w="0" w:type="dxa"/>
          <w:bottom w:w="0" w:type="dxa"/>
          <w:right w:w="0" w:type="dxa"/>
        </w:tblCellMar>
      </w:tblPr>
      <w:tblGrid>
        <w:gridCol w:w="23"/>
        <w:gridCol w:w="320"/>
        <w:gridCol w:w="288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28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Restrictions on Purchase Price</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tbl>
      <w:tblPr>
        <w:tblW w:w="4450" w:type="dxa"/>
        <w:jc w:val="left"/>
        <w:tblInd w:w="0" w:type="dxa"/>
        <w:tblCellMar>
          <w:top w:w="0" w:type="dxa"/>
          <w:left w:w="0" w:type="dxa"/>
          <w:bottom w:w="0" w:type="dxa"/>
          <w:right w:w="0" w:type="dxa"/>
        </w:tblCellMar>
      </w:tblPr>
      <w:tblGrid>
        <w:gridCol w:w="200"/>
        <w:gridCol w:w="425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2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Covenants Relating to the Purchased Interest</w:t>
            </w:r>
          </w:p>
        </w:tc>
      </w:tr>
    </w:tbl>
    <w:tbl>
      <w:tblPr>
        <w:tblW w:w="4428" w:type="dxa"/>
        <w:jc w:val="left"/>
        <w:tblInd w:w="0" w:type="dxa"/>
        <w:tblCellMar>
          <w:top w:w="0" w:type="dxa"/>
          <w:left w:w="0" w:type="dxa"/>
          <w:bottom w:w="0" w:type="dxa"/>
          <w:right w:w="0" w:type="dxa"/>
        </w:tblCellMar>
      </w:tblPr>
      <w:tblGrid>
        <w:gridCol w:w="23"/>
        <w:gridCol w:w="320"/>
        <w:gridCol w:w="408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40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Covenants Relating to Party B and Party C</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Each of Party B and Party C hereby covenants:</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supplement, amend or modify Party C’s articles of association in any way, or to increase or decrease its registered capital, or to change its registered capital structure in any way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2.1.2</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maintain the corporate existence of Party C and operate its business and deal with matters prudently and effectively according to good financial and business rules and practices;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2.1.3</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2.1.4</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create, succeed to, guarantee or permit any liability, without Party A’s prior written consent, except (i) liabilities arising from the normal course of business, but not arising from loans; and (ii) liabilities disclosed to Party A and approved by Party A in writing;</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2.1.5</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operate all the business in the normal course of business to maintain the value of Party C’s assets, and not to commit any act or omission that would adversely affect Party C's operations and asset value;</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2.1.6</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prior written consent by Party A, not to enter into any material agreement, other than agreements entered into in Party C’s normal course of business (for purpose of this paragraph, an agreement will be deemed material if its value exceeds RMB100,000);</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2.1.7</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provide loans or credit to any person (other than in the normal course of business)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2.1.8</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provide all information relating to Party C’s operations and financial conditions upon the request of Party A;</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2.1.9</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2.1.10</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merge or consolidate with, or acquire or invest in, any person without Party A’s prior written consent;</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2.1.11</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promptly notify Party A of any pending or threatened suit, arbitration or administrative proceedings concerning Party C’s assets, business or revenue;</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2.1.12</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2.1.13</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distribute dividends to Party C’s shareholders in any way without Party A’s prior written consent. However, Party C shall promptly distribute all or part of its distributable profits to its shareholders upon Party A’s request; and</w:t>
            </w:r>
          </w:p>
        </w:tc>
      </w:tr>
    </w:tbl>
    <w:tbl>
      <w:tblPr>
        <w:tblW w:w="9858" w:type="dxa"/>
        <w:jc w:val="left"/>
        <w:tblInd w:w="0" w:type="dxa"/>
        <w:tblCellMar>
          <w:top w:w="0" w:type="dxa"/>
          <w:left w:w="0" w:type="dxa"/>
          <w:bottom w:w="0" w:type="dxa"/>
          <w:right w:w="0" w:type="dxa"/>
        </w:tblCellMar>
      </w:tblPr>
      <w:tblGrid>
        <w:gridCol w:w="23"/>
        <w:gridCol w:w="62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2.1.14</w:t>
            </w:r>
          </w:p>
        </w:tc>
        <w:tc>
          <w:tcPr>
            <w:tcW w:w="9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Party A, to appoint persons nominated by Party A to be the directors of Party C.</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3243" w:type="dxa"/>
        <w:jc w:val="left"/>
        <w:tblInd w:w="0" w:type="dxa"/>
        <w:tblCellMar>
          <w:top w:w="0" w:type="dxa"/>
          <w:left w:w="0" w:type="dxa"/>
          <w:bottom w:w="0" w:type="dxa"/>
          <w:right w:w="0" w:type="dxa"/>
        </w:tblCellMar>
      </w:tblPr>
      <w:tblGrid>
        <w:gridCol w:w="23"/>
        <w:gridCol w:w="320"/>
        <w:gridCol w:w="29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29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Covenants Relating to Party B</w:t>
            </w:r>
          </w:p>
        </w:tc>
      </w:tr>
    </w:tbl>
    <w:p>
      <w:pPr>
        <w:pStyle w:val="TextBody"/>
        <w:spacing w:before="0" w:after="240"/>
        <w:ind w:left="1985" w:right="0" w:hanging="0"/>
        <w:jc w:val="both"/>
        <w:rPr>
          <w:rFonts w:ascii="Times New Roman;Times;serif" w:hAnsi="Times New Roman;Times;serif"/>
          <w:sz w:val="24"/>
        </w:rPr>
      </w:pPr>
      <w:r>
        <w:rPr>
          <w:rFonts w:ascii="Times New Roman;Times;serif" w:hAnsi="Times New Roman;Times;serif"/>
          <w:sz w:val="24"/>
        </w:rPr>
        <w:t>Party B hereby covenants:</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2.2.2</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2.2.3</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Party A’s prior written consent, not to vote for or sign any shareholders’ resolution at Party C’s shareholders’ meetings to approve Party C’s merger or consolidation with, acquisition of or investment in, any person;</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2.2.4</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promptly notify Party A of any pending or threatened suit, arbitration or administrative proceedings concerning the Equity Interest owned by it;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2.2.5</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cause any relevant shareholders’ meeting to approve the transfer of any Purchased Interest under this Agreement;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2.2.6</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tc>
      </w:tr>
    </w:tbl>
    <w:tbl>
      <w:tblPr>
        <w:tblW w:w="9738" w:type="dxa"/>
        <w:jc w:val="left"/>
        <w:tblInd w:w="0" w:type="dxa"/>
        <w:tblCellMar>
          <w:top w:w="0" w:type="dxa"/>
          <w:left w:w="0" w:type="dxa"/>
          <w:bottom w:w="0" w:type="dxa"/>
          <w:right w:w="0" w:type="dxa"/>
        </w:tblCellMar>
      </w:tblPr>
      <w:tblGrid>
        <w:gridCol w:w="23"/>
        <w:gridCol w:w="50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2.2.7</w:t>
            </w:r>
          </w:p>
        </w:tc>
        <w:tc>
          <w:tcPr>
            <w:tcW w:w="9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Party A, to appoint persons nominated by Party A to be the directors of Party C;</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2.2.8</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2.2.9</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tbl>
      <w:tblPr>
        <w:tblW w:w="3205" w:type="dxa"/>
        <w:jc w:val="left"/>
        <w:tblInd w:w="0" w:type="dxa"/>
        <w:tblCellMar>
          <w:top w:w="0" w:type="dxa"/>
          <w:left w:w="0" w:type="dxa"/>
          <w:bottom w:w="0" w:type="dxa"/>
          <w:right w:w="0" w:type="dxa"/>
        </w:tblCellMar>
      </w:tblPr>
      <w:tblGrid>
        <w:gridCol w:w="200"/>
        <w:gridCol w:w="300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300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Representations and Warranties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As of the execution date of this Agreement and every transfer date, each of Party B and Party C hereby represents and warrants to Party A as follows:</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has good and marketable ownership interest in all of its assets and has not created any Security Interest on the said assets;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has no outstanding liabilities, except (i) liabilities arising in its normal course of business; and (ii) liabilities disclosed to Party A and approved by Party A in writing;</w:t>
            </w:r>
          </w:p>
        </w:tc>
      </w:tr>
    </w:tbl>
    <w:tbl>
      <w:tblPr>
        <w:tblW w:w="8868" w:type="dxa"/>
        <w:jc w:val="left"/>
        <w:tblInd w:w="0" w:type="dxa"/>
        <w:tblCellMar>
          <w:top w:w="0" w:type="dxa"/>
          <w:left w:w="0" w:type="dxa"/>
          <w:bottom w:w="0" w:type="dxa"/>
          <w:right w:w="0" w:type="dxa"/>
        </w:tblCellMar>
      </w:tblPr>
      <w:tblGrid>
        <w:gridCol w:w="23"/>
        <w:gridCol w:w="320"/>
        <w:gridCol w:w="85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3.5</w:t>
            </w:r>
          </w:p>
        </w:tc>
        <w:tc>
          <w:tcPr>
            <w:tcW w:w="85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complies with all PRC laws and regulations applicable to the acquisition of assets;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3.6</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are currently no existing, pending or threatened litigation, arbitration or administrative proceedings related to the Equity Interest, Party C’s assets or Party C; and</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3.7</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has good and marketable ownership interest in the Equity Interest and has not created any Security Interest on such Equity Interest, other than the Security Interest pursuant to the Equity Pledge Agreement.</w:t>
            </w:r>
          </w:p>
        </w:tc>
      </w:tr>
    </w:tbl>
    <w:tbl>
      <w:tblPr>
        <w:tblW w:w="2710" w:type="dxa"/>
        <w:jc w:val="left"/>
        <w:tblInd w:w="0" w:type="dxa"/>
        <w:tblCellMar>
          <w:top w:w="0" w:type="dxa"/>
          <w:left w:w="0" w:type="dxa"/>
          <w:bottom w:w="0" w:type="dxa"/>
          <w:right w:w="0" w:type="dxa"/>
        </w:tblCellMar>
      </w:tblPr>
      <w:tblGrid>
        <w:gridCol w:w="200"/>
        <w:gridCol w:w="251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251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Assignment of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and Party C shall not assign their rights and obligations under this Agreement to any third party without the prior written consent of Party A.</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and Party C hereby agree that Party A may assign all its rights and obligations under this Agreement to a third party without the consent of Party B and Party C, but such assignment shall be notified in writing to Party B and Party C.</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0"/>
        <w:ind w:left="0" w:right="0" w:hanging="0"/>
        <w:rPr/>
      </w:pPr>
      <w:r>
        <w:rPr/>
        <w:t>​</w:t>
      </w:r>
    </w:p>
    <w:tbl>
      <w:tblPr>
        <w:tblW w:w="2560" w:type="dxa"/>
        <w:jc w:val="left"/>
        <w:tblInd w:w="0" w:type="dxa"/>
        <w:tblCellMar>
          <w:top w:w="0" w:type="dxa"/>
          <w:left w:w="0" w:type="dxa"/>
          <w:bottom w:w="0" w:type="dxa"/>
          <w:right w:w="0" w:type="dxa"/>
        </w:tblCellMar>
      </w:tblPr>
      <w:tblGrid>
        <w:gridCol w:w="200"/>
        <w:gridCol w:w="236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236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Effective Date and Term</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 effective as of the date first set forth above. Upon execution by all Parties, this Agreement shall supersede the Original Agreement and the Original Agreement shall become void.</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tc>
      </w:tr>
    </w:tbl>
    <w:tbl>
      <w:tblPr>
        <w:tblW w:w="4120" w:type="dxa"/>
        <w:jc w:val="left"/>
        <w:tblInd w:w="0" w:type="dxa"/>
        <w:tblCellMar>
          <w:top w:w="0" w:type="dxa"/>
          <w:left w:w="0" w:type="dxa"/>
          <w:bottom w:w="0" w:type="dxa"/>
          <w:right w:w="0" w:type="dxa"/>
        </w:tblCellMar>
      </w:tblPr>
      <w:tblGrid>
        <w:gridCol w:w="200"/>
        <w:gridCol w:w="392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392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Applicable Laws and Dispute Resolution</w:t>
            </w:r>
          </w:p>
        </w:tc>
      </w:tr>
    </w:tbl>
    <w:tbl>
      <w:tblPr>
        <w:tblW w:w="1893" w:type="dxa"/>
        <w:jc w:val="left"/>
        <w:tblInd w:w="0" w:type="dxa"/>
        <w:tblCellMar>
          <w:top w:w="0" w:type="dxa"/>
          <w:left w:w="0" w:type="dxa"/>
          <w:bottom w:w="0" w:type="dxa"/>
          <w:right w:w="0" w:type="dxa"/>
        </w:tblCellMar>
      </w:tblPr>
      <w:tblGrid>
        <w:gridCol w:w="23"/>
        <w:gridCol w:w="320"/>
        <w:gridCol w:w="155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6.1</w:t>
            </w:r>
          </w:p>
        </w:tc>
        <w:tc>
          <w:tcPr>
            <w:tcW w:w="15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Applicable Law</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formation, validity, interpretation and performance of and settlement of disputes under this Agreement shall be governed by the laws of the PRC.</w:t>
      </w:r>
    </w:p>
    <w:tbl>
      <w:tblPr>
        <w:tblW w:w="2178" w:type="dxa"/>
        <w:jc w:val="left"/>
        <w:tblInd w:w="0" w:type="dxa"/>
        <w:tblCellMar>
          <w:top w:w="0" w:type="dxa"/>
          <w:left w:w="0" w:type="dxa"/>
          <w:bottom w:w="0" w:type="dxa"/>
          <w:right w:w="0" w:type="dxa"/>
        </w:tblCellMar>
      </w:tblPr>
      <w:tblGrid>
        <w:gridCol w:w="23"/>
        <w:gridCol w:w="320"/>
        <w:gridCol w:w="183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6.2</w:t>
            </w:r>
          </w:p>
        </w:tc>
        <w:tc>
          <w:tcPr>
            <w:tcW w:w="18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Dispute Resolution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Any dispute arising under or in connection with this Agreement shall be settled by the parties</w:t>
      </w:r>
      <w:r>
        <w:rPr>
          <w:rFonts w:ascii="Times New Roman;Times;serif" w:hAnsi="Times New Roman;Times;serif"/>
          <w:sz w:val="20"/>
        </w:rPr>
        <w:t xml:space="preserve"> </w:t>
      </w:r>
      <w:r>
        <w:rPr>
          <w:rFonts w:ascii="Times New Roman;Times;serif" w:hAnsi="Times New Roman;Times;serif"/>
          <w:sz w:val="24"/>
        </w:rPr>
        <w:t>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Party C's business operation, restricting and / or disposing the Party C's equities or assets (including land assets) (including but not limited to taking them as compensation), or forbidding transfer or dispose, or taking other relevant remedies, or ordering the winding up of the Party C. The Parties shall perform such awards.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Village Inc.; (iii) the registered place of Party C; and (iv) the place where main assets of Cloud Village Inc. or the Party C are located shall be deemed to have jurisdiction for the purpose of this article.</w:t>
      </w:r>
    </w:p>
    <w:tbl>
      <w:tblPr>
        <w:tblW w:w="2155" w:type="dxa"/>
        <w:jc w:val="left"/>
        <w:tblInd w:w="0" w:type="dxa"/>
        <w:tblCellMar>
          <w:top w:w="0" w:type="dxa"/>
          <w:left w:w="0" w:type="dxa"/>
          <w:bottom w:w="0" w:type="dxa"/>
          <w:right w:w="0" w:type="dxa"/>
        </w:tblCellMar>
      </w:tblPr>
      <w:tblGrid>
        <w:gridCol w:w="200"/>
        <w:gridCol w:w="195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95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Taxes and Expenses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tbl>
      <w:tblPr>
        <w:tblW w:w="1630" w:type="dxa"/>
        <w:jc w:val="left"/>
        <w:tblInd w:w="0" w:type="dxa"/>
        <w:tblCellMar>
          <w:top w:w="0" w:type="dxa"/>
          <w:left w:w="0" w:type="dxa"/>
          <w:bottom w:w="0" w:type="dxa"/>
          <w:right w:w="0" w:type="dxa"/>
        </w:tblCellMar>
      </w:tblPr>
      <w:tblGrid>
        <w:gridCol w:w="200"/>
        <w:gridCol w:w="143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143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Confidentiality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parties agree that this Article 8 shall survive the invalidity, cancellation, termination or unenforceability of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tbl>
      <w:tblPr>
        <w:tblW w:w="940" w:type="dxa"/>
        <w:jc w:val="left"/>
        <w:tblInd w:w="0" w:type="dxa"/>
        <w:tblCellMar>
          <w:top w:w="0" w:type="dxa"/>
          <w:left w:w="0" w:type="dxa"/>
          <w:bottom w:w="0" w:type="dxa"/>
          <w:right w:w="0" w:type="dxa"/>
        </w:tblCellMar>
      </w:tblPr>
      <w:tblGrid>
        <w:gridCol w:w="200"/>
        <w:gridCol w:w="74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74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Party A: Hangzhou NetEase Cloud Music Technology Co., Ltd.</w:t>
      </w:r>
    </w:p>
    <w:p>
      <w:pPr>
        <w:pStyle w:val="TextBody"/>
        <w:spacing w:before="0" w:after="0"/>
        <w:ind w:left="0" w:right="0" w:hanging="0"/>
        <w:rPr/>
      </w:pPr>
      <w:r>
        <w:rPr/>
        <w:t>​</w:t>
      </w:r>
    </w:p>
    <w:tbl>
      <w:tblPr>
        <w:tblW w:w="9947" w:type="dxa"/>
        <w:jc w:val="center"/>
        <w:tblInd w:w="0" w:type="dxa"/>
        <w:tblCellMar>
          <w:top w:w="0" w:type="dxa"/>
          <w:left w:w="0" w:type="dxa"/>
          <w:bottom w:w="0" w:type="dxa"/>
          <w:right w:w="0" w:type="dxa"/>
        </w:tblCellMar>
      </w:tblPr>
      <w:tblGrid>
        <w:gridCol w:w="961"/>
        <w:gridCol w:w="8986"/>
      </w:tblGrid>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8986"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Floor 7, Building 4, No. 599 Wangshang Road, Changhe Street, Binjiang District, Hangzhou</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Party B: William Lei Ding</w:t>
      </w:r>
    </w:p>
    <w:p>
      <w:pPr>
        <w:pStyle w:val="TextBody"/>
        <w:spacing w:before="0" w:after="0"/>
        <w:ind w:left="0" w:right="0" w:hanging="0"/>
        <w:rPr/>
      </w:pPr>
      <w:r>
        <w:rPr/>
        <w:t>​</w:t>
      </w:r>
    </w:p>
    <w:tbl>
      <w:tblPr>
        <w:tblW w:w="8012" w:type="dxa"/>
        <w:jc w:val="center"/>
        <w:tblInd w:w="0" w:type="dxa"/>
        <w:tblCellMar>
          <w:top w:w="0" w:type="dxa"/>
          <w:left w:w="0" w:type="dxa"/>
          <w:bottom w:w="0" w:type="dxa"/>
          <w:right w:w="0" w:type="dxa"/>
        </w:tblCellMar>
      </w:tblPr>
      <w:tblGrid>
        <w:gridCol w:w="961"/>
        <w:gridCol w:w="7051"/>
      </w:tblGrid>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705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No. 599 Wangshang Road, Changhe Street, Binjiang District, Hangzhou</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Party C: Hangzhou Yuedu Technology Co., Ltd.</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960"/>
        <w:gridCol w:w="9245"/>
      </w:tblGrid>
      <w:tr>
        <w:trPr/>
        <w:tc>
          <w:tcPr>
            <w:tcW w:w="960"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9245"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Room 408, Building 4, No. 599 Wangshang Road, Changhe Street, Binjiang District, Hangzhou</w:t>
            </w:r>
          </w:p>
        </w:tc>
      </w:tr>
    </w:tbl>
    <w:p>
      <w:pPr>
        <w:pStyle w:val="TextBody"/>
        <w:spacing w:before="0" w:after="0"/>
        <w:ind w:left="0" w:right="0" w:hanging="0"/>
        <w:rPr/>
      </w:pPr>
      <w:r>
        <w:rPr/>
        <w:t>​</w:t>
      </w:r>
    </w:p>
    <w:tbl>
      <w:tblPr>
        <w:tblW w:w="2170" w:type="dxa"/>
        <w:jc w:val="left"/>
        <w:tblInd w:w="0" w:type="dxa"/>
        <w:tblCellMar>
          <w:top w:w="0" w:type="dxa"/>
          <w:left w:w="0" w:type="dxa"/>
          <w:bottom w:w="0" w:type="dxa"/>
          <w:right w:w="0" w:type="dxa"/>
        </w:tblCellMar>
      </w:tblPr>
      <w:tblGrid>
        <w:gridCol w:w="320"/>
        <w:gridCol w:w="185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10.</w:t>
            </w:r>
          </w:p>
        </w:tc>
        <w:tc>
          <w:tcPr>
            <w:tcW w:w="18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Further Assurances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agree to promptly execute documents and take further actions that are reasonably required for, or beneficial to, the purpose of performing the provisions and carrying out the intent of this Agreement.</w:t>
      </w:r>
    </w:p>
    <w:tbl>
      <w:tblPr>
        <w:tblW w:w="1690" w:type="dxa"/>
        <w:jc w:val="left"/>
        <w:tblInd w:w="0" w:type="dxa"/>
        <w:tblCellMar>
          <w:top w:w="0" w:type="dxa"/>
          <w:left w:w="0" w:type="dxa"/>
          <w:bottom w:w="0" w:type="dxa"/>
          <w:right w:w="0" w:type="dxa"/>
        </w:tblCellMar>
      </w:tblPr>
      <w:tblGrid>
        <w:gridCol w:w="320"/>
        <w:gridCol w:w="137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137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Miscellaneous</w:t>
            </w:r>
          </w:p>
        </w:tc>
      </w:tr>
    </w:tbl>
    <w:tbl>
      <w:tblPr>
        <w:tblW w:w="4428" w:type="dxa"/>
        <w:jc w:val="left"/>
        <w:tblInd w:w="0" w:type="dxa"/>
        <w:tblCellMar>
          <w:top w:w="0" w:type="dxa"/>
          <w:left w:w="0" w:type="dxa"/>
          <w:bottom w:w="0" w:type="dxa"/>
          <w:right w:w="0" w:type="dxa"/>
        </w:tblCellMar>
      </w:tblPr>
      <w:tblGrid>
        <w:gridCol w:w="23"/>
        <w:gridCol w:w="440"/>
        <w:gridCol w:w="396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11.1</w:t>
            </w:r>
          </w:p>
        </w:tc>
        <w:tc>
          <w:tcPr>
            <w:tcW w:w="39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Amendment, Modification or Supplement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amendment or supplement to this Agreement shall be made by the Parties in writing. The amendments or supplements duly executed by each Party shall be deemed as a part of this Agreement and shall have the same legal effect as this Agreement.</w:t>
      </w:r>
    </w:p>
    <w:tbl>
      <w:tblPr>
        <w:tblW w:w="2163" w:type="dxa"/>
        <w:jc w:val="left"/>
        <w:tblInd w:w="0" w:type="dxa"/>
        <w:tblCellMar>
          <w:top w:w="0" w:type="dxa"/>
          <w:left w:w="0" w:type="dxa"/>
          <w:bottom w:w="0" w:type="dxa"/>
          <w:right w:w="0" w:type="dxa"/>
        </w:tblCellMar>
      </w:tblPr>
      <w:tblGrid>
        <w:gridCol w:w="23"/>
        <w:gridCol w:w="440"/>
        <w:gridCol w:w="170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11.2</w:t>
            </w:r>
          </w:p>
        </w:tc>
        <w:tc>
          <w:tcPr>
            <w:tcW w:w="17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Entire Agreement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tbl>
      <w:tblPr>
        <w:tblW w:w="1608" w:type="dxa"/>
        <w:jc w:val="left"/>
        <w:tblInd w:w="0" w:type="dxa"/>
        <w:tblCellMar>
          <w:top w:w="0" w:type="dxa"/>
          <w:left w:w="0" w:type="dxa"/>
          <w:bottom w:w="0" w:type="dxa"/>
          <w:right w:w="0" w:type="dxa"/>
        </w:tblCellMar>
      </w:tblPr>
      <w:tblGrid>
        <w:gridCol w:w="23"/>
        <w:gridCol w:w="440"/>
        <w:gridCol w:w="114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11.3</w:t>
            </w:r>
          </w:p>
        </w:tc>
        <w:tc>
          <w:tcPr>
            <w:tcW w:w="11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Severability</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tbl>
      <w:tblPr>
        <w:tblW w:w="1383" w:type="dxa"/>
        <w:jc w:val="left"/>
        <w:tblInd w:w="0" w:type="dxa"/>
        <w:tblCellMar>
          <w:top w:w="0" w:type="dxa"/>
          <w:left w:w="0" w:type="dxa"/>
          <w:bottom w:w="0" w:type="dxa"/>
          <w:right w:w="0" w:type="dxa"/>
        </w:tblCellMar>
      </w:tblPr>
      <w:tblGrid>
        <w:gridCol w:w="23"/>
        <w:gridCol w:w="440"/>
        <w:gridCol w:w="92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11.4</w:t>
            </w:r>
          </w:p>
        </w:tc>
        <w:tc>
          <w:tcPr>
            <w:tcW w:w="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Headings</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headings contained in this Agreement are for the convenience of reference only and shall not be used for the interpretation or explanation or otherwise affect the meaning of the provisions of this Agreement.</w:t>
      </w:r>
    </w:p>
    <w:tbl>
      <w:tblPr>
        <w:tblW w:w="1428" w:type="dxa"/>
        <w:jc w:val="left"/>
        <w:tblInd w:w="0" w:type="dxa"/>
        <w:tblCellMar>
          <w:top w:w="0" w:type="dxa"/>
          <w:left w:w="0" w:type="dxa"/>
          <w:bottom w:w="0" w:type="dxa"/>
          <w:right w:w="0" w:type="dxa"/>
        </w:tblCellMar>
      </w:tblPr>
      <w:tblGrid>
        <w:gridCol w:w="23"/>
        <w:gridCol w:w="440"/>
        <w:gridCol w:w="96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11.5</w:t>
            </w:r>
          </w:p>
        </w:tc>
        <w:tc>
          <w:tcPr>
            <w:tcW w:w="9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Successor</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tbl>
      <w:tblPr>
        <w:tblW w:w="1278" w:type="dxa"/>
        <w:jc w:val="left"/>
        <w:tblInd w:w="0" w:type="dxa"/>
        <w:tblCellMar>
          <w:top w:w="0" w:type="dxa"/>
          <w:left w:w="0" w:type="dxa"/>
          <w:bottom w:w="0" w:type="dxa"/>
          <w:right w:w="0" w:type="dxa"/>
        </w:tblCellMar>
      </w:tblPr>
      <w:tblGrid>
        <w:gridCol w:w="23"/>
        <w:gridCol w:w="440"/>
        <w:gridCol w:w="81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11.6</w:t>
            </w:r>
          </w:p>
        </w:tc>
        <w:tc>
          <w:tcPr>
            <w:tcW w:w="8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Survival</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obligation arising from or becoming due under this Agreement before its expiration or premature termination shall survive such expiration or premature termination. Articles 6, 8, 9 and 10 and this Article 11.6 shall survive the termination of this Agreement.</w:t>
      </w:r>
    </w:p>
    <w:tbl>
      <w:tblPr>
        <w:tblW w:w="1173" w:type="dxa"/>
        <w:jc w:val="left"/>
        <w:tblInd w:w="0" w:type="dxa"/>
        <w:tblCellMar>
          <w:top w:w="0" w:type="dxa"/>
          <w:left w:w="0" w:type="dxa"/>
          <w:bottom w:w="0" w:type="dxa"/>
          <w:right w:w="0" w:type="dxa"/>
        </w:tblCellMar>
      </w:tblPr>
      <w:tblGrid>
        <w:gridCol w:w="23"/>
        <w:gridCol w:w="440"/>
        <w:gridCol w:w="71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11.7</w:t>
            </w:r>
          </w:p>
        </w:tc>
        <w:tc>
          <w:tcPr>
            <w:tcW w:w="71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Waiver</w:t>
            </w:r>
          </w:p>
        </w:tc>
      </w:tr>
    </w:tbl>
    <w:p>
      <w:pPr>
        <w:pStyle w:val="TextBody"/>
        <w:spacing w:before="0" w:after="0"/>
        <w:ind w:left="1440" w:right="0" w:hanging="0"/>
        <w:jc w:val="both"/>
        <w:rPr>
          <w:rFonts w:ascii="Times New Roman;Times;serif" w:hAnsi="Times New Roman;Times;serif"/>
          <w:sz w:val="24"/>
        </w:rPr>
      </w:pPr>
      <w:r>
        <w:rPr>
          <w:rFonts w:ascii="Times New Roman;Times;serif" w:hAnsi="Times New Roman;Times;serif"/>
          <w:sz w:val="24"/>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each Party has caused this Agreement to be executed by himself/herself, its legal representative or its duly authorized representative as of the date first written above.</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tbl>
      <w:tblPr>
        <w:tblW w:w="6754" w:type="dxa"/>
        <w:jc w:val="left"/>
        <w:tblInd w:w="0" w:type="dxa"/>
        <w:tblCellMar>
          <w:top w:w="0" w:type="dxa"/>
          <w:left w:w="0" w:type="dxa"/>
          <w:bottom w:w="0" w:type="dxa"/>
          <w:right w:w="0" w:type="dxa"/>
        </w:tblCellMar>
      </w:tblPr>
      <w:tblGrid>
        <w:gridCol w:w="2285"/>
        <w:gridCol w:w="4315"/>
        <w:gridCol w:w="154"/>
      </w:tblGrid>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A: 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B: William Lei Ding</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431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William Lei Ding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pPr>
            <w:r>
              <w:rPr/>
              <w:t>​</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Party C:</w:t>
            </w:r>
            <w:r>
              <w:rPr>
                <w:rFonts w:ascii="Times New Roman;Times;serif" w:hAnsi="Times New Roman;Times;serif"/>
                <w:sz w:val="20"/>
              </w:rPr>
              <w:t xml:space="preserve"> </w:t>
            </w:r>
            <w:r>
              <w:rPr>
                <w:rFonts w:ascii="Times New Roman;Times;serif" w:hAnsi="Times New Roman;Times;serif"/>
                <w:b/>
                <w:sz w:val="24"/>
              </w:rPr>
              <w:t>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8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431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Form of Notice</w:t>
      </w:r>
    </w:p>
    <w:p>
      <w:pPr>
        <w:pStyle w:val="TextBody"/>
        <w:spacing w:before="0" w:after="0"/>
        <w:ind w:left="0" w:right="0" w:hanging="0"/>
        <w:jc w:val="center"/>
        <w:rPr/>
      </w:pPr>
      <w:r>
        <w:rPr/>
        <w:t>​</w:t>
      </w:r>
    </w:p>
    <w:p>
      <w:pPr>
        <w:pStyle w:val="TextBody"/>
        <w:spacing w:before="0" w:after="0"/>
        <w:ind w:left="0" w:right="0" w:hanging="0"/>
        <w:jc w:val="center"/>
        <w:rPr/>
      </w:pPr>
      <w:r>
        <w:rPr/>
        <w:t>​</w:t>
      </w:r>
    </w:p>
    <w:tbl>
      <w:tblPr>
        <w:tblW w:w="890" w:type="dxa"/>
        <w:jc w:val="left"/>
        <w:tblInd w:w="0" w:type="dxa"/>
        <w:tblCellMar>
          <w:top w:w="0" w:type="dxa"/>
          <w:left w:w="0" w:type="dxa"/>
          <w:bottom w:w="0" w:type="dxa"/>
          <w:right w:w="0" w:type="dxa"/>
        </w:tblCellMar>
      </w:tblPr>
      <w:tblGrid>
        <w:gridCol w:w="124"/>
        <w:gridCol w:w="766"/>
      </w:tblGrid>
      <w:tr>
        <w:trPr/>
        <w:tc>
          <w:tcPr>
            <w:tcW w:w="124"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Date</w:t>
            </w:r>
            <w:r>
              <w:rPr>
                <w:rFonts w:ascii="Times New Roman;Times;serif" w:hAnsi="Times New Roman;Times;serif"/>
                <w:sz w:val="24"/>
              </w:rPr>
              <w:t>]</w:t>
            </w:r>
          </w:p>
        </w:tc>
      </w:tr>
    </w:tbl>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Dear William Lei Ding,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Pursuant to the Amended and Restated Exclusive Purchase Option Agreement between us executed on                   , 20      (the “</w:t>
      </w:r>
      <w:r>
        <w:rPr>
          <w:rFonts w:ascii="Times New Roman;Times;serif" w:hAnsi="Times New Roman;Times;serif"/>
          <w:b/>
          <w:i/>
          <w:sz w:val="24"/>
        </w:rPr>
        <w:t>Option Agreement</w:t>
      </w:r>
      <w:r>
        <w:rPr>
          <w:rFonts w:ascii="Times New Roman;Times;serif" w:hAnsi="Times New Roman;Times;serif"/>
          <w:sz w:val="20"/>
        </w:rPr>
        <w:t>”</w:t>
      </w:r>
      <w:r>
        <w:rPr>
          <w:rFonts w:ascii="Times New Roman;Times;serif" w:hAnsi="Times New Roman;Times;serif"/>
          <w:sz w:val="24"/>
        </w:rPr>
        <w:t>), you agreed to transfer to us or our Designated Person(s) certain equity interests or assets upon notice from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letter serves as our notice to you under Article 1.2.1 of the Option Agreement, and we hereby notify you that we wish to purchase from you the following [</w:t>
      </w:r>
      <w:r>
        <w:rPr>
          <w:rFonts w:ascii="Times New Roman;Times;serif" w:hAnsi="Times New Roman;Times;serif"/>
          <w:i/>
          <w:sz w:val="24"/>
        </w:rPr>
        <w:t>equity interests / assets</w:t>
      </w:r>
      <w:r>
        <w:rPr>
          <w:rFonts w:ascii="Times New Roman;Times;serif" w:hAnsi="Times New Roman;Times;serif"/>
          <w:sz w:val="24"/>
        </w:rPr>
        <w:t>], which constitute the Purchased Interest under Article 1.2.1 of the Option Agreement: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[All / ___% of the shares in Hangzhou Yuedu Technology Co., Ltd.]</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[All the assets of Hangzhou Yuedu Technology Co., Ltd. / The following assets of Hangzhou Yuedu Technology Co., Ltd.: ___________________________________________________________________________________________________________________________________________________________________________________]</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In consideration for the Purchased Interest, the Purchase Price (as defined in Article 1.3 of the Option Agreement) of the Purchased Interest will be RMB _________________. We shall handle payment of the Purchase Price pursuant to Article 1.5 of the Option Agreement.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Please assist us in arranging for the transfer of the Purchased Interest to [</w:t>
      </w:r>
      <w:r>
        <w:rPr>
          <w:rFonts w:ascii="Times New Roman;Times;serif" w:hAnsi="Times New Roman;Times;serif"/>
          <w:i/>
          <w:sz w:val="24"/>
        </w:rPr>
        <w:t>us / our Designated Person(s), which is/are</w:t>
      </w:r>
      <w:r>
        <w:rPr>
          <w:rFonts w:ascii="Times New Roman;Times;serif" w:hAnsi="Times New Roman;Times;serif"/>
          <w:sz w:val="20"/>
        </w:rPr>
        <w:t xml:space="preserve"> </w:t>
      </w:r>
      <w:r>
        <w:rPr>
          <w:rFonts w:ascii="Times New Roman;Times;serif" w:hAnsi="Times New Roman;Times;serif"/>
          <w:sz w:val="24"/>
        </w:rPr>
        <w:t>_____________________________________________]. Such transfer should occur no later than forty-five (45) business days after the date hereof</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5525" w:type="dxa"/>
        <w:jc w:val="left"/>
        <w:tblInd w:w="0" w:type="dxa"/>
        <w:tblCellMar>
          <w:top w:w="0" w:type="dxa"/>
          <w:left w:w="0" w:type="dxa"/>
          <w:bottom w:w="0" w:type="dxa"/>
          <w:right w:w="0" w:type="dxa"/>
        </w:tblCellMar>
      </w:tblPr>
      <w:tblGrid>
        <w:gridCol w:w="124"/>
        <w:gridCol w:w="540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78740" cy="175260"/>
                      <wp:effectExtent l="0" t="0" r="0" b="0"/>
                      <wp:wrapNone/>
                      <wp:docPr id="618" name="Frame61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3429635" cy="175260"/>
                      <wp:effectExtent l="0" t="0" r="0" b="0"/>
                      <wp:wrapNone/>
                      <wp:docPr id="619" name="Frame618"/>
                      <a:graphic xmlns:a="http://schemas.openxmlformats.org/drawingml/2006/main">
                        <a:graphicData uri="http://schemas.microsoft.com/office/word/2010/wordprocessingShape">
                          <wps:wsp>
                            <wps:cNvSpPr txBox="1"/>
                            <wps:spPr>
                              <a:xfrm>
                                <a:off x="0" y="0"/>
                                <a:ext cx="3429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Sincerely,</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Hangzhou NetEase Cloud Music Technology Co., Ltd.</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Form of Power of Attorney</w:t>
      </w:r>
    </w:p>
    <w:p>
      <w:pPr>
        <w:pStyle w:val="TextBody"/>
        <w:spacing w:before="0" w:after="240"/>
        <w:ind w:left="0" w:right="0" w:hanging="0"/>
        <w:jc w:val="center"/>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I hereby irrevocably appoint the person designated by Hangzhou NetEase Cloud Music Technology Co., Ltd., as my proxy, to sign and deliver any and all legal documents that are necessary or useful to effect any exercise of an option to purchase any equity interests or assets pursuant to the Amended and Restated Exclusive Purchase Option Agreement between Hangzhou NetEase Cloud Music Technology Co., Ltd., William Lei Ding and Hangzhou Yuedu Technology Co., Ltd. executed on May 18, 2021.</w:t>
      </w:r>
    </w:p>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1940" w:type="dxa"/>
        <w:jc w:val="left"/>
        <w:tblInd w:w="0" w:type="dxa"/>
        <w:tblCellMar>
          <w:top w:w="0" w:type="dxa"/>
          <w:left w:w="0" w:type="dxa"/>
          <w:bottom w:w="0" w:type="dxa"/>
          <w:right w:w="0" w:type="dxa"/>
        </w:tblCellMar>
      </w:tblPr>
      <w:tblGrid>
        <w:gridCol w:w="124"/>
        <w:gridCol w:w="181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78740" cy="175260"/>
                      <wp:effectExtent l="0" t="0" r="0" b="0"/>
                      <wp:wrapNone/>
                      <wp:docPr id="620" name="Frame61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153160" cy="175260"/>
                      <wp:effectExtent l="0" t="0" r="0" b="0"/>
                      <wp:wrapNone/>
                      <wp:docPr id="621" name="Frame620"/>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William Lei Ding</w:t>
            </w:r>
          </w:p>
        </w:tc>
      </w:tr>
      <w:tr>
        <w:trPr/>
        <w:tc>
          <w:tcPr>
            <w:tcW w:w="124"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4"/>
              </w:rPr>
              <w:t>Date</w:t>
            </w:r>
            <w:r>
              <w:rPr>
                <w:rFonts w:ascii="Times New Roman;Times;serif" w:hAnsi="Times New Roman;Times;serif"/>
                <w:sz w:val="24"/>
              </w:rPr>
              <w:t xml:space="preserve">: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Form of Transfer Agreement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This Transfer Agreement (this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xml:space="preserve">) is jointly signed by the Parties on </w:t>
      </w:r>
      <w:r>
        <w:rPr>
          <w:rFonts w:ascii="Times New Roman;Times;serif" w:hAnsi="Times New Roman;Times;serif"/>
          <w:sz w:val="20"/>
          <w:u w:val="single"/>
        </w:rPr>
        <w:t>​ ​​ ​</w:t>
      </w:r>
      <w:r>
        <w:rPr>
          <w:rFonts w:ascii="Times New Roman;Times;serif" w:hAnsi="Times New Roman;Times;serif"/>
          <w:sz w:val="24"/>
        </w:rPr>
        <w:t>_</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at the offices of Hangzhou Yuedu Technology Co., Ltd.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Transferor:</w:t>
      </w:r>
      <w:r>
        <w:rPr>
          <w:rFonts w:ascii="Times New Roman;Times;serif" w:hAnsi="Times New Roman;Times;serif"/>
          <w:sz w:val="24"/>
        </w:rPr>
        <w:t>[William Lei Ding] (“</w:t>
      </w:r>
      <w:r>
        <w:rPr>
          <w:rFonts w:ascii="Times New Roman;Times;serif" w:hAnsi="Times New Roman;Times;serif"/>
          <w:b/>
          <w:i/>
          <w:sz w:val="24"/>
        </w:rPr>
        <w:t>Party A</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Transferee:</w:t>
      </w:r>
      <w:r>
        <w:rPr>
          <w:rFonts w:ascii="Times New Roman;Times;serif" w:hAnsi="Times New Roman;Times;serif"/>
          <w:sz w:val="24"/>
        </w:rPr>
        <w:t>[Hangzhou NetEase Cloud Music Technology Co., Ltd.</w:t>
      </w:r>
      <w:r>
        <w:rPr>
          <w:rFonts w:ascii="Times New Roman;Times;serif" w:hAnsi="Times New Roman;Times;serif"/>
          <w:sz w:val="20"/>
        </w:rPr>
        <w:t xml:space="preserve"> </w:t>
      </w:r>
      <w:r>
        <w:rPr>
          <w:rFonts w:ascii="Times New Roman;Times;serif" w:hAnsi="Times New Roman;Times;serif"/>
          <w:i/>
          <w:sz w:val="24"/>
        </w:rPr>
        <w:t>or designated person(s)</w:t>
      </w:r>
      <w:r>
        <w:rPr>
          <w:rFonts w:ascii="Times New Roman;Times;serif" w:hAnsi="Times New Roman;Times;serif"/>
          <w:sz w:val="24"/>
        </w:rPr>
        <w:t>] (“</w:t>
      </w:r>
      <w:r>
        <w:rPr>
          <w:rFonts w:ascii="Times New Roman;Times;serif" w:hAnsi="Times New Roman;Times;serif"/>
          <w:b/>
          <w:i/>
          <w:sz w:val="24"/>
        </w:rPr>
        <w:t>Party B</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In this Agreement, Party A and Party B are called collectively as the “</w:t>
      </w:r>
      <w:r>
        <w:rPr>
          <w:rFonts w:ascii="Times New Roman;Times;serif" w:hAnsi="Times New Roman;Times;serif"/>
          <w:b/>
          <w:i/>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i/>
          <w:sz w:val="24"/>
        </w:rPr>
        <w:t>Party</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[Party A owns 99% of the equity interest of the Company.] According to the relevant laws, rules and regulations, upon friendly negotiations between the Parties, and pursuant to the Amended and Restated Exclusive Purchase Option Agreement entered into by the Parties on [</w:t>
      </w:r>
      <w:r>
        <w:rPr>
          <w:rFonts w:ascii="Times New Roman;Times;serif" w:hAnsi="Times New Roman;Times;serif"/>
          <w:i/>
          <w:sz w:val="24"/>
        </w:rPr>
        <w:t>date of agreement</w:t>
      </w:r>
      <w:r>
        <w:rPr>
          <w:rFonts w:ascii="Times New Roman;Times;serif" w:hAnsi="Times New Roman;Times;serif"/>
          <w:sz w:val="24"/>
        </w:rPr>
        <w:t>] (the “</w:t>
      </w:r>
      <w:r>
        <w:rPr>
          <w:rFonts w:ascii="Times New Roman;Times;serif" w:hAnsi="Times New Roman;Times;serif"/>
          <w:b/>
          <w:i/>
          <w:sz w:val="24"/>
        </w:rPr>
        <w:t>Exclusive Purchase Option Agreement</w:t>
      </w:r>
      <w:r>
        <w:rPr>
          <w:rFonts w:ascii="Times New Roman;Times;serif" w:hAnsi="Times New Roman;Times;serif"/>
          <w:sz w:val="20"/>
        </w:rPr>
        <w:t>”</w:t>
      </w:r>
      <w:r>
        <w:rPr>
          <w:rFonts w:ascii="Times New Roman;Times;serif" w:hAnsi="Times New Roman;Times;serif"/>
          <w:sz w:val="24"/>
        </w:rPr>
        <w:t>), the Parties agree to the following: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1. Subject of Transfer and Purchase Price</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Party A shall transfer to [Party B / Party B’s designated person(s): __________________] [____% equity interest of the Company / the following assets: _________________________________________________] (the “</w:t>
      </w:r>
      <w:r>
        <w:rPr>
          <w:rFonts w:ascii="Times New Roman;Times;serif" w:hAnsi="Times New Roman;Times;serif"/>
          <w:b/>
          <w:i/>
          <w:sz w:val="24"/>
        </w:rPr>
        <w:t>Transferred Interest</w:t>
      </w:r>
      <w:r>
        <w:rPr>
          <w:rFonts w:ascii="Times New Roman;Times;serif" w:hAnsi="Times New Roman;Times;serif"/>
          <w:sz w:val="20"/>
        </w:rPr>
        <w:t>”</w:t>
      </w:r>
      <w:r>
        <w:rPr>
          <w:rFonts w:ascii="Times New Roman;Times;serif" w:hAnsi="Times New Roman;Times;serif"/>
          <w:sz w:val="24"/>
        </w:rPr>
        <w:t>) for the total purchase price of [RMB _____________________].</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2. Undertakings and Guarantee</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3. Liabilities for Breach of Contract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4. Method of Dispute Resolutions</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5. Others</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 xml:space="preserve">This Agreement shall be executed in </w:t>
      </w:r>
      <w:r>
        <w:rPr>
          <w:rFonts w:ascii="Times New Roman;Times;serif" w:hAnsi="Times New Roman;Times;serif"/>
          <w:sz w:val="24"/>
          <w:u w:val="single"/>
        </w:rPr>
        <w:t>triplicate</w:t>
      </w:r>
      <w:r>
        <w:rPr>
          <w:rFonts w:ascii="Times New Roman;Times;serif" w:hAnsi="Times New Roman;Times;serif"/>
          <w:sz w:val="24"/>
        </w:rPr>
        <w:t xml:space="preserve">, </w:t>
      </w:r>
      <w:r>
        <w:rPr>
          <w:rFonts w:ascii="Times New Roman;Times;serif" w:hAnsi="Times New Roman;Times;serif"/>
          <w:sz w:val="24"/>
          <w:u w:val="single"/>
        </w:rPr>
        <w:t>one</w:t>
      </w:r>
      <w:r>
        <w:rPr>
          <w:rFonts w:ascii="Times New Roman;Times;serif" w:hAnsi="Times New Roman;Times;serif"/>
          <w:sz w:val="20"/>
        </w:rPr>
        <w:t xml:space="preserve"> </w:t>
      </w:r>
      <w:r>
        <w:rPr>
          <w:rFonts w:ascii="Times New Roman;Times;serif" w:hAnsi="Times New Roman;Times;serif"/>
          <w:sz w:val="24"/>
        </w:rPr>
        <w:t xml:space="preserve">for each of the Parties and </w:t>
      </w:r>
      <w:r>
        <w:rPr>
          <w:rFonts w:ascii="Times New Roman;Times;serif" w:hAnsi="Times New Roman;Times;serif"/>
          <w:sz w:val="24"/>
          <w:u w:val="single"/>
        </w:rPr>
        <w:t>one</w:t>
      </w:r>
      <w:r>
        <w:rPr>
          <w:rFonts w:ascii="Times New Roman;Times;serif" w:hAnsi="Times New Roman;Times;serif"/>
          <w:sz w:val="20"/>
        </w:rPr>
        <w:t xml:space="preserve"> </w:t>
      </w:r>
      <w:r>
        <w:rPr>
          <w:rFonts w:ascii="Times New Roman;Times;serif" w:hAnsi="Times New Roman;Times;serif"/>
          <w:sz w:val="24"/>
        </w:rPr>
        <w:t>for the Company for use in completing the relevant formalities.</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2794" w:type="dxa"/>
        <w:jc w:val="left"/>
        <w:tblInd w:w="0" w:type="dxa"/>
        <w:tblCellMar>
          <w:top w:w="0" w:type="dxa"/>
          <w:left w:w="0" w:type="dxa"/>
          <w:bottom w:w="0" w:type="dxa"/>
          <w:right w:w="0" w:type="dxa"/>
        </w:tblCellMar>
      </w:tblPr>
      <w:tblGrid>
        <w:gridCol w:w="2399"/>
        <w:gridCol w:w="241"/>
        <w:gridCol w:w="154"/>
      </w:tblGrid>
      <w:tr>
        <w:trPr/>
        <w:tc>
          <w:tcPr>
            <w:tcW w:w="264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Party A: William Lei Ding</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4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Party B (signature):</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9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Dated:</w:t>
            </w:r>
          </w:p>
        </w:tc>
        <w:tc>
          <w:tcPr>
            <w:tcW w:w="2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298" w:name="ntes-20221231xex4d50.htm"/>
      <w:bookmarkStart w:id="2299" w:name="ksntes20221231xex4d50"/>
      <w:bookmarkEnd w:id="2298"/>
      <w:bookmarkEnd w:id="2299"/>
      <w:r>
        <w:rPr>
          <w:rFonts w:ascii="Times New Roman;Times;serif" w:hAnsi="Times New Roman;Times;serif"/>
          <w:b/>
          <w:sz w:val="24"/>
        </w:rPr>
        <w:t>Exhibit 4.50</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THE AMENDED AND RESTATED SHAREHOLDER VOTING RIGHT TRUST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Amended and Restated Shareholder Voting Right Trust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May 18, 2021 between the following two parties in Hangzhou.</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Party A:</w:t>
      </w:r>
      <w:r>
        <w:rPr>
          <w:rFonts w:ascii="Times New Roman;Times;serif" w:hAnsi="Times New Roman;Times;serif"/>
          <w:sz w:val="20"/>
        </w:rPr>
        <w:t xml:space="preserve"> </w:t>
      </w:r>
      <w:r>
        <w:rPr>
          <w:rFonts w:ascii="Times New Roman;Times;serif" w:hAnsi="Times New Roman;Times;serif"/>
          <w:sz w:val="24"/>
        </w:rPr>
        <w:t>Hangzhou NetEase Cloud Music Technology Co., Ltd., a wholly foreign-owned enterprise registered in Hangzhou, PRC under the laws of the PRC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 xml:space="preserve">Party B: </w:t>
      </w:r>
      <w:r>
        <w:rPr>
          <w:rFonts w:ascii="Times New Roman;Times;serif" w:hAnsi="Times New Roman;Times;serif"/>
          <w:sz w:val="24"/>
        </w:rPr>
        <w:t>William Lei Ding, a citizen of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this Agreement, Party A and Party B are called collectively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sz w:val="24"/>
        </w:rPr>
        <w:t>Party</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WHEREAS</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and Yiwen Zhu comprise all the shareholders of Hangzhou Yuedu Technology Co., Ltd.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as of the date of this Agreement, in which Party B owns 99% of the equity interests and Yiwen Zhu owns 1% of the equity interests.</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1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entered into a Shareholder Voting Right Trust Agreement on October 1, 2016 (the “</w:t>
            </w:r>
            <w:r>
              <w:rPr>
                <w:rFonts w:ascii="Times New Roman;Times;serif" w:hAnsi="Times New Roman;Times;serif"/>
                <w:b/>
                <w:sz w:val="24"/>
              </w:rPr>
              <w:t>Original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has entrusted Party A and the person designated by Party A with full authority to exercise his shareholder’s voting rights at the Company’s shareholders’ meetings.</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hereto desire to enter into this Agreement to terminate, supersede and replace</w:t>
            </w:r>
            <w:r>
              <w:rPr>
                <w:rFonts w:ascii="Times New Roman;Times;serif" w:hAnsi="Times New Roman;Times;serif"/>
                <w:sz w:val="20"/>
              </w:rPr>
              <w:t xml:space="preserve"> </w:t>
            </w:r>
            <w:r>
              <w:rPr>
                <w:rFonts w:ascii="Times New Roman;Times;serif" w:hAnsi="Times New Roman;Times;serif"/>
                <w:sz w:val="24"/>
              </w:rPr>
              <w:t>the Original Agreement in its entirety.</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through negotiations, all parties to this Agreement hereby agree as follows:</w:t>
      </w:r>
    </w:p>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hereby agrees to irrevocably entrust Party A and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 Party B hereby covenants that the</w:t>
            </w:r>
            <w:r>
              <w:rPr>
                <w:rFonts w:ascii="Times New Roman;Times;serif" w:hAnsi="Times New Roman;Times;serif"/>
                <w:sz w:val="20"/>
              </w:rPr>
              <w:t xml:space="preserve"> </w:t>
            </w:r>
            <w:r>
              <w:rPr>
                <w:rFonts w:ascii="Times New Roman;Times;serif" w:hAnsi="Times New Roman;Times;serif"/>
                <w:sz w:val="24"/>
              </w:rPr>
              <w:t>entrustment under this Agreement will not give rise to any actual or potential conflict of interest.</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5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A agrees to designate a person (including but not limited to Party A or a person designated by the Party A director or his/her successor, including a liquidator replacing the person designated by Party A, but excluding those who may give rise to conflict of interest. If Party B is the officer or director of direct or indirect shareholder of Party A, the powers of attorney shall be granted in favour of other unrelated officer or director of Party A) to accept the entrustment by Party B pursuant to Article 1 of this Agreement. Party B shall sign a Power of Attorney in the form of Annex 1 of this Agreement. The person designated by Party A shall represent Party B in the exercise of Party B’s shareholder’s voting rights and other shareholder’s rights pursuant to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Times New Roman;Times;serif" w:hAnsi="Times New Roman;Times;serif"/>
                <w:b/>
                <w:sz w:val="24"/>
              </w:rPr>
              <w:t>Transferee</w:t>
            </w:r>
            <w:r>
              <w:rPr>
                <w:rFonts w:ascii="Times New Roman;Times;serif" w:hAnsi="Times New Roman;Times;serif"/>
                <w:sz w:val="20"/>
              </w:rPr>
              <w:t>”</w:t>
            </w:r>
            <w:r>
              <w:rPr>
                <w:rFonts w:ascii="Times New Roman;Times;serif" w:hAnsi="Times New Roman;Times;serif"/>
                <w:sz w:val="24"/>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tc>
      </w:tr>
    </w:tbl>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as of the date it is duly executed by the Parties’ authorized representatives. Upon execution by both Parties, this Agreement shall supersede the Original Agreement and the Original Agreement shall become void.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100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00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tc>
      </w:tr>
    </w:tbl>
    <w:tbl>
      <w:tblPr>
        <w:tblW w:w="9595" w:type="dxa"/>
        <w:jc w:val="left"/>
        <w:tblInd w:w="0" w:type="dxa"/>
        <w:tblCellMar>
          <w:top w:w="0" w:type="dxa"/>
          <w:left w:w="0" w:type="dxa"/>
          <w:bottom w:w="0" w:type="dxa"/>
          <w:right w:w="0" w:type="dxa"/>
        </w:tblCellMar>
      </w:tblPr>
      <w:tblGrid>
        <w:gridCol w:w="200"/>
        <w:gridCol w:w="939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939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amendment to, and/or cancellation of, this Agreement shall be agreed by the Parties in writing.</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100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tbl>
      <w:tblPr>
        <w:tblW w:w="4240" w:type="dxa"/>
        <w:jc w:val="left"/>
        <w:tblInd w:w="0" w:type="dxa"/>
        <w:tblCellMar>
          <w:top w:w="0" w:type="dxa"/>
          <w:left w:w="0" w:type="dxa"/>
          <w:bottom w:w="0" w:type="dxa"/>
          <w:right w:w="0" w:type="dxa"/>
        </w:tblCellMar>
      </w:tblPr>
      <w:tblGrid>
        <w:gridCol w:w="320"/>
        <w:gridCol w:w="392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10.</w:t>
            </w:r>
          </w:p>
        </w:tc>
        <w:tc>
          <w:tcPr>
            <w:tcW w:w="3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Applicable Laws and Dispute Resolution</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validity, interpretation and performance of and settlement of disputes under this Agreement shall be governed by the laws of the PRC.</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Company's business operation, restricting and / or disposing the Company's equities or assets (including land assets) (including but not limited to taking them as compensation), or forbidding transfer or dispose, or taking other relevant remedies, or ordering the winding up of the Company. The Parties shall perform such awards.</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both Parties.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100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Village Inc.; (iii) the registered place of the Company; and (iv) the place where main assets of Cloud Village Inc. or the Company are located shall be deemed to have jurisdiction for the purpose of this article.</w:t>
            </w:r>
          </w:p>
        </w:tc>
      </w:tr>
    </w:tbl>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6754" w:type="dxa"/>
        <w:jc w:val="left"/>
        <w:tblInd w:w="0" w:type="dxa"/>
        <w:tblCellMar>
          <w:top w:w="0" w:type="dxa"/>
          <w:left w:w="0" w:type="dxa"/>
          <w:bottom w:w="0" w:type="dxa"/>
          <w:right w:w="0" w:type="dxa"/>
        </w:tblCellMar>
      </w:tblPr>
      <w:tblGrid>
        <w:gridCol w:w="2330"/>
        <w:gridCol w:w="4270"/>
        <w:gridCol w:w="154"/>
      </w:tblGrid>
      <w:tr>
        <w:trPr/>
        <w:tc>
          <w:tcPr>
            <w:tcW w:w="2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479550" cy="175260"/>
                      <wp:effectExtent l="0" t="0" r="0" b="0"/>
                      <wp:wrapNone/>
                      <wp:docPr id="622" name="Frame621"/>
                      <a:graphic xmlns:a="http://schemas.openxmlformats.org/drawingml/2006/main">
                        <a:graphicData uri="http://schemas.microsoft.com/office/word/2010/wordprocessingShape">
                          <wps:wsp>
                            <wps:cNvSpPr txBox="1"/>
                            <wps:spPr>
                              <a:xfrm>
                                <a:off x="0" y="0"/>
                                <a:ext cx="147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711450" cy="175260"/>
                      <wp:effectExtent l="0" t="0" r="0" b="0"/>
                      <wp:wrapNone/>
                      <wp:docPr id="623" name="Frame622"/>
                      <a:graphic xmlns:a="http://schemas.openxmlformats.org/drawingml/2006/main">
                        <a:graphicData uri="http://schemas.microsoft.com/office/word/2010/wordprocessingShape">
                          <wps:wsp>
                            <wps:cNvSpPr txBox="1"/>
                            <wps:spPr>
                              <a:xfrm>
                                <a:off x="0" y="0"/>
                                <a:ext cx="271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97790" cy="175260"/>
                      <wp:effectExtent l="0" t="0" r="0" b="0"/>
                      <wp:wrapNone/>
                      <wp:docPr id="624" name="Frame62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A: 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pPr>
            <w:r>
              <w:rPr/>
              <w:t>​</w:t>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283"/>
              <w:ind w:left="0" w:right="0" w:hanging="0"/>
              <w:rPr>
                <w:sz w:val="4"/>
                <w:szCs w:val="4"/>
              </w:rPr>
            </w:pPr>
            <w:r>
              <w:rPr>
                <w:sz w:val="4"/>
                <w:szCs w:val="4"/>
              </w:rPr>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pPr>
            <w:r>
              <w:rPr/>
              <w:t>​</w:t>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B: William Lei Ding</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pPr>
            <w:r>
              <w:rPr/>
              <w:t>​</w:t>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42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/s/William Lei Ding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pPr>
            <w:r>
              <w:rPr/>
              <w:t>​</w:t>
            </w:r>
          </w:p>
        </w:tc>
        <w:tc>
          <w:tcPr>
            <w:tcW w:w="4270"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0"/>
              <w:ind w:left="0" w:right="0" w:hanging="0"/>
              <w:rPr/>
            </w:pPr>
            <w:r>
              <w:rPr/>
              <w:t>​</w:t>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This Agreement is agreed and accepted by:</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30" w:type="dxa"/>
            <w:tcBorders/>
            <w:shd w:fill="auto" w:val="clear"/>
            <w:vAlign w:val="center"/>
          </w:tcPr>
          <w:p>
            <w:pPr>
              <w:pStyle w:val="TableContents"/>
              <w:spacing w:before="0" w:after="283"/>
              <w:ind w:left="0" w:right="0" w:hanging="0"/>
              <w:rPr>
                <w:sz w:val="4"/>
                <w:szCs w:val="4"/>
              </w:rPr>
            </w:pPr>
            <w:r>
              <w:rPr>
                <w:sz w:val="4"/>
                <w:szCs w:val="4"/>
              </w:rPr>
            </w:r>
          </w:p>
        </w:tc>
        <w:tc>
          <w:tcPr>
            <w:tcW w:w="4270"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(Seal)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Annex 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Powers of Attorney</w:t>
      </w:r>
    </w:p>
    <w:p>
      <w:pPr>
        <w:pStyle w:val="TextBody"/>
        <w:spacing w:before="0" w:after="0"/>
        <w:ind w:left="0" w:right="0" w:hanging="0"/>
        <w:rPr/>
      </w:pPr>
      <w:r>
        <w:rPr/>
        <w:t>​</w:t>
      </w:r>
    </w:p>
    <w:p>
      <w:pPr>
        <w:pStyle w:val="TextBody"/>
        <w:spacing w:before="0" w:after="0"/>
        <w:ind w:left="0" w:right="0" w:firstLine="480"/>
        <w:rPr>
          <w:rFonts w:ascii="Times New Roman;Times;serif" w:hAnsi="Times New Roman;Times;serif"/>
          <w:sz w:val="20"/>
        </w:rPr>
      </w:pPr>
      <w:r>
        <w:rPr>
          <w:rFonts w:ascii="Times New Roman;Times;serif" w:hAnsi="Times New Roman;Times;serif"/>
          <w:sz w:val="24"/>
        </w:rPr>
        <w:t>The Powers of Attorney (hereinafter referred to as the "</w:t>
      </w:r>
      <w:r>
        <w:rPr>
          <w:rFonts w:ascii="Times New Roman;Times;serif" w:hAnsi="Times New Roman;Times;serif"/>
          <w:b/>
          <w:sz w:val="24"/>
        </w:rPr>
        <w:t>POA</w:t>
      </w:r>
      <w:r>
        <w:rPr>
          <w:rFonts w:ascii="Times New Roman;Times;serif" w:hAnsi="Times New Roman;Times;serif"/>
          <w:sz w:val="24"/>
        </w:rPr>
        <w:t>") is signed by William Lei Ding on 18th May 2021 and is issued to</w:t>
      </w:r>
      <w:r>
        <w:rPr>
          <w:rFonts w:ascii="Times New Roman;Times;serif" w:hAnsi="Times New Roman;Times;serif"/>
          <w:sz w:val="20"/>
        </w:rPr>
        <w:t xml:space="preserve"> </w:t>
      </w:r>
      <w:r>
        <w:rPr>
          <w:rFonts w:ascii="Times New Roman;Times;serif" w:hAnsi="Times New Roman;Times;serif"/>
          <w:sz w:val="24"/>
        </w:rPr>
        <w:t>Hangzhou NetEase Cloud Music Technology Co., Ltd. and the person designated by Hangzhou NetEase Cloud Music Technology Co., Ltd. (hereinafter referred to as the "</w:t>
      </w:r>
      <w:r>
        <w:rPr>
          <w:rFonts w:ascii="Times New Roman;Times;serif" w:hAnsi="Times New Roman;Times;serif"/>
          <w:b/>
          <w:sz w:val="24"/>
        </w:rPr>
        <w:t>Trustee</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firstLine="480"/>
        <w:jc w:val="both"/>
        <w:rPr>
          <w:rFonts w:ascii="Times New Roman;Times;serif" w:hAnsi="Times New Roman;Times;serif"/>
          <w:sz w:val="20"/>
        </w:rPr>
      </w:pPr>
      <w:r>
        <w:rPr>
          <w:rFonts w:ascii="Times New Roman;Times;serif" w:hAnsi="Times New Roman;Times;serif"/>
          <w:sz w:val="24"/>
        </w:rPr>
        <w:t>I,William Lei Ding, hereby entrust the Trustee a comprehensive power of agency, authorizing the Trustee to act as my agent, in my name, to exercise the following rights that I enjoy as a shareholder of Hangzhou Yuedu Technology Co., Ltd. (hereinafter referred to as the "</w:t>
      </w:r>
      <w:r>
        <w:rPr>
          <w:rFonts w:ascii="Times New Roman;Times;serif" w:hAnsi="Times New Roman;Times;serif"/>
          <w:b/>
          <w:sz w:val="24"/>
        </w:rPr>
        <w:t>Company</w:t>
      </w:r>
      <w:r>
        <w:rPr>
          <w:rFonts w:ascii="Times New Roman;Times;serif" w:hAnsi="Times New Roman;Times;serif"/>
          <w:sz w:val="24"/>
        </w:rPr>
        <w:t>"):</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w:t>
            </w:r>
          </w:p>
        </w:tc>
        <w:tc>
          <w:tcPr>
            <w:tcW w:w="999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Propose to convene and attend the shareholders’ meeting of the Company in accordance with the articles of association as my agent;</w:t>
            </w:r>
          </w:p>
        </w:tc>
      </w:tr>
    </w:tbl>
    <w:p>
      <w:pPr>
        <w:pStyle w:val="TextBody"/>
        <w:pBdr/>
        <w:spacing w:before="0" w:after="0"/>
        <w:ind w:left="0" w:right="0" w:hanging="432"/>
        <w:jc w:val="both"/>
        <w:rPr/>
      </w:pPr>
      <w:r>
        <w:rPr/>
        <w:t>​</w:t>
      </w:r>
    </w:p>
    <w:tbl>
      <w:tblPr>
        <w:tblW w:w="10205" w:type="dxa"/>
        <w:jc w:val="left"/>
        <w:tblInd w:w="0" w:type="dxa"/>
        <w:tblCellMar>
          <w:top w:w="0" w:type="dxa"/>
          <w:left w:w="0" w:type="dxa"/>
          <w:bottom w:w="0" w:type="dxa"/>
          <w:right w:w="0" w:type="dxa"/>
        </w:tblCellMar>
      </w:tblPr>
      <w:tblGrid>
        <w:gridCol w:w="23"/>
        <w:gridCol w:w="149"/>
        <w:gridCol w:w="10033"/>
      </w:tblGrid>
      <w:tr>
        <w:trPr/>
        <w:tc>
          <w:tcPr>
            <w:tcW w:w="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2.</w:t>
            </w:r>
          </w:p>
        </w:tc>
        <w:tc>
          <w:tcPr>
            <w:tcW w:w="1003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Exercise voting rights on all matters that require discussion and resolution at the shareholders’ meeting, approve and sign resolutions on behalf of me, including but not limited to designating and electing the Company’s directors, supervisors and other senior management personnel who should be appointed and removed by shareholders, disposing the Company’s assets, dissolving or liquidating the Company , joining the liquidation team on behalf of me and exercising the functions and powers of the liquidation team during the liquidation period in accordance with the law;</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3.</w:t>
            </w:r>
          </w:p>
        </w:tc>
        <w:tc>
          <w:tcPr>
            <w:tcW w:w="998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Submit any required documents to the relevant company registration agency or other relevant institutions as my agent;</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56"/>
        <w:gridCol w:w="10026"/>
      </w:tblGrid>
      <w:tr>
        <w:trPr/>
        <w:tc>
          <w:tcPr>
            <w:tcW w:w="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4.</w:t>
            </w:r>
          </w:p>
        </w:tc>
        <w:tc>
          <w:tcPr>
            <w:tcW w:w="1002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Exercise all shareholder rights and shareholder voting rights under applicable Chinese laws, regulations and articles of association as my agent, including but not limited to selling, transferring, pledging or disposing part or all of my equities (including any other shareholder rights and shareholder voting rights stipulated in the articles of association as amended);</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53"/>
        <w:gridCol w:w="10029"/>
      </w:tblGrid>
      <w:tr>
        <w:trPr/>
        <w:tc>
          <w:tcPr>
            <w:tcW w:w="2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5.</w:t>
            </w:r>
          </w:p>
        </w:tc>
        <w:tc>
          <w:tcPr>
            <w:tcW w:w="1002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Sign the relevant equity transfer agreement and other relevant documents on behalf of me, and handle the governmental approval, registration, filing and other procedures required for transfer when the equities of the Company held by me are transferred in accordance with "The Amended and Restated Exclusive Purchase Option Agreement" and "The Amended and Restated Equity Pledge Agreement" separately signed by all parties;</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67"/>
        <w:gridCol w:w="10015"/>
      </w:tblGrid>
      <w:tr>
        <w:trPr/>
        <w:tc>
          <w:tcPr>
            <w:tcW w:w="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6.</w:t>
            </w:r>
          </w:p>
        </w:tc>
        <w:tc>
          <w:tcPr>
            <w:tcW w:w="1001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Instruct the directors and senior managers of the Company to act in accordance with the instructions of the trustee company and its designated person without violating the laws, regulations and articles of association.</w:t>
            </w:r>
          </w:p>
        </w:tc>
      </w:tr>
    </w:tbl>
    <w:p>
      <w:pPr>
        <w:pStyle w:val="TextBody"/>
        <w:spacing w:before="0" w:after="0"/>
        <w:ind w:left="0" w:right="0" w:hanging="0"/>
        <w:jc w:val="both"/>
        <w:rPr/>
      </w:pPr>
      <w:r>
        <w:rPr/>
        <w:t>​</w:t>
      </w:r>
    </w:p>
    <w:p>
      <w:pPr>
        <w:pStyle w:val="TextBody"/>
        <w:spacing w:before="0" w:after="0"/>
        <w:ind w:left="0" w:right="0" w:firstLine="480"/>
        <w:jc w:val="both"/>
        <w:rPr>
          <w:rFonts w:ascii="Times New Roman;Times;serif" w:hAnsi="Times New Roman;Times;serif"/>
          <w:sz w:val="20"/>
        </w:rPr>
      </w:pPr>
      <w:r>
        <w:rPr>
          <w:rFonts w:ascii="Times New Roman;Times;serif" w:hAnsi="Times New Roman;Times;serif"/>
          <w:sz w:val="24"/>
        </w:rPr>
        <w:t>I hereby irrevocably confirm that the validity period of the POA extends to the expiry or early termination of "The Amended and Restated Shareholder Voting Right Trust Agreement" signed by</w:t>
      </w:r>
      <w:r>
        <w:rPr>
          <w:rFonts w:ascii="Times New Roman;Times;serif" w:hAnsi="Times New Roman;Times;serif"/>
          <w:sz w:val="20"/>
        </w:rPr>
        <w:t xml:space="preserve"> </w:t>
      </w:r>
      <w:r>
        <w:rPr>
          <w:rFonts w:ascii="Times New Roman;Times;serif" w:hAnsi="Times New Roman;Times;serif"/>
          <w:sz w:val="24"/>
        </w:rPr>
        <w:t>Hangzhou NetEase Cloud Music Technology Co., Ltd. and me on 18th May 2021.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p>
      <w:pPr>
        <w:pStyle w:val="TextBody"/>
        <w:spacing w:before="0" w:after="0"/>
        <w:ind w:left="0" w:right="0" w:firstLine="480"/>
        <w:jc w:val="both"/>
        <w:rPr>
          <w:rFonts w:ascii="Times New Roman;Times;serif" w:hAnsi="Times New Roman;Times;serif"/>
          <w:sz w:val="24"/>
        </w:rPr>
      </w:pPr>
      <w:r>
        <w:rPr>
          <w:rFonts w:ascii="Times New Roman;Times;serif" w:hAnsi="Times New Roman;Times;serif"/>
          <w:sz w:val="24"/>
        </w:rPr>
        <w:t>Hereby authorized.</w:t>
      </w:r>
    </w:p>
    <w:p>
      <w:pPr>
        <w:pStyle w:val="TextBody"/>
        <w:spacing w:before="0" w:after="0"/>
        <w:ind w:left="0" w:right="0" w:firstLine="480"/>
        <w:jc w:val="both"/>
        <w:rPr/>
      </w:pPr>
      <w:r>
        <w:rPr/>
        <w:t>​</w:t>
      </w:r>
    </w:p>
    <w:p>
      <w:pPr>
        <w:pStyle w:val="TextBody"/>
        <w:spacing w:before="0" w:after="0"/>
        <w:ind w:left="0" w:right="0" w:firstLine="480"/>
        <w:jc w:val="both"/>
        <w:rPr/>
      </w:pPr>
      <w:r>
        <w:rPr/>
        <w:t>​</w:t>
      </w:r>
    </w:p>
    <w:tbl>
      <w:tblPr>
        <w:tblW w:w="3006" w:type="dxa"/>
        <w:jc w:val="left"/>
        <w:tblInd w:w="0" w:type="dxa"/>
        <w:tblCellMar>
          <w:top w:w="0" w:type="dxa"/>
          <w:left w:w="0" w:type="dxa"/>
          <w:bottom w:w="0" w:type="dxa"/>
          <w:right w:w="0" w:type="dxa"/>
        </w:tblCellMar>
      </w:tblPr>
      <w:tblGrid>
        <w:gridCol w:w="124"/>
        <w:gridCol w:w="1066"/>
        <w:gridCol w:w="1816"/>
      </w:tblGrid>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18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William Lei Ding</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81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300" w:name="ntes-20221231xex4d51.htm"/>
      <w:bookmarkStart w:id="2301" w:name="ksntes20221231xex4d51"/>
      <w:bookmarkEnd w:id="2300"/>
      <w:bookmarkEnd w:id="2301"/>
      <w:r>
        <w:rPr>
          <w:rFonts w:ascii="Times New Roman;Times;serif" w:hAnsi="Times New Roman;Times;serif"/>
          <w:b/>
          <w:sz w:val="24"/>
        </w:rPr>
        <w:t>Exhibit 4.51</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LOAN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Loan Agreement (“</w:t>
      </w:r>
      <w:r>
        <w:rPr>
          <w:rFonts w:ascii="Times New Roman;Times;serif" w:hAnsi="Times New Roman;Times;serif"/>
          <w:b/>
          <w:sz w:val="24"/>
        </w:rPr>
        <w:t>this Agreement</w:t>
      </w:r>
      <w:r>
        <w:rPr>
          <w:rFonts w:ascii="Times New Roman;Times;serif" w:hAnsi="Times New Roman;Times;serif"/>
          <w:sz w:val="20"/>
        </w:rPr>
        <w:t>”</w:t>
      </w:r>
      <w:r>
        <w:rPr>
          <w:rFonts w:ascii="Times New Roman;Times;serif" w:hAnsi="Times New Roman;Times;serif"/>
          <w:sz w:val="24"/>
        </w:rPr>
        <w:t>) is entered into by and among the following parties on</w:t>
      </w:r>
      <w:r>
        <w:rPr>
          <w:rFonts w:ascii="Times New Roman;Times;serif" w:hAnsi="Times New Roman;Times;serif"/>
          <w:sz w:val="20"/>
        </w:rPr>
        <w:t xml:space="preserve"> </w:t>
      </w:r>
      <w:r>
        <w:rPr>
          <w:rFonts w:ascii="Times New Roman;Times;serif" w:hAnsi="Times New Roman;Times;serif"/>
          <w:sz w:val="24"/>
        </w:rPr>
        <w:t>November 9, 2022 :</w:t>
      </w:r>
    </w:p>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99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Hangzhou NetEase Cloud Music Technology Co., Ltd. (“</w:t>
            </w:r>
            <w:r>
              <w:rPr>
                <w:rFonts w:ascii="Times New Roman;Times;serif" w:hAnsi="Times New Roman;Times;serif"/>
                <w:b/>
                <w:sz w:val="24"/>
              </w:rPr>
              <w:t>Lender</w:t>
            </w:r>
            <w:r>
              <w:rPr>
                <w:rFonts w:ascii="Times New Roman;Times;serif" w:hAnsi="Times New Roman;Times;serif"/>
                <w:sz w:val="20"/>
              </w:rPr>
              <w:t>”</w:t>
            </w:r>
            <w:r>
              <w:rPr>
                <w:rFonts w:ascii="Times New Roman;Times;serif" w:hAnsi="Times New Roman;Times;serif"/>
                <w:sz w:val="24"/>
              </w:rPr>
              <w:t>), a wholly foreign owned enterprise registered in Hangzhou, People’s Republic of China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with its address at</w:t>
            </w:r>
            <w:r>
              <w:rPr>
                <w:rFonts w:ascii="Times New Roman;Times;serif" w:hAnsi="Times New Roman;Times;serif"/>
                <w:sz w:val="20"/>
              </w:rPr>
              <w:t xml:space="preserve"> </w:t>
            </w:r>
            <w:r>
              <w:rPr>
                <w:rFonts w:ascii="Times New Roman;Times;serif" w:hAnsi="Times New Roman;Times;serif"/>
                <w:sz w:val="24"/>
              </w:rPr>
              <w:t>Room 1201, Block A, Hangzhou International Expo Center, No. 353 Benjing Avenue, Qianjiang Century City, Xiaoshan District, Hangzhou, Zhejiang; and</w:t>
            </w:r>
          </w:p>
        </w:tc>
      </w:tr>
    </w:tbl>
    <w:tbl>
      <w:tblPr>
        <w:tblW w:w="5058" w:type="dxa"/>
        <w:jc w:val="left"/>
        <w:tblInd w:w="0" w:type="dxa"/>
        <w:tblCellMar>
          <w:top w:w="0" w:type="dxa"/>
          <w:left w:w="0" w:type="dxa"/>
          <w:bottom w:w="0" w:type="dxa"/>
          <w:right w:w="0" w:type="dxa"/>
        </w:tblCellMar>
      </w:tblPr>
      <w:tblGrid>
        <w:gridCol w:w="23"/>
        <w:gridCol w:w="290"/>
        <w:gridCol w:w="474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745" w:type="dxa"/>
            <w:tcBorders/>
            <w:shd w:fill="auto" w:val="clear"/>
            <w:vAlign w:val="center"/>
          </w:tcPr>
          <w:p>
            <w:pPr>
              <w:pStyle w:val="TableContents"/>
              <w:spacing w:before="0" w:after="240"/>
              <w:jc w:val="both"/>
              <w:rPr/>
            </w:pPr>
            <w:r>
              <w:rPr>
                <w:rFonts w:ascii="Times New Roman;Times;serif" w:hAnsi="Times New Roman;Times;serif"/>
                <w:sz w:val="24"/>
              </w:rPr>
              <w:t>Dong Zhang, a PRC citizen</w:t>
            </w:r>
            <w:r>
              <w:rPr>
                <w:rFonts w:eastAsia="Times New Roman;Times;serif"/>
                <w:sz w:val="24"/>
              </w:rPr>
              <w:t>（</w:t>
            </w:r>
            <w:r>
              <w:rPr>
                <w:rFonts w:ascii="Times New Roman;Times;serif" w:hAnsi="Times New Roman;Times;serif"/>
                <w:sz w:val="24"/>
              </w:rPr>
              <w:t>the “</w:t>
            </w:r>
            <w:r>
              <w:rPr>
                <w:rFonts w:ascii="Times New Roman;Times;serif" w:hAnsi="Times New Roman;Times;serif"/>
                <w:b/>
                <w:sz w:val="24"/>
              </w:rPr>
              <w:t>Borrower</w:t>
            </w:r>
            <w:r>
              <w:rPr>
                <w:rFonts w:ascii="Times New Roman;Times;serif" w:hAnsi="Times New Roman;Times;serif"/>
                <w:sz w:val="20"/>
              </w:rPr>
              <w:t>”</w:t>
            </w:r>
            <w:r>
              <w:rPr>
                <w:rFonts w:eastAsia="Times New Roman;Times;serif"/>
                <w:sz w:val="24"/>
              </w:rPr>
              <w:t>）</w:t>
            </w:r>
            <w:r>
              <w:rPr>
                <w:rFonts w:ascii="Times New Roman;Times;serif" w:hAnsi="Times New Roman;Times;serif"/>
                <w:sz w:val="24"/>
              </w:rPr>
              <w: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Lender and Borrower are hereinafter jointly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individually, as a “</w:t>
      </w:r>
      <w:r>
        <w:rPr>
          <w:rFonts w:ascii="Times New Roman;Times;serif" w:hAnsi="Times New Roman;Times;serif"/>
          <w:b/>
          <w:sz w:val="24"/>
        </w:rPr>
        <w:t>Party</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w:t>
      </w:r>
    </w:p>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2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Borrower intends to make</w:t>
            </w:r>
            <w:r>
              <w:rPr>
                <w:rFonts w:ascii="Times New Roman;Times;serif" w:hAnsi="Times New Roman;Times;serif"/>
                <w:sz w:val="20"/>
              </w:rPr>
              <w:t xml:space="preserve"> </w:t>
            </w:r>
            <w:r>
              <w:rPr>
                <w:rFonts w:ascii="Times New Roman;Times;serif" w:hAnsi="Times New Roman;Times;serif"/>
                <w:sz w:val="24"/>
              </w:rPr>
              <w:t>an investment of RMB 100,000 (the “</w:t>
            </w:r>
            <w:r>
              <w:rPr>
                <w:rFonts w:ascii="Times New Roman;Times;serif" w:hAnsi="Times New Roman;Times;serif"/>
                <w:b/>
                <w:sz w:val="24"/>
              </w:rPr>
              <w:t>Capital Contribution Amount”</w:t>
            </w:r>
            <w:r>
              <w:rPr>
                <w:rFonts w:ascii="Times New Roman;Times;serif" w:hAnsi="Times New Roman;Times;serif"/>
                <w:sz w:val="24"/>
              </w:rPr>
              <w:t>) in the registered capital of</w:t>
            </w:r>
            <w:r>
              <w:rPr>
                <w:rFonts w:ascii="Times New Roman;Times;serif" w:hAnsi="Times New Roman;Times;serif"/>
                <w:sz w:val="20"/>
              </w:rPr>
              <w:t xml:space="preserve"> </w:t>
            </w:r>
            <w:r>
              <w:rPr>
                <w:rFonts w:ascii="Times New Roman;Times;serif" w:hAnsi="Times New Roman;Times;serif"/>
                <w:sz w:val="24"/>
              </w:rPr>
              <w:t>Hangzhou Yuedu Technology Co., Ltd., a limited liability company registered in Hangzhou, PRC with its address at</w:t>
            </w:r>
            <w:r>
              <w:rPr>
                <w:rFonts w:ascii="Times New Roman;Times;serif" w:hAnsi="Times New Roman;Times;serif"/>
                <w:sz w:val="20"/>
              </w:rPr>
              <w:t xml:space="preserve"> </w:t>
            </w:r>
            <w:r>
              <w:rPr>
                <w:rFonts w:ascii="Times New Roman;Times;serif" w:hAnsi="Times New Roman;Times;serif"/>
                <w:sz w:val="24"/>
              </w:rPr>
              <w:t>Room 1202, Block A, Hangzhou International Expo Center, No. 353 Benjing Avenue, Qianjiang Century City, Ningwei Street, Xiaoshan District, Hangzhou, Zhejiang (the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in return for which the Borrower has acquired 1% (the “</w:t>
            </w:r>
            <w:r>
              <w:rPr>
                <w:rFonts w:ascii="Times New Roman;Times;serif" w:hAnsi="Times New Roman;Times;serif"/>
                <w:b/>
                <w:sz w:val="24"/>
              </w:rPr>
              <w:t>Target Equity</w:t>
            </w:r>
            <w:r>
              <w:rPr>
                <w:rFonts w:ascii="Times New Roman;Times;serif" w:hAnsi="Times New Roman;Times;serif"/>
                <w:sz w:val="20"/>
              </w:rPr>
              <w:t>”</w:t>
            </w:r>
            <w:r>
              <w:rPr>
                <w:rFonts w:ascii="Times New Roman;Times;serif" w:hAnsi="Times New Roman;Times;serif"/>
                <w:sz w:val="24"/>
              </w:rPr>
              <w:t>) of the equity interest in the Domestic Company.</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Lender agrees to provide to the Borrower a loan in an amount equal to the Capital Contribution Amount in accordance with this Agreement, in order for Borrower to have sufficient funds to make such capital contribution in return for the Target Equity. Lender may in its absolute discretion provide to Borrower additional loans from time to time in accordance with this Agreement, in amounts as agreed to by Lender and Borrower.</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hereto desire to enter into this Agreement to clarify and confirm the rights and obligations of Lender and Borrower.</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Therefore</w:t>
      </w:r>
      <w:r>
        <w:rPr>
          <w:rFonts w:ascii="Times New Roman;Times;serif" w:hAnsi="Times New Roman;Times;serif"/>
          <w:sz w:val="24"/>
        </w:rPr>
        <w:t>, the Parties enter into this Agreement as follows upon friendly negotiation:</w:t>
      </w:r>
    </w:p>
    <w:tbl>
      <w:tblPr>
        <w:tblW w:w="715" w:type="dxa"/>
        <w:jc w:val="left"/>
        <w:tblInd w:w="0" w:type="dxa"/>
        <w:tblCellMar>
          <w:top w:w="0" w:type="dxa"/>
          <w:left w:w="0" w:type="dxa"/>
          <w:bottom w:w="0" w:type="dxa"/>
          <w:right w:w="0" w:type="dxa"/>
        </w:tblCellMar>
      </w:tblPr>
      <w:tblGrid>
        <w:gridCol w:w="200"/>
        <w:gridCol w:w="51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w:t>
            </w:r>
          </w:p>
        </w:tc>
        <w:tc>
          <w:tcPr>
            <w:tcW w:w="51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Loan</w:t>
            </w:r>
          </w:p>
        </w:tc>
      </w:tr>
    </w:tbl>
    <w:tbl>
      <w:tblPr>
        <w:tblW w:w="10205" w:type="dxa"/>
        <w:jc w:val="left"/>
        <w:tblInd w:w="0" w:type="dxa"/>
        <w:tblCellMar>
          <w:top w:w="0" w:type="dxa"/>
          <w:left w:w="0" w:type="dxa"/>
          <w:bottom w:w="0" w:type="dxa"/>
          <w:right w:w="0" w:type="dxa"/>
        </w:tblCellMar>
      </w:tblPr>
      <w:tblGrid>
        <w:gridCol w:w="23"/>
        <w:gridCol w:w="325"/>
        <w:gridCol w:w="9857"/>
      </w:tblGrid>
      <w:tr>
        <w:trPr/>
        <w:tc>
          <w:tcPr>
            <w:tcW w:w="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985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On and subject to the terms and conditions hereof, Lender provides Borrower with a loan in an aggregate amount of RMB100,000Yuan</w:t>
            </w:r>
            <w:r>
              <w:rPr>
                <w:rFonts w:ascii="Times New Roman;Times;serif" w:hAnsi="Times New Roman;Times;serif"/>
                <w:sz w:val="20"/>
              </w:rPr>
              <w:t xml:space="preserve"> </w:t>
            </w:r>
            <w:r>
              <w:rPr>
                <w:rFonts w:ascii="Times New Roman;Times;serif" w:hAnsi="Times New Roman;Times;serif"/>
                <w:sz w:val="24"/>
              </w:rPr>
              <w:t>on the date hereof (the “</w:t>
            </w:r>
            <w:r>
              <w:rPr>
                <w:rFonts w:ascii="Times New Roman;Times;serif" w:hAnsi="Times New Roman;Times;serif"/>
                <w:b/>
                <w:sz w:val="24"/>
              </w:rPr>
              <w:t>Loan</w:t>
            </w:r>
            <w:r>
              <w:rPr>
                <w:rFonts w:ascii="Times New Roman;Times;serif" w:hAnsi="Times New Roman;Times;serif"/>
                <w:sz w:val="20"/>
              </w:rPr>
              <w:t>”</w:t>
            </w:r>
            <w:r>
              <w:rPr>
                <w:rFonts w:ascii="Times New Roman;Times;serif" w:hAnsi="Times New Roman;Times;serif"/>
                <w:sz w:val="24"/>
              </w:rPr>
              <w:t>, which term shall be deemed to include Additional Loans (as defined in the following sentence), if any). Lender and Borrower further agree that Lender may in its absolute discretion provide to Borrower one or more additional loans (“</w:t>
            </w:r>
            <w:r>
              <w:rPr>
                <w:rFonts w:ascii="Times New Roman;Times;serif" w:hAnsi="Times New Roman;Times;serif"/>
                <w:b/>
                <w:sz w:val="24"/>
              </w:rPr>
              <w:t>Additional Loan</w:t>
            </w:r>
            <w:r>
              <w:rPr>
                <w:rFonts w:ascii="Times New Roman;Times;serif" w:hAnsi="Times New Roman;Times;serif"/>
                <w:sz w:val="20"/>
              </w:rPr>
              <w:t>”</w:t>
            </w:r>
            <w:r>
              <w:rPr>
                <w:rFonts w:ascii="Times New Roman;Times;serif" w:hAnsi="Times New Roman;Times;serif"/>
                <w:sz w:val="24"/>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Times New Roman;Times;serif" w:hAnsi="Times New Roman;Times;serif"/>
                <w:sz w:val="24"/>
                <w:u w:val="single"/>
              </w:rPr>
              <w:t>Exhibit A</w:t>
            </w:r>
            <w:r>
              <w:rPr>
                <w:rFonts w:ascii="Times New Roman;Times;serif" w:hAnsi="Times New Roman;Times;serif"/>
                <w:sz w:val="24"/>
              </w:rPr>
              <w:t>. Both Parties agree and confirm that the Loan shall be interest-free, except as provided in Article 1.5 below. The Borrower agrees to use the Loan to pay for the Capital Contribution Amount to acquire the Target Equity and, unless with the prior written consent of the Lender, will not use the Loan for any other purpose.</w:t>
            </w:r>
          </w:p>
        </w:tc>
      </w:tr>
    </w:tbl>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32"/>
        <w:gridCol w:w="9850"/>
      </w:tblGrid>
      <w:tr>
        <w:trPr/>
        <w:tc>
          <w:tcPr>
            <w:tcW w:w="2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98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term of this Agreement (“</w:t>
            </w:r>
            <w:r>
              <w:rPr>
                <w:rFonts w:ascii="Times New Roman;Times;serif" w:hAnsi="Times New Roman;Times;serif"/>
                <w:b/>
                <w:sz w:val="24"/>
              </w:rPr>
              <w:t>Term</w:t>
            </w:r>
            <w:r>
              <w:rPr>
                <w:rFonts w:ascii="Times New Roman;Times;serif" w:hAnsi="Times New Roman;Times;serif"/>
                <w:sz w:val="20"/>
              </w:rPr>
              <w:t>”</w:t>
            </w:r>
            <w:r>
              <w:rPr>
                <w:rFonts w:ascii="Times New Roman;Times;serif" w:hAnsi="Times New Roman;Times;serif"/>
                <w:sz w:val="24"/>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tc>
      </w:tr>
    </w:tbl>
    <w:tbl>
      <w:tblPr>
        <w:tblW w:w="10205" w:type="dxa"/>
        <w:jc w:val="left"/>
        <w:tblInd w:w="0" w:type="dxa"/>
        <w:tblCellMar>
          <w:top w:w="0" w:type="dxa"/>
          <w:left w:w="0" w:type="dxa"/>
          <w:bottom w:w="0" w:type="dxa"/>
          <w:right w:w="0" w:type="dxa"/>
        </w:tblCellMar>
      </w:tblPr>
      <w:tblGrid>
        <w:gridCol w:w="23"/>
        <w:gridCol w:w="331"/>
        <w:gridCol w:w="9851"/>
      </w:tblGrid>
      <w:tr>
        <w:trPr/>
        <w:tc>
          <w:tcPr>
            <w:tcW w:w="2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98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becomes deceased, bankrupt, mentally incapacitated or is otherwise lacking in or has limitations in civil capacity;</w:t>
            </w:r>
          </w:p>
        </w:tc>
      </w:tr>
    </w:tbl>
    <w:tbl>
      <w:tblPr>
        <w:tblW w:w="10205" w:type="dxa"/>
        <w:jc w:val="left"/>
        <w:tblInd w:w="0" w:type="dxa"/>
        <w:tblCellMar>
          <w:top w:w="0" w:type="dxa"/>
          <w:left w:w="0" w:type="dxa"/>
          <w:bottom w:w="0" w:type="dxa"/>
          <w:right w:w="0" w:type="dxa"/>
        </w:tblCellMar>
      </w:tblPr>
      <w:tblGrid>
        <w:gridCol w:w="23"/>
        <w:gridCol w:w="243"/>
        <w:gridCol w:w="9939"/>
      </w:tblGrid>
      <w:tr>
        <w:trPr/>
        <w:tc>
          <w:tcPr>
            <w:tcW w:w="2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3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for any reason, ceases to be the holder of equity interests in the Domestic Company or reduces his proportion of equity interests in the Domestic Company except for transfers of equity interests in the Domestic Company to which Lender has consented;</w:t>
            </w:r>
          </w:p>
        </w:tc>
      </w:tr>
    </w:tbl>
    <w:tbl>
      <w:tblPr>
        <w:tblW w:w="10205" w:type="dxa"/>
        <w:jc w:val="left"/>
        <w:tblInd w:w="0" w:type="dxa"/>
        <w:tblCellMar>
          <w:top w:w="0" w:type="dxa"/>
          <w:left w:w="0" w:type="dxa"/>
          <w:bottom w:w="0" w:type="dxa"/>
          <w:right w:w="0" w:type="dxa"/>
        </w:tblCellMar>
      </w:tblPr>
      <w:tblGrid>
        <w:gridCol w:w="23"/>
        <w:gridCol w:w="208"/>
        <w:gridCol w:w="9974"/>
      </w:tblGrid>
      <w:tr>
        <w:trPr/>
        <w:tc>
          <w:tcPr>
            <w:tcW w:w="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7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Times New Roman;Times;serif" w:hAnsi="Times New Roman;Times;serif"/>
                <w:b/>
                <w:sz w:val="24"/>
              </w:rPr>
              <w:t>Transaction Documents</w:t>
            </w:r>
            <w:r>
              <w:rPr>
                <w:rFonts w:ascii="Times New Roman;Times;serif" w:hAnsi="Times New Roman;Times;serif"/>
                <w:sz w:val="20"/>
              </w:rPr>
              <w:t>”</w:t>
            </w:r>
            <w:r>
              <w:rPr>
                <w:rFonts w:ascii="Times New Roman;Times;serif" w:hAnsi="Times New Roman;Times;serif"/>
                <w:sz w:val="24"/>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tc>
      </w:tr>
    </w:tbl>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is permitted to acquire a direct equity interest in Domestic Company due to a change in PRC laws or regulations or the application or interpretation thereof; or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44"/>
        <w:gridCol w:w="9938"/>
      </w:tblGrid>
      <w:tr>
        <w:trPr/>
        <w:tc>
          <w:tcPr>
            <w:tcW w:w="2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3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 court or other government authority deems this Agreement or any of the Transaction Documents or a substantial portion thereof to be invalid, illegal or unenforceable.</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98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w:t>
            </w:r>
            <w:r>
              <w:rPr>
                <w:rFonts w:ascii="Times New Roman;Times;serif" w:hAnsi="Times New Roman;Times;serif"/>
                <w:sz w:val="20"/>
              </w:rPr>
              <w:t xml:space="preserve"> </w:t>
            </w:r>
            <w:r>
              <w:rPr>
                <w:rFonts w:ascii="Times New Roman;Times;serif" w:hAnsi="Times New Roman;Times;serif"/>
                <w:sz w:val="24"/>
              </w:rPr>
              <w:t>either of</w:t>
            </w:r>
            <w:r>
              <w:rPr>
                <w:rFonts w:ascii="Times New Roman;Times;serif" w:hAnsi="Times New Roman;Times;serif"/>
                <w:sz w:val="20"/>
              </w:rPr>
              <w:t xml:space="preserve"> </w:t>
            </w:r>
            <w:r>
              <w:rPr>
                <w:rFonts w:ascii="Times New Roman;Times;serif" w:hAnsi="Times New Roman;Times;serif"/>
                <w:sz w:val="24"/>
              </w:rPr>
              <w:t>these methods:</w:t>
            </w:r>
          </w:p>
        </w:tc>
      </w:tr>
    </w:tbl>
    <w:tbl>
      <w:tblPr>
        <w:tblW w:w="10205" w:type="dxa"/>
        <w:jc w:val="left"/>
        <w:tblInd w:w="0" w:type="dxa"/>
        <w:tblCellMar>
          <w:top w:w="0" w:type="dxa"/>
          <w:left w:w="0" w:type="dxa"/>
          <w:bottom w:w="0" w:type="dxa"/>
          <w:right w:w="0" w:type="dxa"/>
        </w:tblCellMar>
      </w:tblPr>
      <w:tblGrid>
        <w:gridCol w:w="23"/>
        <w:gridCol w:w="237"/>
        <w:gridCol w:w="9945"/>
      </w:tblGrid>
      <w:tr>
        <w:trPr/>
        <w:tc>
          <w:tcPr>
            <w:tcW w:w="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Equity Option. If selected by Lender, Borrower shall repay the Loan by transferring his equity interests in the Domestic Company (“</w:t>
            </w:r>
            <w:r>
              <w:rPr>
                <w:rFonts w:ascii="Times New Roman;Times;serif" w:hAnsi="Times New Roman;Times;serif"/>
                <w:b/>
                <w:sz w:val="24"/>
              </w:rPr>
              <w:t>Borrower’s Equity</w:t>
            </w:r>
            <w:r>
              <w:rPr>
                <w:rFonts w:ascii="Times New Roman;Times;serif" w:hAnsi="Times New Roman;Times;serif"/>
                <w:sz w:val="20"/>
              </w:rPr>
              <w:t>”</w:t>
            </w:r>
            <w:r>
              <w:rPr>
                <w:rFonts w:ascii="Times New Roman;Times;serif" w:hAnsi="Times New Roman;Times;serif"/>
                <w:sz w:val="24"/>
              </w:rPr>
              <w:t>) to Lender or Lender’s designated persons; or</w:t>
            </w:r>
          </w:p>
        </w:tc>
      </w:tr>
    </w:tbl>
    <w:tbl>
      <w:tblPr>
        <w:tblW w:w="10205" w:type="dxa"/>
        <w:jc w:val="left"/>
        <w:tblInd w:w="0" w:type="dxa"/>
        <w:tblCellMar>
          <w:top w:w="0" w:type="dxa"/>
          <w:left w:w="0" w:type="dxa"/>
          <w:bottom w:w="0" w:type="dxa"/>
          <w:right w:w="0" w:type="dxa"/>
        </w:tblCellMar>
      </w:tblPr>
      <w:tblGrid>
        <w:gridCol w:w="23"/>
        <w:gridCol w:w="230"/>
        <w:gridCol w:w="9952"/>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tc>
      </w:tr>
    </w:tbl>
    <w:tbl>
      <w:tblPr>
        <w:tblW w:w="10205" w:type="dxa"/>
        <w:jc w:val="left"/>
        <w:tblInd w:w="0" w:type="dxa"/>
        <w:tblCellMar>
          <w:top w:w="0" w:type="dxa"/>
          <w:left w:w="0" w:type="dxa"/>
          <w:bottom w:w="0" w:type="dxa"/>
          <w:right w:w="0" w:type="dxa"/>
        </w:tblCellMar>
      </w:tblPr>
      <w:tblGrid>
        <w:gridCol w:w="23"/>
        <w:gridCol w:w="330"/>
        <w:gridCol w:w="9852"/>
      </w:tblGrid>
      <w:tr>
        <w:trPr/>
        <w:tc>
          <w:tcPr>
            <w:tcW w:w="2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985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If the transfer price for Borrower’s Equity pursuant to Article 1.4(a) or the other consideration provided by Borrower pursuant to Article 1.4(b) exceeds the outstanding principal of the Loan hereunder, then such excess shall be deemed the aggregate interest</w:t>
            </w:r>
            <w:r>
              <w:rPr>
                <w:rFonts w:ascii="Times New Roman;Times;serif" w:hAnsi="Times New Roman;Times;serif"/>
                <w:sz w:val="20"/>
              </w:rPr>
              <w:t xml:space="preserve"> </w:t>
            </w:r>
            <w:r>
              <w:rPr>
                <w:rFonts w:ascii="Times New Roman;Times;serif" w:hAnsi="Times New Roman;Times;serif"/>
                <w:sz w:val="24"/>
              </w:rPr>
              <w:t>upon the loan (calculated by the highest permitted by the PRC laws) and</w:t>
            </w:r>
            <w:r>
              <w:rPr>
                <w:rFonts w:ascii="Times New Roman;Times;serif" w:hAnsi="Times New Roman;Times;serif"/>
                <w:sz w:val="20"/>
              </w:rPr>
              <w:t xml:space="preserve"> </w:t>
            </w:r>
            <w:r>
              <w:rPr>
                <w:rFonts w:ascii="Times New Roman;Times;serif" w:hAnsi="Times New Roman;Times;serif"/>
                <w:sz w:val="24"/>
              </w:rPr>
              <w:t>financing cost. Borrower shall repay all interest on the Loan, together with</w:t>
            </w:r>
            <w:r>
              <w:rPr>
                <w:rFonts w:ascii="Times New Roman;Times;serif" w:hAnsi="Times New Roman;Times;serif"/>
                <w:sz w:val="20"/>
              </w:rPr>
              <w:t xml:space="preserve"> </w:t>
            </w:r>
            <w:r>
              <w:rPr>
                <w:rFonts w:ascii="Times New Roman;Times;serif" w:hAnsi="Times New Roman;Times;serif"/>
                <w:sz w:val="24"/>
              </w:rPr>
              <w:t>principal and financing cost, at the expiry or termination of the Term or when otherwise required hereunder.</w:t>
            </w:r>
          </w:p>
        </w:tc>
      </w:tr>
    </w:tbl>
    <w:tbl>
      <w:tblPr>
        <w:tblW w:w="10205" w:type="dxa"/>
        <w:jc w:val="left"/>
        <w:tblInd w:w="0" w:type="dxa"/>
        <w:tblCellMar>
          <w:top w:w="0" w:type="dxa"/>
          <w:left w:w="0" w:type="dxa"/>
          <w:bottom w:w="0" w:type="dxa"/>
          <w:right w:w="0" w:type="dxa"/>
        </w:tblCellMar>
      </w:tblPr>
      <w:tblGrid>
        <w:gridCol w:w="23"/>
        <w:gridCol w:w="333"/>
        <w:gridCol w:w="9849"/>
      </w:tblGrid>
      <w:tr>
        <w:trPr/>
        <w:tc>
          <w:tcPr>
            <w:tcW w:w="2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98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Provided Borrower repays the Loan by transferring all of Borrower’s Equity to Lender or Lender’s designated persons pursuant to Article 1.4(a) or provides the other required consideration pursuant to Article 1.4(b), and subject to Borrower’s indemnification obligations set forth in Article 4.2 herein, Borrower shall have no further obligation to Lender for any principal, interest or penalty (if any) under the Loan.</w:t>
            </w:r>
          </w:p>
        </w:tc>
      </w:tr>
    </w:tbl>
    <w:tbl>
      <w:tblPr>
        <w:tblW w:w="10205" w:type="dxa"/>
        <w:jc w:val="left"/>
        <w:tblInd w:w="0" w:type="dxa"/>
        <w:tblCellMar>
          <w:top w:w="0" w:type="dxa"/>
          <w:left w:w="0" w:type="dxa"/>
          <w:bottom w:w="0" w:type="dxa"/>
          <w:right w:w="0" w:type="dxa"/>
        </w:tblCellMar>
      </w:tblPr>
      <w:tblGrid>
        <w:gridCol w:w="23"/>
        <w:gridCol w:w="368"/>
        <w:gridCol w:w="9814"/>
      </w:tblGrid>
      <w:tr>
        <w:trPr/>
        <w:tc>
          <w:tcPr>
            <w:tcW w:w="2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1.7.</w:t>
            </w:r>
          </w:p>
        </w:tc>
        <w:tc>
          <w:tcPr>
            <w:tcW w:w="981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part or whole of the Loan repaid by Borrower may not be re-borrowed under this Agreement without Lender’s consent.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3520" w:type="dxa"/>
        <w:jc w:val="left"/>
        <w:tblInd w:w="0" w:type="dxa"/>
        <w:tblCellMar>
          <w:top w:w="0" w:type="dxa"/>
          <w:left w:w="0" w:type="dxa"/>
          <w:bottom w:w="0" w:type="dxa"/>
          <w:right w:w="0" w:type="dxa"/>
        </w:tblCellMar>
      </w:tblPr>
      <w:tblGrid>
        <w:gridCol w:w="200"/>
        <w:gridCol w:w="33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2.</w:t>
            </w:r>
          </w:p>
        </w:tc>
        <w:tc>
          <w:tcPr>
            <w:tcW w:w="3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Representations and Warranties</w:t>
            </w:r>
          </w:p>
        </w:tc>
      </w:tr>
    </w:tbl>
    <w:tbl>
      <w:tblPr>
        <w:tblW w:w="10205" w:type="dxa"/>
        <w:jc w:val="left"/>
        <w:tblInd w:w="0" w:type="dxa"/>
        <w:tblCellMar>
          <w:top w:w="0" w:type="dxa"/>
          <w:left w:w="0" w:type="dxa"/>
          <w:bottom w:w="0" w:type="dxa"/>
          <w:right w:w="0" w:type="dxa"/>
        </w:tblCellMar>
      </w:tblPr>
      <w:tblGrid>
        <w:gridCol w:w="23"/>
        <w:gridCol w:w="354"/>
        <w:gridCol w:w="9828"/>
      </w:tblGrid>
      <w:tr>
        <w:trPr/>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98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through the date of termination or expiration of this Agreement, Lender represents and warrants to Borrower as follows:</w:t>
            </w:r>
          </w:p>
        </w:tc>
      </w:tr>
    </w:tbl>
    <w:tbl>
      <w:tblPr>
        <w:tblW w:w="8748" w:type="dxa"/>
        <w:jc w:val="left"/>
        <w:tblInd w:w="0" w:type="dxa"/>
        <w:tblCellMar>
          <w:top w:w="0" w:type="dxa"/>
          <w:left w:w="0" w:type="dxa"/>
          <w:bottom w:w="0" w:type="dxa"/>
          <w:right w:w="0" w:type="dxa"/>
        </w:tblCellMar>
      </w:tblPr>
      <w:tblGrid>
        <w:gridCol w:w="23"/>
        <w:gridCol w:w="275"/>
        <w:gridCol w:w="84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84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is a wholly foreign owned enterprise duly registered and existing under PRC law.</w:t>
            </w:r>
          </w:p>
        </w:tc>
      </w:tr>
    </w:tbl>
    <w:tbl>
      <w:tblPr>
        <w:tblW w:w="10205" w:type="dxa"/>
        <w:jc w:val="left"/>
        <w:tblInd w:w="0" w:type="dxa"/>
        <w:tblCellMar>
          <w:top w:w="0" w:type="dxa"/>
          <w:left w:w="0" w:type="dxa"/>
          <w:bottom w:w="0" w:type="dxa"/>
          <w:right w:w="0" w:type="dxa"/>
        </w:tblCellMar>
      </w:tblPr>
      <w:tblGrid>
        <w:gridCol w:w="23"/>
        <w:gridCol w:w="233"/>
        <w:gridCol w:w="9949"/>
      </w:tblGrid>
      <w:tr>
        <w:trPr/>
        <w:tc>
          <w:tcPr>
            <w:tcW w:w="2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tc>
      </w:tr>
    </w:tbl>
    <w:tbl>
      <w:tblPr>
        <w:tblW w:w="9783" w:type="dxa"/>
        <w:jc w:val="left"/>
        <w:tblInd w:w="0" w:type="dxa"/>
        <w:tblCellMar>
          <w:top w:w="0" w:type="dxa"/>
          <w:left w:w="0" w:type="dxa"/>
          <w:bottom w:w="0" w:type="dxa"/>
          <w:right w:w="0" w:type="dxa"/>
        </w:tblCellMar>
      </w:tblPr>
      <w:tblGrid>
        <w:gridCol w:w="23"/>
        <w:gridCol w:w="290"/>
        <w:gridCol w:w="947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4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of Lender upon execution.</w:t>
            </w:r>
          </w:p>
        </w:tc>
      </w:tr>
    </w:tbl>
    <w:tbl>
      <w:tblPr>
        <w:tblW w:w="10205" w:type="dxa"/>
        <w:jc w:val="left"/>
        <w:tblInd w:w="0" w:type="dxa"/>
        <w:tblCellMar>
          <w:top w:w="0" w:type="dxa"/>
          <w:left w:w="0" w:type="dxa"/>
          <w:bottom w:w="0" w:type="dxa"/>
          <w:right w:w="0" w:type="dxa"/>
        </w:tblCellMar>
      </w:tblPr>
      <w:tblGrid>
        <w:gridCol w:w="23"/>
        <w:gridCol w:w="354"/>
        <w:gridCol w:w="9828"/>
      </w:tblGrid>
      <w:tr>
        <w:trPr/>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98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through the date of termination or expiration of this Agreement, Borrower represents and warrants to Lender as follows:</w:t>
            </w:r>
          </w:p>
        </w:tc>
      </w:tr>
    </w:tbl>
    <w:tbl>
      <w:tblPr>
        <w:tblW w:w="10205" w:type="dxa"/>
        <w:jc w:val="left"/>
        <w:tblInd w:w="0" w:type="dxa"/>
        <w:tblCellMar>
          <w:top w:w="0" w:type="dxa"/>
          <w:left w:w="0" w:type="dxa"/>
          <w:bottom w:w="0" w:type="dxa"/>
          <w:right w:w="0" w:type="dxa"/>
        </w:tblCellMar>
      </w:tblPr>
      <w:tblGrid>
        <w:gridCol w:w="23"/>
        <w:gridCol w:w="245"/>
        <w:gridCol w:w="9937"/>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Domestic Company is a limited liability company duly registered and existing under PRC law and Borrower is or will be the lawful holder of Borrower’s Equity.</w:t>
            </w:r>
          </w:p>
        </w:tc>
      </w:tr>
    </w:tbl>
    <w:tbl>
      <w:tblPr>
        <w:tblW w:w="9693" w:type="dxa"/>
        <w:jc w:val="left"/>
        <w:tblInd w:w="0" w:type="dxa"/>
        <w:tblCellMar>
          <w:top w:w="0" w:type="dxa"/>
          <w:left w:w="0" w:type="dxa"/>
          <w:bottom w:w="0" w:type="dxa"/>
          <w:right w:w="0" w:type="dxa"/>
        </w:tblCellMar>
      </w:tblPr>
      <w:tblGrid>
        <w:gridCol w:w="23"/>
        <w:gridCol w:w="290"/>
        <w:gridCol w:w="938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38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has the power and capacity to execute and perform his obligations under this Agreement.</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tc>
      </w:tr>
    </w:tbl>
    <w:tbl>
      <w:tblPr>
        <w:tblW w:w="10068" w:type="dxa"/>
        <w:jc w:val="left"/>
        <w:tblInd w:w="0" w:type="dxa"/>
        <w:tblCellMar>
          <w:top w:w="0" w:type="dxa"/>
          <w:left w:w="0" w:type="dxa"/>
          <w:bottom w:w="0" w:type="dxa"/>
          <w:right w:w="0" w:type="dxa"/>
        </w:tblCellMar>
      </w:tblPr>
      <w:tblGrid>
        <w:gridCol w:w="23"/>
        <w:gridCol w:w="290"/>
        <w:gridCol w:w="975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7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on Borrower upon execution.</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in accordance with the provisions of the Equity Pledge Agreement or otherwise agreed by relevant parties, Borrower has not (i) created any mortgage, pledge or other security interests on any whole or part of</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240"/>
        <w:ind w:left="2160" w:right="0" w:hanging="0"/>
        <w:jc w:val="both"/>
        <w:rPr>
          <w:rFonts w:ascii="Times New Roman;Times;serif" w:hAnsi="Times New Roman;Times;serif"/>
          <w:sz w:val="24"/>
        </w:rPr>
      </w:pPr>
      <w:r>
        <w:rPr>
          <w:rFonts w:ascii="Times New Roman;Times;serif" w:hAnsi="Times New Roman;Times;serif"/>
          <w:sz w:val="24"/>
        </w:rPr>
        <w:t>Borrower’s Equity, (ii) made any offer to any third party or accepted any offer made by any third party for the transfer of any whole or part of Borrower’s Equity, or (iii)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9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tc>
      </w:tr>
    </w:tbl>
    <w:tbl>
      <w:tblPr>
        <w:tblW w:w="2845" w:type="dxa"/>
        <w:jc w:val="left"/>
        <w:tblInd w:w="0" w:type="dxa"/>
        <w:tblCellMar>
          <w:top w:w="0" w:type="dxa"/>
          <w:left w:w="0" w:type="dxa"/>
          <w:bottom w:w="0" w:type="dxa"/>
          <w:right w:w="0" w:type="dxa"/>
        </w:tblCellMar>
      </w:tblPr>
      <w:tblGrid>
        <w:gridCol w:w="200"/>
        <w:gridCol w:w="264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3.</w:t>
            </w:r>
          </w:p>
        </w:tc>
        <w:tc>
          <w:tcPr>
            <w:tcW w:w="264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Borrower’s Undertakings</w:t>
            </w:r>
          </w:p>
        </w:tc>
      </w:tr>
    </w:tbl>
    <w:tbl>
      <w:tblPr>
        <w:tblW w:w="10205" w:type="dxa"/>
        <w:jc w:val="left"/>
        <w:tblInd w:w="0" w:type="dxa"/>
        <w:tblCellMar>
          <w:top w:w="0" w:type="dxa"/>
          <w:left w:w="0" w:type="dxa"/>
          <w:bottom w:w="0" w:type="dxa"/>
          <w:right w:w="0" w:type="dxa"/>
        </w:tblCellMar>
      </w:tblPr>
      <w:tblGrid>
        <w:gridCol w:w="23"/>
        <w:gridCol w:w="346"/>
        <w:gridCol w:w="9836"/>
      </w:tblGrid>
      <w:tr>
        <w:trPr/>
        <w:tc>
          <w:tcPr>
            <w:tcW w:w="2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3.1.</w:t>
            </w:r>
          </w:p>
        </w:tc>
        <w:tc>
          <w:tcPr>
            <w:tcW w:w="98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undertakes in his capacity as a shareholder of the Domestic Company that Borrower will, and together with the other shareholder(s) of the Domestic Company will cause the Domestic Company to (as applicable):</w:t>
            </w:r>
          </w:p>
        </w:tc>
      </w:tr>
    </w:tbl>
    <w:tbl>
      <w:tblPr>
        <w:tblW w:w="3918" w:type="dxa"/>
        <w:jc w:val="left"/>
        <w:tblInd w:w="0" w:type="dxa"/>
        <w:tblCellMar>
          <w:top w:w="0" w:type="dxa"/>
          <w:left w:w="0" w:type="dxa"/>
          <w:bottom w:w="0" w:type="dxa"/>
          <w:right w:w="0" w:type="dxa"/>
        </w:tblCellMar>
      </w:tblPr>
      <w:tblGrid>
        <w:gridCol w:w="23"/>
        <w:gridCol w:w="275"/>
        <w:gridCol w:w="362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3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enter into the Transaction Documents.</w:t>
            </w:r>
          </w:p>
        </w:tc>
      </w:tr>
    </w:tbl>
    <w:tbl>
      <w:tblPr>
        <w:tblW w:w="10205" w:type="dxa"/>
        <w:jc w:val="left"/>
        <w:tblInd w:w="0" w:type="dxa"/>
        <w:tblCellMar>
          <w:top w:w="0" w:type="dxa"/>
          <w:left w:w="0" w:type="dxa"/>
          <w:bottom w:w="0" w:type="dxa"/>
          <w:right w:w="0" w:type="dxa"/>
        </w:tblCellMar>
      </w:tblPr>
      <w:tblGrid>
        <w:gridCol w:w="23"/>
        <w:gridCol w:w="238"/>
        <w:gridCol w:w="9944"/>
      </w:tblGrid>
      <w:tr>
        <w:trPr/>
        <w:tc>
          <w:tcPr>
            <w:tcW w:w="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tc>
      </w:tr>
    </w:tbl>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tc>
      </w:tr>
    </w:tbl>
    <w:tbl>
      <w:tblPr>
        <w:tblW w:w="8448" w:type="dxa"/>
        <w:jc w:val="left"/>
        <w:tblInd w:w="0" w:type="dxa"/>
        <w:tblCellMar>
          <w:top w:w="0" w:type="dxa"/>
          <w:left w:w="0" w:type="dxa"/>
          <w:bottom w:w="0" w:type="dxa"/>
          <w:right w:w="0" w:type="dxa"/>
        </w:tblCellMar>
      </w:tblPr>
      <w:tblGrid>
        <w:gridCol w:w="23"/>
        <w:gridCol w:w="275"/>
        <w:gridCol w:w="81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81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grant any loan or credit to any person;</w:t>
            </w:r>
          </w:p>
        </w:tc>
      </w:tr>
    </w:tbl>
    <w:tbl>
      <w:tblPr>
        <w:tblW w:w="10205" w:type="dxa"/>
        <w:jc w:val="left"/>
        <w:tblInd w:w="0" w:type="dxa"/>
        <w:tblCellMar>
          <w:top w:w="0" w:type="dxa"/>
          <w:left w:w="0" w:type="dxa"/>
          <w:bottom w:w="0" w:type="dxa"/>
          <w:right w:w="0" w:type="dxa"/>
        </w:tblCellMar>
      </w:tblPr>
      <w:tblGrid>
        <w:gridCol w:w="23"/>
        <w:gridCol w:w="225"/>
        <w:gridCol w:w="9957"/>
      </w:tblGrid>
      <w:tr>
        <w:trPr/>
        <w:tc>
          <w:tcPr>
            <w:tcW w:w="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5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upon Lender’s request, provide to Lender all the information with respect to the operations and financial status of the Domestic Company;</w:t>
            </w:r>
          </w:p>
        </w:tc>
      </w:tr>
    </w:tbl>
    <w:tbl>
      <w:tblPr>
        <w:tblW w:w="10205" w:type="dxa"/>
        <w:jc w:val="left"/>
        <w:tblInd w:w="0" w:type="dxa"/>
        <w:tblCellMar>
          <w:top w:w="0" w:type="dxa"/>
          <w:left w:w="0" w:type="dxa"/>
          <w:bottom w:w="0" w:type="dxa"/>
          <w:right w:w="0" w:type="dxa"/>
        </w:tblCellMar>
      </w:tblPr>
      <w:tblGrid>
        <w:gridCol w:w="23"/>
        <w:gridCol w:w="266"/>
        <w:gridCol w:w="9916"/>
      </w:tblGrid>
      <w:tr>
        <w:trPr/>
        <w:tc>
          <w:tcPr>
            <w:tcW w:w="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1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merge or amalgamate with or form any alliance with any person, or acquire or invest in any person;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57"/>
        <w:gridCol w:w="9925"/>
      </w:tblGrid>
      <w:tr>
        <w:trPr/>
        <w:tc>
          <w:tcPr>
            <w:tcW w:w="2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immediately notify Lender of the occurrence or threat of any litigation, arbitration or administrative proceedings in relation to or involving its assets, businesses and revenues;</w:t>
            </w:r>
          </w:p>
        </w:tc>
      </w:tr>
    </w:tbl>
    <w:tbl>
      <w:tblPr>
        <w:tblW w:w="10205" w:type="dxa"/>
        <w:jc w:val="left"/>
        <w:tblInd w:w="0" w:type="dxa"/>
        <w:tblCellMar>
          <w:top w:w="0" w:type="dxa"/>
          <w:left w:w="0" w:type="dxa"/>
          <w:bottom w:w="0" w:type="dxa"/>
          <w:right w:w="0" w:type="dxa"/>
        </w:tblCellMar>
      </w:tblPr>
      <w:tblGrid>
        <w:gridCol w:w="23"/>
        <w:gridCol w:w="183"/>
        <w:gridCol w:w="9999"/>
      </w:tblGrid>
      <w:tr>
        <w:trPr/>
        <w:tc>
          <w:tcPr>
            <w:tcW w:w="2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999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without the prior written consent of Lender, declare or distribute any profit or dividend to shareholders in any form, but upon request of Lender, to immediately declare and distribute all the distributable profits to its respective shareholders;</w:t>
            </w:r>
          </w:p>
        </w:tc>
      </w:tr>
    </w:tbl>
    <w:tbl>
      <w:tblPr>
        <w:tblW w:w="10205" w:type="dxa"/>
        <w:jc w:val="left"/>
        <w:tblInd w:w="0" w:type="dxa"/>
        <w:tblCellMar>
          <w:top w:w="0" w:type="dxa"/>
          <w:left w:w="0" w:type="dxa"/>
          <w:bottom w:w="0" w:type="dxa"/>
          <w:right w:w="0" w:type="dxa"/>
        </w:tblCellMar>
      </w:tblPr>
      <w:tblGrid>
        <w:gridCol w:w="23"/>
        <w:gridCol w:w="274"/>
        <w:gridCol w:w="9908"/>
      </w:tblGrid>
      <w:tr>
        <w:trPr/>
        <w:tc>
          <w:tcPr>
            <w:tcW w:w="2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(k)</w:t>
            </w:r>
          </w:p>
        </w:tc>
        <w:tc>
          <w:tcPr>
            <w:tcW w:w="990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Lender, appoint the persons designated by Lender as directors and senior officers of the Domestic Company; and</w:t>
            </w:r>
          </w:p>
        </w:tc>
      </w:tr>
    </w:tbl>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(l)</w:t>
            </w:r>
          </w:p>
        </w:tc>
        <w:tc>
          <w:tcPr>
            <w:tcW w:w="999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strictly comply with the provisions under any agreements to which Borrower and Lender are parties and not take any actions or omit to take any actions that may adversely affect the effectiveness and enforceability of such agreements.</w:t>
            </w:r>
          </w:p>
        </w:tc>
      </w:tr>
    </w:tbl>
    <w:tbl>
      <w:tblPr>
        <w:tblW w:w="5313" w:type="dxa"/>
        <w:jc w:val="left"/>
        <w:tblInd w:w="0" w:type="dxa"/>
        <w:tblCellMar>
          <w:top w:w="0" w:type="dxa"/>
          <w:left w:w="0" w:type="dxa"/>
          <w:bottom w:w="0" w:type="dxa"/>
          <w:right w:w="0" w:type="dxa"/>
        </w:tblCellMar>
      </w:tblPr>
      <w:tblGrid>
        <w:gridCol w:w="23"/>
        <w:gridCol w:w="380"/>
        <w:gridCol w:w="4910"/>
      </w:tblGrid>
      <w:tr>
        <w:trPr/>
        <w:tc>
          <w:tcPr>
            <w:tcW w:w="2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3.2.</w:t>
            </w:r>
          </w:p>
        </w:tc>
        <w:tc>
          <w:tcPr>
            <w:tcW w:w="491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undertakes that during the Term, he shall:</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tc>
      </w:tr>
    </w:tbl>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cause the shareholders’ meeting of the Domestic Company not to approve the merger or alliance with any person or acquisition or investment in any person without the prior written consent of Lender;</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immediately notify Lender of the occurrence or threat of any litigation, arbitration or administrative proceedings in relation to or involving Borrower’s Equity;</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refrain from taking any action that may have a material adverse impact on the assets, business and liabilities of the Domestic Company;</w:t>
            </w:r>
          </w:p>
        </w:tc>
      </w:tr>
    </w:tbl>
    <w:tbl>
      <w:tblPr>
        <w:tblW w:w="10205" w:type="dxa"/>
        <w:jc w:val="left"/>
        <w:tblInd w:w="0" w:type="dxa"/>
        <w:tblCellMar>
          <w:top w:w="0" w:type="dxa"/>
          <w:left w:w="0" w:type="dxa"/>
          <w:bottom w:w="0" w:type="dxa"/>
          <w:right w:w="0" w:type="dxa"/>
        </w:tblCellMar>
      </w:tblPr>
      <w:tblGrid>
        <w:gridCol w:w="23"/>
        <w:gridCol w:w="267"/>
        <w:gridCol w:w="9915"/>
      </w:tblGrid>
      <w:tr>
        <w:trPr/>
        <w:tc>
          <w:tcPr>
            <w:tcW w:w="2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Lender, appoint the persons designated by Lender as directors of the Domestic Company (unless otherwise agreed by the Parties);</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permitted by PRC laws, at the request of Lender at any time, promptly and unconditionally transfer all or part of Borrower’s Equity to Lender or Lender’s designated person(s) at any time;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1001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tc>
      </w:tr>
    </w:tbl>
    <w:tbl>
      <w:tblPr>
        <w:tblW w:w="10205" w:type="dxa"/>
        <w:jc w:val="left"/>
        <w:tblInd w:w="0" w:type="dxa"/>
        <w:tblCellMar>
          <w:top w:w="0" w:type="dxa"/>
          <w:left w:w="0" w:type="dxa"/>
          <w:bottom w:w="0" w:type="dxa"/>
          <w:right w:w="0" w:type="dxa"/>
        </w:tblCellMar>
      </w:tblPr>
      <w:tblGrid>
        <w:gridCol w:w="23"/>
        <w:gridCol w:w="213"/>
        <w:gridCol w:w="9969"/>
      </w:tblGrid>
      <w:tr>
        <w:trPr/>
        <w:tc>
          <w:tcPr>
            <w:tcW w:w="2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996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 xml:space="preserve">deliver to Lender the Spousal Consent Letter executed by Borrower’s spouse, substantially in the form attached hereto as </w:t>
            </w:r>
            <w:r>
              <w:rPr>
                <w:rFonts w:ascii="Times New Roman;Times;serif" w:hAnsi="Times New Roman;Times;serif"/>
                <w:sz w:val="24"/>
                <w:u w:val="single"/>
              </w:rPr>
              <w:t>Exhibit B</w:t>
            </w:r>
            <w:r>
              <w:rPr>
                <w:rFonts w:ascii="Times New Roman;Times;serif" w:hAnsi="Times New Roman;Times;serif"/>
                <w:sz w:val="24"/>
              </w:rPr>
              <w:t>.</w:t>
            </w:r>
          </w:p>
        </w:tc>
      </w:tr>
    </w:tbl>
    <w:tbl>
      <w:tblPr>
        <w:tblW w:w="2245" w:type="dxa"/>
        <w:jc w:val="left"/>
        <w:tblInd w:w="0" w:type="dxa"/>
        <w:tblCellMar>
          <w:top w:w="0" w:type="dxa"/>
          <w:left w:w="0" w:type="dxa"/>
          <w:bottom w:w="0" w:type="dxa"/>
          <w:right w:w="0" w:type="dxa"/>
        </w:tblCellMar>
      </w:tblPr>
      <w:tblGrid>
        <w:gridCol w:w="200"/>
        <w:gridCol w:w="204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4.</w:t>
            </w:r>
          </w:p>
        </w:tc>
        <w:tc>
          <w:tcPr>
            <w:tcW w:w="204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Liability for Default</w:t>
            </w:r>
          </w:p>
        </w:tc>
      </w:tr>
    </w:tbl>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tc>
      </w:tr>
    </w:tbl>
    <w:tbl>
      <w:tblPr>
        <w:tblW w:w="10205" w:type="dxa"/>
        <w:jc w:val="left"/>
        <w:tblInd w:w="0" w:type="dxa"/>
        <w:tblCellMar>
          <w:top w:w="0" w:type="dxa"/>
          <w:left w:w="0" w:type="dxa"/>
          <w:bottom w:w="0" w:type="dxa"/>
          <w:right w:w="0" w:type="dxa"/>
        </w:tblCellMar>
      </w:tblPr>
      <w:tblGrid>
        <w:gridCol w:w="23"/>
        <w:gridCol w:w="342"/>
        <w:gridCol w:w="9840"/>
      </w:tblGrid>
      <w:tr>
        <w:trPr/>
        <w:tc>
          <w:tcPr>
            <w:tcW w:w="2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Borrower hereby covenants that he will indemnify and hold harmless Lender against any action, charge, claim, cost, harm, demand, fee, liability, loss and procedure incurred by Lender arising out of Borrower’s breach of any of his obligations hereunder.</w:t>
            </w:r>
          </w:p>
        </w:tc>
      </w:tr>
    </w:tbl>
    <w:tbl>
      <w:tblPr>
        <w:tblW w:w="955" w:type="dxa"/>
        <w:jc w:val="left"/>
        <w:tblInd w:w="0" w:type="dxa"/>
        <w:tblCellMar>
          <w:top w:w="0" w:type="dxa"/>
          <w:left w:w="0" w:type="dxa"/>
          <w:bottom w:w="0" w:type="dxa"/>
          <w:right w:w="0" w:type="dxa"/>
        </w:tblCellMar>
      </w:tblPr>
      <w:tblGrid>
        <w:gridCol w:w="200"/>
        <w:gridCol w:w="75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5.</w:t>
            </w:r>
          </w:p>
        </w:tc>
        <w:tc>
          <w:tcPr>
            <w:tcW w:w="75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Lender:</w:t>
      </w:r>
    </w:p>
    <w:p>
      <w:pPr>
        <w:pStyle w:val="TextBody"/>
        <w:spacing w:before="0" w:after="240"/>
        <w:ind w:left="720" w:right="0" w:firstLine="1440"/>
        <w:jc w:val="both"/>
        <w:rPr>
          <w:rFonts w:ascii="Times New Roman;Times;serif" w:hAnsi="Times New Roman;Times;serif"/>
          <w:sz w:val="24"/>
        </w:rPr>
      </w:pPr>
      <w:r>
        <w:rPr>
          <w:rFonts w:ascii="Times New Roman;Times;serif" w:hAnsi="Times New Roman;Times;serif"/>
          <w:sz w:val="24"/>
        </w:rPr>
        <w:t>Hangzhou NetEase Cloud Music Technology Co., Ltd.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9268"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Room 1201, Block A, Hangzhou International Expo Center, No. 353 Benjing Avenue, Qianjiang Century City, Xiaoshan District, Hangzhou, Zhejiang</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Borrower:</w:t>
      </w:r>
    </w:p>
    <w:p>
      <w:pPr>
        <w:pStyle w:val="TextBody"/>
        <w:spacing w:before="0" w:after="240"/>
        <w:ind w:left="720" w:right="0" w:firstLine="1440"/>
        <w:jc w:val="both"/>
        <w:rPr>
          <w:rFonts w:ascii="Times New Roman;Times;serif" w:hAnsi="Times New Roman;Times;serif"/>
          <w:sz w:val="24"/>
        </w:rPr>
      </w:pPr>
      <w:r>
        <w:rPr>
          <w:rFonts w:ascii="Times New Roman;Times;serif" w:hAnsi="Times New Roman;Times;serif"/>
          <w:sz w:val="24"/>
        </w:rPr>
        <w:t>Dong Zhang</w:t>
      </w:r>
    </w:p>
    <w:tbl>
      <w:tblPr>
        <w:tblW w:w="8012" w:type="dxa"/>
        <w:jc w:val="center"/>
        <w:tblInd w:w="0" w:type="dxa"/>
        <w:tblCellMar>
          <w:top w:w="0" w:type="dxa"/>
          <w:left w:w="0" w:type="dxa"/>
          <w:bottom w:w="0" w:type="dxa"/>
          <w:right w:w="0" w:type="dxa"/>
        </w:tblCellMar>
      </w:tblPr>
      <w:tblGrid>
        <w:gridCol w:w="961"/>
        <w:gridCol w:w="7051"/>
      </w:tblGrid>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705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No. 399 Wangshang Road, Changhe Street, Binjiang District, Hangzhou</w:t>
            </w:r>
          </w:p>
        </w:tc>
      </w:tr>
    </w:tbl>
    <w:p>
      <w:pPr>
        <w:pStyle w:val="TextBody"/>
        <w:spacing w:before="0" w:after="0"/>
        <w:ind w:left="0" w:right="0" w:hanging="0"/>
        <w:rPr/>
      </w:pPr>
      <w:r>
        <w:rPr/>
        <w:t>​</w:t>
      </w:r>
    </w:p>
    <w:tbl>
      <w:tblPr>
        <w:tblW w:w="1735" w:type="dxa"/>
        <w:jc w:val="left"/>
        <w:tblInd w:w="0" w:type="dxa"/>
        <w:tblCellMar>
          <w:top w:w="0" w:type="dxa"/>
          <w:left w:w="0" w:type="dxa"/>
          <w:bottom w:w="0" w:type="dxa"/>
          <w:right w:w="0" w:type="dxa"/>
        </w:tblCellMar>
      </w:tblPr>
      <w:tblGrid>
        <w:gridCol w:w="200"/>
        <w:gridCol w:w="153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6.</w:t>
            </w:r>
          </w:p>
        </w:tc>
        <w:tc>
          <w:tcPr>
            <w:tcW w:w="15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Confidentiality</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4270" w:type="dxa"/>
        <w:jc w:val="left"/>
        <w:tblInd w:w="0" w:type="dxa"/>
        <w:tblCellMar>
          <w:top w:w="0" w:type="dxa"/>
          <w:left w:w="0" w:type="dxa"/>
          <w:bottom w:w="0" w:type="dxa"/>
          <w:right w:w="0" w:type="dxa"/>
        </w:tblCellMar>
      </w:tblPr>
      <w:tblGrid>
        <w:gridCol w:w="200"/>
        <w:gridCol w:w="407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7.</w:t>
            </w:r>
          </w:p>
        </w:tc>
        <w:tc>
          <w:tcPr>
            <w:tcW w:w="407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Applicable Law and Dispute Resolution</w:t>
            </w:r>
          </w:p>
        </w:tc>
      </w:tr>
    </w:tbl>
    <w:tbl>
      <w:tblPr>
        <w:tblW w:w="10205" w:type="dxa"/>
        <w:jc w:val="left"/>
        <w:tblInd w:w="0" w:type="dxa"/>
        <w:tblCellMar>
          <w:top w:w="0" w:type="dxa"/>
          <w:left w:w="0" w:type="dxa"/>
          <w:bottom w:w="0" w:type="dxa"/>
          <w:right w:w="0" w:type="dxa"/>
        </w:tblCellMar>
      </w:tblPr>
      <w:tblGrid>
        <w:gridCol w:w="23"/>
        <w:gridCol w:w="360"/>
        <w:gridCol w:w="9822"/>
      </w:tblGrid>
      <w:tr>
        <w:trPr/>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7.1.</w:t>
            </w:r>
          </w:p>
        </w:tc>
        <w:tc>
          <w:tcPr>
            <w:tcW w:w="98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effect, interpretation, performance, amendment, termination and dispute resolution of this Agreement shall be governed by PRC law.</w:t>
            </w:r>
          </w:p>
        </w:tc>
      </w:tr>
    </w:tbl>
    <w:tbl>
      <w:tblPr>
        <w:tblW w:w="10205" w:type="dxa"/>
        <w:jc w:val="left"/>
        <w:tblInd w:w="0" w:type="dxa"/>
        <w:tblCellMar>
          <w:top w:w="0" w:type="dxa"/>
          <w:left w:w="0" w:type="dxa"/>
          <w:bottom w:w="0" w:type="dxa"/>
          <w:right w:w="0" w:type="dxa"/>
        </w:tblCellMar>
      </w:tblPr>
      <w:tblGrid>
        <w:gridCol w:w="23"/>
        <w:gridCol w:w="325"/>
        <w:gridCol w:w="9857"/>
      </w:tblGrid>
      <w:tr>
        <w:trPr/>
        <w:tc>
          <w:tcPr>
            <w:tcW w:w="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7.2.</w:t>
            </w:r>
          </w:p>
        </w:tc>
        <w:tc>
          <w:tcPr>
            <w:tcW w:w="985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Any</w:t>
            </w:r>
            <w:r>
              <w:rPr>
                <w:rFonts w:ascii="Times New Roman;Times;serif" w:hAnsi="Times New Roman;Times;serif"/>
                <w:sz w:val="20"/>
              </w:rPr>
              <w:t xml:space="preserve"> </w:t>
            </w:r>
            <w:r>
              <w:rPr>
                <w:rFonts w:ascii="Times New Roman;Times;serif" w:hAnsi="Times New Roman;Times;serif"/>
                <w:sz w:val="24"/>
              </w:rPr>
              <w:t>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8"/>
        <w:gridCol w:w="9854"/>
      </w:tblGrid>
      <w:tr>
        <w:trPr/>
        <w:tc>
          <w:tcPr>
            <w:tcW w:w="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7.3.</w:t>
            </w:r>
          </w:p>
        </w:tc>
        <w:tc>
          <w:tcPr>
            <w:tcW w:w="985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hereby specifically acknowledge and undertake that, subject to the provisions</w:t>
            </w:r>
            <w:r>
              <w:rPr>
                <w:rFonts w:ascii="Times New Roman;Times;serif" w:hAnsi="Times New Roman;Times;serif"/>
                <w:sz w:val="20"/>
              </w:rPr>
              <w:t xml:space="preserve"> </w:t>
            </w:r>
            <w:r>
              <w:rPr>
                <w:rFonts w:ascii="Times New Roman;Times;serif" w:hAnsi="Times New Roman;Times;serif"/>
                <w:sz w:val="24"/>
              </w:rPr>
              <w:t>of the PRC law, the arbitrators have the right to make appropriate awards according to the actual situation, so as to give Lender appropriate legal remedies, including but not limited to restricting the Domestic Company's business operation, restricting and / or disposing Domestic Company's equities or assets (including land assets) (including but not limited to taking them as compensation), or forbidding transfer or dispose, or taking other relevant remedies, or ordering the winding up of the Domestic Company. The Parties shall perform such awards.</w:t>
            </w:r>
          </w:p>
        </w:tc>
      </w:tr>
    </w:tbl>
    <w:tbl>
      <w:tblPr>
        <w:tblW w:w="10205" w:type="dxa"/>
        <w:jc w:val="left"/>
        <w:tblInd w:w="0" w:type="dxa"/>
        <w:tblCellMar>
          <w:top w:w="0" w:type="dxa"/>
          <w:left w:w="0" w:type="dxa"/>
          <w:bottom w:w="0" w:type="dxa"/>
          <w:right w:w="0" w:type="dxa"/>
        </w:tblCellMar>
      </w:tblPr>
      <w:tblGrid>
        <w:gridCol w:w="23"/>
        <w:gridCol w:w="328"/>
        <w:gridCol w:w="9854"/>
      </w:tblGrid>
      <w:tr>
        <w:trPr/>
        <w:tc>
          <w:tcPr>
            <w:tcW w:w="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7.4.</w:t>
            </w:r>
          </w:p>
        </w:tc>
        <w:tc>
          <w:tcPr>
            <w:tcW w:w="98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CellMar>
          <w:top w:w="0" w:type="dxa"/>
          <w:left w:w="0" w:type="dxa"/>
          <w:bottom w:w="0" w:type="dxa"/>
          <w:right w:w="0" w:type="dxa"/>
        </w:tblCellMar>
      </w:tblPr>
      <w:tblGrid>
        <w:gridCol w:w="23"/>
        <w:gridCol w:w="360"/>
        <w:gridCol w:w="9822"/>
      </w:tblGrid>
      <w:tr>
        <w:trPr/>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7.5.</w:t>
            </w:r>
          </w:p>
        </w:tc>
        <w:tc>
          <w:tcPr>
            <w:tcW w:w="982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336"/>
        <w:gridCol w:w="9846"/>
      </w:tblGrid>
      <w:tr>
        <w:trPr/>
        <w:tc>
          <w:tcPr>
            <w:tcW w:w="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7.6.</w:t>
            </w:r>
          </w:p>
        </w:tc>
        <w:tc>
          <w:tcPr>
            <w:tcW w:w="98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Music Inc.; (iii) the registered place of the Domestic Company; and (iv) the place where main assets of Cloud Music Inc. or the Domestic Company are located shall be deemed to have jurisdiction for the purpose of this article.</w:t>
            </w:r>
          </w:p>
        </w:tc>
      </w:tr>
    </w:tbl>
    <w:tbl>
      <w:tblPr>
        <w:tblW w:w="1630" w:type="dxa"/>
        <w:jc w:val="left"/>
        <w:tblInd w:w="0" w:type="dxa"/>
        <w:tblCellMar>
          <w:top w:w="0" w:type="dxa"/>
          <w:left w:w="0" w:type="dxa"/>
          <w:bottom w:w="0" w:type="dxa"/>
          <w:right w:w="0" w:type="dxa"/>
        </w:tblCellMar>
      </w:tblPr>
      <w:tblGrid>
        <w:gridCol w:w="200"/>
        <w:gridCol w:w="143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8.</w:t>
            </w:r>
          </w:p>
        </w:tc>
        <w:tc>
          <w:tcPr>
            <w:tcW w:w="14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Miscellaneous</w:t>
            </w:r>
          </w:p>
        </w:tc>
      </w:tr>
    </w:tbl>
    <w:tbl>
      <w:tblPr>
        <w:tblW w:w="10205" w:type="dxa"/>
        <w:jc w:val="left"/>
        <w:tblInd w:w="0" w:type="dxa"/>
        <w:tblCellMar>
          <w:top w:w="0" w:type="dxa"/>
          <w:left w:w="0" w:type="dxa"/>
          <w:bottom w:w="0" w:type="dxa"/>
          <w:right w:w="0" w:type="dxa"/>
        </w:tblCellMar>
      </w:tblPr>
      <w:tblGrid>
        <w:gridCol w:w="23"/>
        <w:gridCol w:w="353"/>
        <w:gridCol w:w="9829"/>
      </w:tblGrid>
      <w:tr>
        <w:trPr/>
        <w:tc>
          <w:tcPr>
            <w:tcW w:w="2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8.1.</w:t>
            </w:r>
          </w:p>
        </w:tc>
        <w:tc>
          <w:tcPr>
            <w:tcW w:w="982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on the date hereof, and shall expire upon the date of full performance by the Parties of their respective obligations under this Agreement.</w:t>
            </w:r>
          </w:p>
        </w:tc>
      </w:tr>
    </w:tbl>
    <w:tbl>
      <w:tblPr>
        <w:tblW w:w="10205" w:type="dxa"/>
        <w:jc w:val="left"/>
        <w:tblInd w:w="0" w:type="dxa"/>
        <w:tblCellMar>
          <w:top w:w="0" w:type="dxa"/>
          <w:left w:w="0" w:type="dxa"/>
          <w:bottom w:w="0" w:type="dxa"/>
          <w:right w:w="0" w:type="dxa"/>
        </w:tblCellMar>
      </w:tblPr>
      <w:tblGrid>
        <w:gridCol w:w="23"/>
        <w:gridCol w:w="367"/>
        <w:gridCol w:w="9815"/>
      </w:tblGrid>
      <w:tr>
        <w:trPr/>
        <w:tc>
          <w:tcPr>
            <w:tcW w:w="2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8.2.</w:t>
            </w:r>
          </w:p>
        </w:tc>
        <w:tc>
          <w:tcPr>
            <w:tcW w:w="98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may not be amended or modified in any manner except by an instrument in writing signed by the Parties hereto.</w:t>
            </w:r>
          </w:p>
        </w:tc>
      </w:tr>
    </w:tbl>
    <w:tbl>
      <w:tblPr>
        <w:tblW w:w="10205" w:type="dxa"/>
        <w:jc w:val="left"/>
        <w:tblInd w:w="0" w:type="dxa"/>
        <w:tblCellMar>
          <w:top w:w="0" w:type="dxa"/>
          <w:left w:w="0" w:type="dxa"/>
          <w:bottom w:w="0" w:type="dxa"/>
          <w:right w:w="0" w:type="dxa"/>
        </w:tblCellMar>
      </w:tblPr>
      <w:tblGrid>
        <w:gridCol w:w="23"/>
        <w:gridCol w:w="330"/>
        <w:gridCol w:w="9852"/>
      </w:tblGrid>
      <w:tr>
        <w:trPr/>
        <w:tc>
          <w:tcPr>
            <w:tcW w:w="2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8.3.</w:t>
            </w:r>
          </w:p>
        </w:tc>
        <w:tc>
          <w:tcPr>
            <w:tcW w:w="98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tbl>
      <w:tblPr>
        <w:tblW w:w="10205" w:type="dxa"/>
        <w:jc w:val="left"/>
        <w:tblInd w:w="0" w:type="dxa"/>
        <w:tblCellMar>
          <w:top w:w="0" w:type="dxa"/>
          <w:left w:w="0" w:type="dxa"/>
          <w:bottom w:w="0" w:type="dxa"/>
          <w:right w:w="0" w:type="dxa"/>
        </w:tblCellMar>
      </w:tblPr>
      <w:tblGrid>
        <w:gridCol w:w="23"/>
        <w:gridCol w:w="333"/>
        <w:gridCol w:w="9849"/>
      </w:tblGrid>
      <w:tr>
        <w:trPr/>
        <w:tc>
          <w:tcPr>
            <w:tcW w:w="2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8.4.</w:t>
            </w:r>
          </w:p>
        </w:tc>
        <w:tc>
          <w:tcPr>
            <w:tcW w:w="98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27"/>
        <w:gridCol w:w="9855"/>
      </w:tblGrid>
      <w:tr>
        <w:trPr/>
        <w:tc>
          <w:tcPr>
            <w:tcW w:w="2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8.5.</w:t>
            </w:r>
          </w:p>
        </w:tc>
        <w:tc>
          <w:tcPr>
            <w:tcW w:w="98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If required under any applicable law, regulations or listing rules or required or deemed desirable by any stock exchange, government or other regulatory authority having competent jurisdiction over the Parties and their affiliates (the “</w:t>
            </w:r>
            <w:r>
              <w:rPr>
                <w:rFonts w:ascii="Times New Roman;Times;serif" w:hAnsi="Times New Roman;Times;serif"/>
                <w:b/>
                <w:sz w:val="24"/>
              </w:rPr>
              <w:t>Applicable Requirements</w:t>
            </w:r>
            <w:r>
              <w:rPr>
                <w:rFonts w:ascii="Times New Roman;Times;serif" w:hAnsi="Times New Roman;Times;serif"/>
                <w:sz w:val="20"/>
              </w:rPr>
              <w:t>”</w:t>
            </w:r>
            <w:r>
              <w:rPr>
                <w:rFonts w:ascii="Times New Roman;Times;serif" w:hAnsi="Times New Roman;Times;serif"/>
                <w:sz w:val="24"/>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tc>
      </w:tr>
    </w:tbl>
    <w:p>
      <w:pPr>
        <w:pStyle w:val="TextBody"/>
        <w:pBdr/>
        <w:spacing w:before="0" w:after="0"/>
        <w:ind w:left="720" w:right="0" w:hanging="720"/>
        <w:jc w:val="both"/>
        <w:rPr/>
      </w:pPr>
      <w:r>
        <w:rPr/>
        <w:t>​</w:t>
      </w:r>
    </w:p>
    <w:p>
      <w:pPr>
        <w:pStyle w:val="TextBody"/>
        <w:pBdr/>
        <w:spacing w:before="0" w:after="0"/>
        <w:ind w:left="720" w:right="0" w:hanging="720"/>
        <w:jc w:val="both"/>
        <w:rPr/>
      </w:pPr>
      <w:r>
        <w:rPr/>
        <w:t>​</w:t>
      </w:r>
    </w:p>
    <w:p>
      <w:pPr>
        <w:pStyle w:val="TextBody"/>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[Signature page follows]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Agreement has been duly executed by the Parties as of the date first above written.</w:t>
      </w:r>
    </w:p>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7321" w:type="dxa"/>
        <w:jc w:val="left"/>
        <w:tblInd w:w="0" w:type="dxa"/>
        <w:tblCellMar>
          <w:top w:w="0" w:type="dxa"/>
          <w:left w:w="0" w:type="dxa"/>
          <w:bottom w:w="0" w:type="dxa"/>
          <w:right w:w="0" w:type="dxa"/>
        </w:tblCellMar>
      </w:tblPr>
      <w:tblGrid>
        <w:gridCol w:w="124"/>
        <w:gridCol w:w="1186"/>
        <w:gridCol w:w="326"/>
        <w:gridCol w:w="2617"/>
        <w:gridCol w:w="3068"/>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78740" cy="175260"/>
                      <wp:effectExtent l="0" t="0" r="0" b="0"/>
                      <wp:wrapNone/>
                      <wp:docPr id="625" name="Frame62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753110" cy="175260"/>
                      <wp:effectExtent l="0" t="0" r="0" b="0"/>
                      <wp:wrapNone/>
                      <wp:docPr id="626" name="Frame625"/>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7" name="Frame6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661795" cy="175260"/>
                      <wp:effectExtent l="0" t="0" r="0" b="0"/>
                      <wp:wrapNone/>
                      <wp:docPr id="628" name="Frame627"/>
                      <a:graphic xmlns:a="http://schemas.openxmlformats.org/drawingml/2006/main">
                        <a:graphicData uri="http://schemas.microsoft.com/office/word/2010/wordprocessingShape">
                          <wps:wsp>
                            <wps:cNvSpPr txBox="1"/>
                            <wps:spPr>
                              <a:xfrm>
                                <a:off x="0" y="0"/>
                                <a:ext cx="1661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948180" cy="175260"/>
                      <wp:effectExtent l="0" t="0" r="0" b="0"/>
                      <wp:wrapNone/>
                      <wp:docPr id="629" name="Frame628"/>
                      <a:graphic xmlns:a="http://schemas.openxmlformats.org/drawingml/2006/main">
                        <a:graphicData uri="http://schemas.microsoft.com/office/word/2010/wordprocessingShape">
                          <wps:wsp>
                            <wps:cNvSpPr txBox="1"/>
                            <wps:spPr>
                              <a:xfrm>
                                <a:off x="0" y="0"/>
                                <a:ext cx="1948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Lender:</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pPr>
            <w:r>
              <w:rPr/>
              <w:t>​</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pPr>
            <w:r>
              <w:rPr/>
              <w:t>​</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pPr>
            <w:r>
              <w:rPr/>
              <w:t>​</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Borrower:</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Dong Zhang</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pPr>
            <w:r>
              <w:rPr/>
              <w:t>​</w:t>
            </w:r>
          </w:p>
        </w:tc>
        <w:tc>
          <w:tcPr>
            <w:tcW w:w="306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7"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306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Dong Zhang</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Exhibit A</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SUPPLEMENTAL AGREEMENT TO LOAN AGREEMENT</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This </w:t>
      </w:r>
      <w:r>
        <w:rPr>
          <w:rFonts w:ascii="Times New Roman;Times;serif" w:hAnsi="Times New Roman;Times;serif"/>
          <w:b/>
          <w:sz w:val="24"/>
        </w:rPr>
        <w:t xml:space="preserve">SUPPLEMENTAL AGREEMENT </w:t>
      </w:r>
      <w:r>
        <w:rPr>
          <w:rFonts w:ascii="Times New Roman;Times;serif" w:hAnsi="Times New Roman;Times;serif"/>
          <w:sz w:val="24"/>
        </w:rPr>
        <w:t>(this “</w:t>
      </w:r>
      <w:r>
        <w:rPr>
          <w:rFonts w:ascii="Times New Roman;Times;serif" w:hAnsi="Times New Roman;Times;serif"/>
          <w:b/>
          <w:sz w:val="24"/>
        </w:rPr>
        <w:t>Supplemental Agreement</w:t>
      </w:r>
      <w:r>
        <w:rPr>
          <w:rFonts w:ascii="Times New Roman;Times;serif" w:hAnsi="Times New Roman;Times;serif"/>
          <w:sz w:val="20"/>
        </w:rPr>
        <w:t>”</w:t>
      </w:r>
      <w:r>
        <w:rPr>
          <w:rFonts w:ascii="Times New Roman;Times;serif" w:hAnsi="Times New Roman;Times;serif"/>
          <w:sz w:val="24"/>
        </w:rPr>
        <w:t xml:space="preserve">) to that certain Loan Agreement dated </w:t>
      </w:r>
      <w:r>
        <w:rPr>
          <w:rFonts w:ascii="Times New Roman;Times;serif" w:hAnsi="Times New Roman;Times;serif"/>
          <w:sz w:val="24"/>
          <w:u w:val="single"/>
        </w:rPr>
        <w:t>November 9, 2022</w:t>
      </w:r>
      <w:r>
        <w:rPr>
          <w:rFonts w:ascii="Times New Roman;Times;serif" w:hAnsi="Times New Roman;Times;serif"/>
          <w:sz w:val="20"/>
        </w:rPr>
        <w:t xml:space="preserve"> </w:t>
      </w:r>
      <w:r>
        <w:rPr>
          <w:rFonts w:ascii="Times New Roman;Times;serif" w:hAnsi="Times New Roman;Times;serif"/>
          <w:sz w:val="24"/>
        </w:rPr>
        <w:t>(as the same may be amended and supplemented from time to time, the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___________________ by and between</w:t>
      </w:r>
      <w:r>
        <w:rPr>
          <w:rFonts w:ascii="Times New Roman;Times;serif" w:hAnsi="Times New Roman;Times;serif"/>
          <w:sz w:val="20"/>
        </w:rPr>
        <w:t xml:space="preserve"> </w:t>
      </w:r>
      <w:r>
        <w:rPr>
          <w:rFonts w:ascii="Times New Roman;Times;serif" w:hAnsi="Times New Roman;Times;serif"/>
          <w:sz w:val="24"/>
        </w:rPr>
        <w:t>Hangzhou NetEase Cloud Music Technology Co., Ltd.</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Lender</w:t>
      </w:r>
      <w:r>
        <w:rPr>
          <w:rFonts w:ascii="Times New Roman;Times;serif" w:hAnsi="Times New Roman;Times;serif"/>
          <w:sz w:val="20"/>
        </w:rPr>
        <w:t>”</w:t>
      </w:r>
      <w:r>
        <w:rPr>
          <w:rFonts w:ascii="Times New Roman;Times;serif" w:hAnsi="Times New Roman;Times;serif"/>
          <w:sz w:val="24"/>
        </w:rPr>
        <w:t>), a wholly foreign-owned enterprise incorporated in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and Dong Zhang (“</w:t>
      </w:r>
      <w:r>
        <w:rPr>
          <w:rFonts w:ascii="Times New Roman;Times;serif" w:hAnsi="Times New Roman;Times;serif"/>
          <w:b/>
          <w:sz w:val="24"/>
        </w:rPr>
        <w:t>Borrower</w:t>
      </w:r>
      <w:r>
        <w:rPr>
          <w:rFonts w:ascii="Times New Roman;Times;serif" w:hAnsi="Times New Roman;Times;serif"/>
          <w:sz w:val="20"/>
        </w:rPr>
        <w:t>”</w:t>
      </w:r>
      <w:r>
        <w:rPr>
          <w:rFonts w:ascii="Times New Roman;Times;serif" w:hAnsi="Times New Roman;Times;serif"/>
          <w:sz w:val="24"/>
        </w:rPr>
        <w:t>), a citizen of the PRC and owner of 1% of the equity interests of Hangzhou Yuedu Technology Co., Ltd. (the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Lender and Borrower are hereinafter collectively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individually as a “</w:t>
      </w:r>
      <w:r>
        <w:rPr>
          <w:rFonts w:ascii="Times New Roman;Times;serif" w:hAnsi="Times New Roman;Times;serif"/>
          <w:b/>
          <w:sz w:val="24"/>
        </w:rPr>
        <w:t>Party</w:t>
      </w:r>
      <w:r>
        <w:rPr>
          <w:rFonts w:ascii="Times New Roman;Times;serif" w:hAnsi="Times New Roman;Times;serif"/>
          <w:sz w:val="24"/>
        </w:rPr>
        <w:t>.” Capitalized terms used herein and not otherwise defined shall have the respective meanings assigned to them in the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Parties desire to supplement the Agreement in connection with the extension of a new loan from Lender to Borrower in connection with [an increase in the Company’s registered capital], as herein provided.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mutual agreements contained herein and subject to the terms and conditions herein set forth, the Parties agree that the Agreement is hereby amended and supplemented as follows: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w:t>
            </w:r>
          </w:p>
        </w:tc>
        <w:tc>
          <w:tcPr>
            <w:tcW w:w="1002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Lender agrees to provide an additional loan to Borrower with an aggregate principal amount of RMB ___________________ (the “</w:t>
            </w:r>
            <w:r>
              <w:rPr>
                <w:rFonts w:ascii="Times New Roman;Times;serif" w:hAnsi="Times New Roman;Times;serif"/>
                <w:b/>
                <w:sz w:val="24"/>
              </w:rPr>
              <w:t>Additional Loan</w:t>
            </w:r>
            <w:r>
              <w:rPr>
                <w:rFonts w:ascii="Times New Roman;Times;serif" w:hAnsi="Times New Roman;Times;serif"/>
                <w:sz w:val="20"/>
              </w:rPr>
              <w:t>”</w:t>
            </w:r>
            <w:r>
              <w:rPr>
                <w:rFonts w:ascii="Times New Roman;Times;serif" w:hAnsi="Times New Roman;Times;serif"/>
                <w:i/>
                <w:sz w:val="24"/>
              </w:rPr>
              <w:t>)</w:t>
            </w:r>
            <w:r>
              <w:rPr>
                <w:rFonts w:ascii="Times New Roman;Times;serif" w:hAnsi="Times New Roman;Times;serif"/>
                <w:sz w:val="24"/>
              </w:rPr>
              <w: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2.</w:t>
            </w:r>
          </w:p>
        </w:tc>
        <w:tc>
          <w:tcPr>
            <w:tcW w:w="1002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Borrower confirms that he has received the total amount of the Additional Loan and [has invested it into the Domestic Company as an additional capital contribution].</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3.</w:t>
            </w:r>
          </w:p>
        </w:tc>
        <w:tc>
          <w:tcPr>
            <w:tcW w:w="1004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4.</w:t>
            </w:r>
          </w:p>
        </w:tc>
        <w:tc>
          <w:tcPr>
            <w:tcW w:w="1004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5.</w:t>
            </w:r>
          </w:p>
        </w:tc>
        <w:tc>
          <w:tcPr>
            <w:tcW w:w="1001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Articles 6, 7 and 8 of the Agreement are hereby incorporated into this Supplemental Agreement by this reference.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6.</w:t>
            </w:r>
          </w:p>
        </w:tc>
        <w:tc>
          <w:tcPr>
            <w:tcW w:w="1004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This Supplemental Agreement contains the entire agreement between the Parties with respect to the subject matter of this Supplemental Agreement and supersedes and extinguishes all prior agreement and understandings, oral or written, with respect to such matter.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7.</w:t>
            </w:r>
          </w:p>
        </w:tc>
        <w:tc>
          <w:tcPr>
            <w:tcW w:w="1002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As amended and supplemented hereby, the terms and conditions and all the provisions of the Agreement are and will remain in full force and effect.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8.</w:t>
            </w:r>
          </w:p>
        </w:tc>
        <w:tc>
          <w:tcPr>
            <w:tcW w:w="10041"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This Supplemental Agreement may be executed in one or more counterparts, each of which shall be deemed to be an original instrument by the Parties executing such counterpart, but all of which shall be considered one and the same instrument.</w:t>
            </w:r>
          </w:p>
        </w:tc>
      </w:tr>
    </w:tbl>
    <w:p>
      <w:pPr>
        <w:pStyle w:val="TextBody"/>
        <w:pBdr/>
        <w:spacing w:before="0" w:after="0"/>
        <w:ind w:left="0" w:right="0" w:hanging="720"/>
        <w:jc w:val="both"/>
        <w:rPr/>
      </w:pPr>
      <w:r>
        <w:rPr/>
        <w:t>​</w:t>
      </w:r>
    </w:p>
    <w:p>
      <w:pPr>
        <w:pStyle w:val="TextBody"/>
        <w:pBdr/>
        <w:spacing w:before="0" w:after="0"/>
        <w:ind w:left="0" w:right="0" w:hanging="720"/>
        <w:jc w:val="both"/>
        <w:rPr/>
      </w:pPr>
      <w:r>
        <w:rPr/>
        <w:t>​</w:t>
      </w:r>
    </w:p>
    <w:p>
      <w:pPr>
        <w:pStyle w:val="TextBody"/>
        <w:spacing w:before="0" w:after="0"/>
        <w:ind w:left="0" w:right="0" w:hanging="0"/>
        <w:jc w:val="both"/>
        <w:rPr>
          <w:rFonts w:ascii="Times New Roman;Times;serif" w:hAnsi="Times New Roman;Times;serif"/>
          <w:i/>
          <w:sz w:val="24"/>
        </w:rPr>
      </w:pPr>
      <w:r>
        <w:rPr>
          <w:rFonts w:ascii="Times New Roman;Times;serif" w:hAnsi="Times New Roman;Times;serif"/>
          <w:i/>
          <w:sz w:val="24"/>
        </w:rPr>
        <w:t>[Signature page follows]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Supplemental Agreement has been signed by the Parties hereto as of the date first written above.</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7321" w:type="dxa"/>
        <w:jc w:val="left"/>
        <w:tblInd w:w="0" w:type="dxa"/>
        <w:tblCellMar>
          <w:top w:w="0" w:type="dxa"/>
          <w:left w:w="0" w:type="dxa"/>
          <w:bottom w:w="0" w:type="dxa"/>
          <w:right w:w="0" w:type="dxa"/>
        </w:tblCellMar>
      </w:tblPr>
      <w:tblGrid>
        <w:gridCol w:w="124"/>
        <w:gridCol w:w="1186"/>
        <w:gridCol w:w="326"/>
        <w:gridCol w:w="5121"/>
        <w:gridCol w:w="56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78740" cy="175260"/>
                      <wp:effectExtent l="0" t="0" r="0" b="0"/>
                      <wp:wrapNone/>
                      <wp:docPr id="630" name="Frame62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753110" cy="175260"/>
                      <wp:effectExtent l="0" t="0" r="0" b="0"/>
                      <wp:wrapNone/>
                      <wp:docPr id="631" name="Frame630"/>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2" name="Frame6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3251835" cy="175260"/>
                      <wp:effectExtent l="0" t="0" r="0" b="0"/>
                      <wp:wrapNone/>
                      <wp:docPr id="633" name="Frame632"/>
                      <a:graphic xmlns:a="http://schemas.openxmlformats.org/drawingml/2006/main">
                        <a:graphicData uri="http://schemas.microsoft.com/office/word/2010/wordprocessingShape">
                          <wps:wsp>
                            <wps:cNvSpPr txBox="1"/>
                            <wps:spPr>
                              <a:xfrm>
                                <a:off x="0" y="0"/>
                                <a:ext cx="325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358140" cy="175260"/>
                      <wp:effectExtent l="0" t="0" r="0" b="0"/>
                      <wp:wrapNone/>
                      <wp:docPr id="634" name="Frame633"/>
                      <a:graphic xmlns:a="http://schemas.openxmlformats.org/drawingml/2006/main">
                        <a:graphicData uri="http://schemas.microsoft.com/office/word/2010/wordprocessingShape">
                          <wps:wsp>
                            <wps:cNvSpPr txBox="1"/>
                            <wps:spPr>
                              <a:xfrm>
                                <a:off x="0" y="0"/>
                                <a:ext cx="358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Lender:</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Seal :</w:t>
            </w:r>
          </w:p>
        </w:tc>
        <w:tc>
          <w:tcPr>
            <w:tcW w:w="56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pPr>
            <w:r>
              <w:rPr/>
              <w:t>​</w:t>
            </w:r>
          </w:p>
        </w:tc>
        <w:tc>
          <w:tcPr>
            <w:tcW w:w="56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pPr>
            <w:r>
              <w:rPr/>
              <w:t>​</w:t>
            </w:r>
          </w:p>
        </w:tc>
        <w:tc>
          <w:tcPr>
            <w:tcW w:w="56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pPr>
            <w:r>
              <w:rPr/>
              <w:t>​</w:t>
            </w:r>
          </w:p>
        </w:tc>
        <w:tc>
          <w:tcPr>
            <w:tcW w:w="56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Borrower:</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Dong Zhang</w:t>
            </w:r>
          </w:p>
        </w:tc>
        <w:tc>
          <w:tcPr>
            <w:tcW w:w="56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pPr>
            <w:r>
              <w:rPr/>
              <w:t>​</w:t>
            </w:r>
          </w:p>
        </w:tc>
        <w:tc>
          <w:tcPr>
            <w:tcW w:w="56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21"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56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p>
    <w:p>
      <w:pPr>
        <w:pStyle w:val="TextBody"/>
        <w:spacing w:before="0" w:after="0"/>
        <w:ind w:left="0" w:right="0" w:hanging="0"/>
        <w:rPr/>
      </w:pPr>
      <w:r>
        <w:rPr/>
        <w:t>​</w:t>
      </w:r>
    </w:p>
    <w:tbl>
      <w:tblPr>
        <w:tblW w:w="4742" w:type="dxa"/>
        <w:jc w:val="left"/>
        <w:tblInd w:w="0" w:type="dxa"/>
        <w:tblCellMar>
          <w:top w:w="0" w:type="dxa"/>
          <w:left w:w="0" w:type="dxa"/>
          <w:bottom w:w="0" w:type="dxa"/>
          <w:right w:w="0" w:type="dxa"/>
        </w:tblCellMar>
      </w:tblPr>
      <w:tblGrid>
        <w:gridCol w:w="1156"/>
        <w:gridCol w:w="3586"/>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34060" cy="175260"/>
                      <wp:effectExtent l="0" t="0" r="0" b="0"/>
                      <wp:wrapNone/>
                      <wp:docPr id="635" name="Frame634"/>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277110" cy="175260"/>
                      <wp:effectExtent l="0" t="0" r="0" b="0"/>
                      <wp:wrapNone/>
                      <wp:docPr id="636" name="Frame635"/>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 xml:space="preserve">Exhibit B </w:t>
            </w:r>
          </w:p>
        </w:tc>
        <w:tc>
          <w:tcPr>
            <w:tcW w:w="358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SPOUSAL CONSENT LETTER</w:t>
            </w:r>
          </w:p>
        </w:tc>
      </w:tr>
    </w:tbl>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        (ID Card No.:          ), am the lawful spouse of Dong Zhang (ID Card No.:           ).  I hereby unconditionally consent and agree that the disposition of the equity interest in </w:t>
      </w:r>
      <w:r>
        <w:rPr>
          <w:rFonts w:ascii="Times New Roman;Times;serif" w:hAnsi="Times New Roman;Times;serif"/>
          <w:sz w:val="24"/>
          <w:u w:val="single"/>
        </w:rPr>
        <w:t>Hangzhou Yuedu Technology Co., Ltd.</w:t>
      </w:r>
      <w:r>
        <w:rPr>
          <w:rFonts w:ascii="Times New Roman;Times;serif" w:hAnsi="Times New Roman;Times;serif"/>
          <w:sz w:val="20"/>
        </w:rPr>
        <w:t xml:space="preserve"> </w:t>
      </w:r>
      <w:r>
        <w:rPr>
          <w:rFonts w:ascii="Times New Roman;Times;serif" w:hAnsi="Times New Roman;Times;serif"/>
          <w:sz w:val="24"/>
        </w:rPr>
        <w:t>which is held by and registered under the name of my spouse will be made pursuant to the arrangements under the Loan Agreement dated _________________, the Equity Pledge Agreement dated ______________________, the Exclusive Purchase Option Agreement dated _________________, the Shareholder Voting Right Trust Agreement dated _________________, the Operating Agreement dated _________________, all of which were executed by my spouse as a party, and any other supplemental or related agreement(s) or amendments thereof that may be entered into by my spouse from time to time.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rFonts w:ascii="Times New Roman;Times;serif" w:hAnsi="Times New Roman;Times;serif"/>
          <w:sz w:val="24"/>
        </w:rPr>
        <w:t>________________________</w:t>
      </w:r>
      <w:r>
        <w:rPr>
          <w:rFonts w:eastAsia="Times New Roman;Times;serif"/>
          <w:sz w:val="24"/>
        </w:rPr>
        <w:t>（</w:t>
      </w:r>
      <w:r>
        <w:rPr>
          <w:rFonts w:ascii="Times New Roman;Times;serif" w:hAnsi="Times New Roman;Times;serif"/>
          <w:sz w:val="24"/>
        </w:rPr>
        <w:t>Signature</w:t>
      </w:r>
      <w:r>
        <w:rPr>
          <w:rFonts w:eastAsia="Times New Roman;Times;serif"/>
          <w:sz w:val="24"/>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Date:</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302" w:name="ntes-20221231xex4d52.htm"/>
      <w:bookmarkStart w:id="2303" w:name="ksntes20221231xex4d52"/>
      <w:bookmarkEnd w:id="2302"/>
      <w:bookmarkEnd w:id="2303"/>
      <w:r>
        <w:rPr>
          <w:rFonts w:ascii="Times New Roman;Times;serif" w:hAnsi="Times New Roman;Times;serif"/>
          <w:b/>
          <w:sz w:val="24"/>
        </w:rPr>
        <w:t>Exhibit 4.52</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EQUITY PLEDGE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Equity Pledge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by and among the following parties on</w:t>
      </w:r>
      <w:r>
        <w:rPr>
          <w:rFonts w:ascii="Times New Roman;Times;serif" w:hAnsi="Times New Roman;Times;serif"/>
          <w:sz w:val="20"/>
        </w:rPr>
        <w:t xml:space="preserve"> </w:t>
      </w:r>
      <w:r>
        <w:rPr>
          <w:rFonts w:ascii="Times New Roman;Times;serif" w:hAnsi="Times New Roman;Times;serif"/>
          <w:sz w:val="24"/>
        </w:rPr>
        <w:t>November 9, 2022:</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994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Hangzhou NetEase Cloud Music Technology Co., Ltd. (the “</w:t>
            </w:r>
            <w:r>
              <w:rPr>
                <w:rFonts w:ascii="Times New Roman;Times;serif" w:hAnsi="Times New Roman;Times;serif"/>
                <w:b/>
                <w:sz w:val="24"/>
              </w:rPr>
              <w:t>Pledgee</w:t>
            </w:r>
            <w:r>
              <w:rPr>
                <w:rFonts w:ascii="Times New Roman;Times;serif" w:hAnsi="Times New Roman;Times;serif"/>
                <w:sz w:val="20"/>
              </w:rPr>
              <w:t>”</w:t>
            </w:r>
            <w:r>
              <w:rPr>
                <w:rFonts w:ascii="Times New Roman;Times;serif" w:hAnsi="Times New Roman;Times;serif"/>
                <w:sz w:val="24"/>
              </w:rPr>
              <w:t>), a wholly foreign owned enterprise registered in Hangzhou, People’s Republic of China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with its address at</w:t>
            </w:r>
            <w:r>
              <w:rPr>
                <w:rFonts w:ascii="Times New Roman;Times;serif" w:hAnsi="Times New Roman;Times;serif"/>
                <w:sz w:val="20"/>
              </w:rPr>
              <w:t xml:space="preserve"> </w:t>
            </w:r>
            <w:r>
              <w:rPr>
                <w:rFonts w:ascii="Times New Roman;Times;serif" w:hAnsi="Times New Roman;Times;serif"/>
                <w:sz w:val="24"/>
              </w:rPr>
              <w:t>Room 1201, Block A, Hangzhou International Expo Center, No. 353 Benjing Avenue, Qianjiang Century City, Xiaoshan District, Hangzhou, Zhejiang; and</w:t>
            </w:r>
          </w:p>
        </w:tc>
      </w:tr>
    </w:tbl>
    <w:tbl>
      <w:tblPr>
        <w:tblW w:w="4578" w:type="dxa"/>
        <w:jc w:val="left"/>
        <w:tblInd w:w="0" w:type="dxa"/>
        <w:tblCellMar>
          <w:top w:w="0" w:type="dxa"/>
          <w:left w:w="0" w:type="dxa"/>
          <w:bottom w:w="0" w:type="dxa"/>
          <w:right w:w="0" w:type="dxa"/>
        </w:tblCellMar>
      </w:tblPr>
      <w:tblGrid>
        <w:gridCol w:w="23"/>
        <w:gridCol w:w="290"/>
        <w:gridCol w:w="426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2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Dong Zhang (the “</w:t>
            </w:r>
            <w:r>
              <w:rPr>
                <w:rFonts w:ascii="Times New Roman;Times;serif" w:hAnsi="Times New Roman;Times;serif"/>
                <w:b/>
                <w:sz w:val="24"/>
              </w:rPr>
              <w:t>Pledgor</w:t>
            </w:r>
            <w:r>
              <w:rPr>
                <w:rFonts w:ascii="Times New Roman;Times;serif" w:hAnsi="Times New Roman;Times;serif"/>
                <w:sz w:val="20"/>
              </w:rPr>
              <w:t>”</w:t>
            </w:r>
            <w:r>
              <w:rPr>
                <w:rFonts w:ascii="Times New Roman;Times;serif" w:hAnsi="Times New Roman;Times;serif"/>
                <w:sz w:val="24"/>
              </w:rPr>
              <w:t>), a PRC citizen.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The Pledgee and the Pledgor are hereinafter jointly referred to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individually, as a “</w:t>
      </w:r>
      <w:r>
        <w:rPr>
          <w:rFonts w:ascii="Times New Roman;Times;serif" w:hAnsi="Times New Roman;Times;serif"/>
          <w:b/>
          <w:sz w:val="24"/>
        </w:rPr>
        <w:t>Party</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w:t>
      </w:r>
    </w:p>
    <w:tbl>
      <w:tblPr>
        <w:tblW w:w="10205" w:type="dxa"/>
        <w:jc w:val="left"/>
        <w:tblInd w:w="0" w:type="dxa"/>
        <w:tblCellMar>
          <w:top w:w="0" w:type="dxa"/>
          <w:left w:w="0" w:type="dxa"/>
          <w:bottom w:w="0" w:type="dxa"/>
          <w:right w:w="0" w:type="dxa"/>
        </w:tblCellMar>
      </w:tblPr>
      <w:tblGrid>
        <w:gridCol w:w="23"/>
        <w:gridCol w:w="288"/>
        <w:gridCol w:w="9894"/>
      </w:tblGrid>
      <w:tr>
        <w:trPr/>
        <w:tc>
          <w:tcPr>
            <w:tcW w:w="2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89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is a registered shareholder of</w:t>
            </w:r>
            <w:r>
              <w:rPr>
                <w:rFonts w:ascii="Times New Roman;Times;serif" w:hAnsi="Times New Roman;Times;serif"/>
                <w:sz w:val="20"/>
              </w:rPr>
              <w:t xml:space="preserve"> </w:t>
            </w:r>
            <w:r>
              <w:rPr>
                <w:rFonts w:ascii="Times New Roman;Times;serif" w:hAnsi="Times New Roman;Times;serif"/>
                <w:sz w:val="24"/>
              </w:rPr>
              <w:t>Hangzhou Yuedu Technology Co., Ltd., a limited liability company registered in Hangzhou, PRC with its address at</w:t>
            </w:r>
            <w:r>
              <w:rPr>
                <w:rFonts w:ascii="Times New Roman;Times;serif" w:hAnsi="Times New Roman;Times;serif"/>
                <w:sz w:val="20"/>
              </w:rPr>
              <w:t xml:space="preserve"> </w:t>
            </w:r>
            <w:r>
              <w:rPr>
                <w:rFonts w:ascii="Times New Roman;Times;serif" w:hAnsi="Times New Roman;Times;serif"/>
                <w:sz w:val="24"/>
              </w:rPr>
              <w:t>Room 1202, Block A, Hangzhou International Expo Center, No. 353 Benjing Avenue, Qianjiang Century City, Ningwei Street, Xiaoshan District, Hangzhou, Zhejiang</w:t>
            </w:r>
            <w:r>
              <w:rPr>
                <w:rFonts w:ascii="Times New Roman;Times;serif" w:hAnsi="Times New Roman;Times;serif"/>
                <w:sz w:val="20"/>
              </w:rPr>
              <w:t> </w:t>
            </w:r>
            <w:r>
              <w:rPr>
                <w:rFonts w:ascii="Times New Roman;Times;serif" w:hAnsi="Times New Roman;Times;serif"/>
                <w:sz w:val="24"/>
              </w:rPr>
              <w:t>(the “</w:t>
            </w:r>
            <w:r>
              <w:rPr>
                <w:rFonts w:ascii="Times New Roman;Times;serif" w:hAnsi="Times New Roman;Times;serif"/>
                <w:b/>
                <w:sz w:val="24"/>
              </w:rPr>
              <w:t>Domestic Company</w:t>
            </w:r>
            <w:r>
              <w:rPr>
                <w:rFonts w:ascii="Times New Roman;Times;serif" w:hAnsi="Times New Roman;Times;serif"/>
                <w:sz w:val="20"/>
              </w:rPr>
              <w:t>”</w:t>
            </w:r>
            <w:r>
              <w:rPr>
                <w:rFonts w:ascii="Times New Roman;Times;serif" w:hAnsi="Times New Roman;Times;serif"/>
                <w:sz w:val="24"/>
              </w:rPr>
              <w:t xml:space="preserve">), and holds 1% of the equity interests in the Domestic Company. The equity structure of Domestic Company as of the date of execution of this Agreement is set forth in </w:t>
            </w:r>
            <w:r>
              <w:rPr>
                <w:rFonts w:ascii="Times New Roman;Times;serif" w:hAnsi="Times New Roman;Times;serif"/>
                <w:sz w:val="24"/>
                <w:u w:val="single"/>
              </w:rPr>
              <w:t>Appendix I</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283"/>
        <w:gridCol w:w="9899"/>
      </w:tblGrid>
      <w:tr>
        <w:trPr/>
        <w:tc>
          <w:tcPr>
            <w:tcW w:w="2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89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 Loan Agreement signed on the same date of this Agreement between the Pledgee and the Pledgor (as the same may be amended and supplemented from time to time, the “</w:t>
            </w:r>
            <w:r>
              <w:rPr>
                <w:rFonts w:ascii="Times New Roman;Times;serif" w:hAnsi="Times New Roman;Times;serif"/>
                <w:b/>
                <w:sz w:val="24"/>
              </w:rPr>
              <w:t>Loan Agreement</w:t>
            </w:r>
            <w:r>
              <w:rPr>
                <w:rFonts w:ascii="Times New Roman;Times;serif" w:hAnsi="Times New Roman;Times;serif"/>
                <w:sz w:val="20"/>
              </w:rPr>
              <w:t>”</w:t>
            </w:r>
            <w:r>
              <w:rPr>
                <w:rFonts w:ascii="Times New Roman;Times;serif" w:hAnsi="Times New Roman;Times;serif"/>
                <w:sz w:val="24"/>
              </w:rPr>
              <w:t>), the Pledgee has provided a loan to the Pledgor in the original principal amount of RMB100,000.</w:t>
            </w:r>
          </w:p>
        </w:tc>
      </w:tr>
    </w:tbl>
    <w:tbl>
      <w:tblPr>
        <w:tblW w:w="10205" w:type="dxa"/>
        <w:jc w:val="left"/>
        <w:tblInd w:w="0" w:type="dxa"/>
        <w:tblCellMar>
          <w:top w:w="0" w:type="dxa"/>
          <w:left w:w="0" w:type="dxa"/>
          <w:bottom w:w="0" w:type="dxa"/>
          <w:right w:w="0" w:type="dxa"/>
        </w:tblCellMar>
      </w:tblPr>
      <w:tblGrid>
        <w:gridCol w:w="23"/>
        <w:gridCol w:w="274"/>
        <w:gridCol w:w="9908"/>
      </w:tblGrid>
      <w:tr>
        <w:trPr/>
        <w:tc>
          <w:tcPr>
            <w:tcW w:w="2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0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 Shareholder Voting Right Trust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4"/>
              </w:rPr>
              <w:t>Voting Trust Agreement</w:t>
            </w:r>
            <w:r>
              <w:rPr>
                <w:rFonts w:ascii="Times New Roman;Times;serif" w:hAnsi="Times New Roman;Times;serif"/>
                <w:sz w:val="20"/>
              </w:rPr>
              <w:t>”</w:t>
            </w:r>
            <w:r>
              <w:rPr>
                <w:rFonts w:ascii="Times New Roman;Times;serif" w:hAnsi="Times New Roman;Times;serif"/>
                <w:sz w:val="24"/>
              </w:rPr>
              <w:t>), the Pledgor has irrevocably appointed the Pledgee as proxy and vested the Pledgee with full power to exercise on his behalf all of his shareholder’s voting rights in respect of the Domestic Company.</w:t>
            </w:r>
          </w:p>
        </w:tc>
      </w:tr>
    </w:tbl>
    <w:tbl>
      <w:tblPr>
        <w:tblW w:w="10205" w:type="dxa"/>
        <w:jc w:val="left"/>
        <w:tblInd w:w="0" w:type="dxa"/>
        <w:tblCellMar>
          <w:top w:w="0" w:type="dxa"/>
          <w:left w:w="0" w:type="dxa"/>
          <w:bottom w:w="0" w:type="dxa"/>
          <w:right w:w="0" w:type="dxa"/>
        </w:tblCellMar>
      </w:tblPr>
      <w:tblGrid>
        <w:gridCol w:w="23"/>
        <w:gridCol w:w="292"/>
        <w:gridCol w:w="9890"/>
      </w:tblGrid>
      <w:tr>
        <w:trPr/>
        <w:tc>
          <w:tcPr>
            <w:tcW w:w="2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89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an Exclusive Purchase Option Agreement signed on the same date of this Agreement among the Pledgee, the Pledgor and the Domestic Company (as amended and supplemented from time to time, the “</w:t>
            </w:r>
            <w:r>
              <w:rPr>
                <w:rFonts w:ascii="Times New Roman;Times;serif" w:hAnsi="Times New Roman;Times;serif"/>
                <w:b/>
                <w:sz w:val="24"/>
              </w:rPr>
              <w:t>Purchase Option Agreement</w:t>
            </w:r>
            <w:r>
              <w:rPr>
                <w:rFonts w:ascii="Times New Roman;Times;serif" w:hAnsi="Times New Roman;Times;serif"/>
                <w:sz w:val="20"/>
              </w:rPr>
              <w:t>”</w:t>
            </w:r>
            <w:r>
              <w:rPr>
                <w:rFonts w:ascii="Times New Roman;Times;serif" w:hAnsi="Times New Roman;Times;serif"/>
                <w:sz w:val="24"/>
              </w:rPr>
              <w:t>), the Pledgor has irrevocably granted to the Pledgee an option to purchase all or a portion of the Pledgor’s equity interests in the Domestic Company.</w:t>
            </w:r>
          </w:p>
        </w:tc>
      </w:tr>
    </w:tbl>
    <w:tbl>
      <w:tblPr>
        <w:tblW w:w="10205" w:type="dxa"/>
        <w:jc w:val="left"/>
        <w:tblInd w:w="0" w:type="dxa"/>
        <w:tblCellMar>
          <w:top w:w="0" w:type="dxa"/>
          <w:left w:w="0" w:type="dxa"/>
          <w:bottom w:w="0" w:type="dxa"/>
          <w:right w:w="0" w:type="dxa"/>
        </w:tblCellMar>
      </w:tblPr>
      <w:tblGrid>
        <w:gridCol w:w="23"/>
        <w:gridCol w:w="262"/>
        <w:gridCol w:w="9920"/>
      </w:tblGrid>
      <w:tr>
        <w:trPr/>
        <w:tc>
          <w:tcPr>
            <w:tcW w:w="2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Pursuant to an Operating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4"/>
              </w:rPr>
              <w:t>Operating Agreement</w:t>
            </w:r>
            <w:r>
              <w:rPr>
                <w:rFonts w:ascii="Times New Roman;Times;serif" w:hAnsi="Times New Roman;Times;serif"/>
                <w:sz w:val="20"/>
              </w:rPr>
              <w:t>”</w:t>
            </w:r>
            <w:r>
              <w:rPr>
                <w:rFonts w:ascii="Times New Roman;Times;serif" w:hAnsi="Times New Roman;Times;serif"/>
                <w:sz w:val="24"/>
              </w:rPr>
              <w:t>), the Pledgor has agreed, among other things, not to engage in certain transactions relating to the Domestic Company without the Pledgee’s prior written consent.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49"/>
        <w:gridCol w:w="9933"/>
      </w:tblGrid>
      <w:tr>
        <w:trPr/>
        <w:tc>
          <w:tcPr>
            <w:tcW w:w="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3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security for performance by the Pledgor of the Contract Obligations (as defined below) and discharge and satisfaction of the Secured Debts (as defined below), the Pledgor has agreed to pledge all of his equity interests in the Domestic Company to the Pledgee and grants the Pledgee the right to repayment in first priority on and subject to the terms of this Agreement.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Therefore</w:t>
      </w:r>
      <w:r>
        <w:rPr>
          <w:rFonts w:ascii="Times New Roman;Times;serif" w:hAnsi="Times New Roman;Times;serif"/>
          <w:sz w:val="24"/>
        </w:rPr>
        <w:t>, the Parties enter into this Agreement as follows upon friendly negotiation:</w:t>
      </w:r>
    </w:p>
    <w:tbl>
      <w:tblPr>
        <w:tblW w:w="1315" w:type="dxa"/>
        <w:jc w:val="left"/>
        <w:tblInd w:w="0" w:type="dxa"/>
        <w:tblCellMar>
          <w:top w:w="0" w:type="dxa"/>
          <w:left w:w="0" w:type="dxa"/>
          <w:bottom w:w="0" w:type="dxa"/>
          <w:right w:w="0" w:type="dxa"/>
        </w:tblCellMar>
      </w:tblPr>
      <w:tblGrid>
        <w:gridCol w:w="200"/>
        <w:gridCol w:w="111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w:t>
            </w:r>
          </w:p>
        </w:tc>
        <w:tc>
          <w:tcPr>
            <w:tcW w:w="111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Definitions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Unless the context otherwise requires, the following terms in this Agreement shall have the following meanings:</w:t>
            </w:r>
          </w:p>
        </w:tc>
      </w:tr>
    </w:tbl>
    <w:p>
      <w:pPr>
        <w:pStyle w:val="TextBody"/>
        <w:spacing w:before="0" w:after="240"/>
        <w:ind w:left="1440" w:right="0" w:hanging="0"/>
        <w:jc w:val="both"/>
        <w:rPr/>
      </w:pPr>
      <w:r>
        <w:rPr/>
        <w:t>“</w:t>
      </w:r>
      <w:r>
        <w:rPr>
          <w:rFonts w:ascii="Times New Roman;Times;serif" w:hAnsi="Times New Roman;Times;serif"/>
          <w:b/>
          <w:sz w:val="24"/>
        </w:rPr>
        <w:t>Breaching Event”</w:t>
      </w:r>
      <w:r>
        <w:rPr>
          <w:rFonts w:ascii="Times New Roman;Times;serif" w:hAnsi="Times New Roman;Times;serif"/>
          <w:sz w:val="20"/>
        </w:rPr>
        <w:t xml:space="preserve"> </w:t>
      </w:r>
      <w:r>
        <w:rPr>
          <w:rFonts w:ascii="Times New Roman;Times;serif" w:hAnsi="Times New Roman;Times;serif"/>
          <w:sz w:val="24"/>
        </w:rPr>
        <w:t>shall mean any breach by the Pledgor of any of his Contract Obligations (as defined below).</w:t>
      </w:r>
    </w:p>
    <w:p>
      <w:pPr>
        <w:pStyle w:val="TextBody"/>
        <w:spacing w:before="0" w:after="240"/>
        <w:ind w:left="1440" w:right="0" w:hanging="0"/>
        <w:jc w:val="both"/>
        <w:rPr/>
      </w:pPr>
      <w:r>
        <w:rPr/>
        <w:t>“</w:t>
      </w:r>
      <w:r>
        <w:rPr>
          <w:rFonts w:ascii="Times New Roman;Times;serif" w:hAnsi="Times New Roman;Times;serif"/>
          <w:b/>
          <w:sz w:val="24"/>
        </w:rPr>
        <w:t>Contract Obligations”</w:t>
      </w:r>
      <w:r>
        <w:rPr>
          <w:rFonts w:ascii="Times New Roman;Times;serif" w:hAnsi="Times New Roman;Times;serif"/>
          <w:sz w:val="20"/>
        </w:rPr>
        <w:t xml:space="preserve"> </w:t>
      </w:r>
      <w:r>
        <w:rPr>
          <w:rFonts w:ascii="Times New Roman;Times;serif" w:hAnsi="Times New Roman;Times;serif"/>
          <w:sz w:val="24"/>
        </w:rPr>
        <w:t>shall mean the obligations of the Pledgor to repay the Loan (as defined in the Loan Agreement) under the Loan 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pStyle w:val="TextBody"/>
        <w:spacing w:before="0" w:after="240"/>
        <w:ind w:left="1440" w:right="0" w:hanging="0"/>
        <w:jc w:val="both"/>
        <w:rPr/>
      </w:pPr>
      <w:r>
        <w:rPr/>
        <w:t>“</w:t>
      </w:r>
      <w:r>
        <w:rPr>
          <w:rFonts w:ascii="Times New Roman;Times;serif" w:hAnsi="Times New Roman;Times;serif"/>
          <w:b/>
          <w:sz w:val="24"/>
        </w:rPr>
        <w:t>Pledged Equity”</w:t>
      </w:r>
      <w:r>
        <w:rPr>
          <w:rFonts w:ascii="Times New Roman;Times;serif" w:hAnsi="Times New Roman;Times;serif"/>
          <w:sz w:val="20"/>
        </w:rPr>
        <w:t xml:space="preserve"> </w:t>
      </w:r>
      <w:r>
        <w:rPr>
          <w:rFonts w:ascii="Times New Roman;Times;serif" w:hAnsi="Times New Roman;Times;serif"/>
          <w:sz w:val="24"/>
        </w:rPr>
        <w:t>shall mean all of the equity interests in the Domestic Company which are legally owned by the Pledgor during the term of this Agreement and are to be pledged to the Pledgee pursuant to the provisions hereof as the security for the performance by the Pledgor of the Contract Obligations.</w:t>
      </w:r>
    </w:p>
    <w:p>
      <w:pPr>
        <w:pStyle w:val="TextBody"/>
        <w:spacing w:before="0" w:after="240"/>
        <w:ind w:left="1440" w:right="0" w:hanging="0"/>
        <w:jc w:val="both"/>
        <w:rPr/>
      </w:pPr>
      <w:r>
        <w:rPr/>
        <w:t>“</w:t>
      </w:r>
      <w:r>
        <w:rPr>
          <w:rFonts w:ascii="Times New Roman;Times;serif" w:hAnsi="Times New Roman;Times;serif"/>
          <w:b/>
          <w:sz w:val="24"/>
        </w:rPr>
        <w:t>PRC Law”</w:t>
      </w:r>
      <w:r>
        <w:rPr>
          <w:rFonts w:ascii="Times New Roman;Times;serif" w:hAnsi="Times New Roman;Times;serif"/>
          <w:sz w:val="20"/>
        </w:rPr>
        <w:t xml:space="preserve"> </w:t>
      </w:r>
      <w:r>
        <w:rPr>
          <w:rFonts w:ascii="Times New Roman;Times;serif" w:hAnsi="Times New Roman;Times;serif"/>
          <w:sz w:val="24"/>
        </w:rPr>
        <w:t>shall mean the then valid laws, administrative regulations, administrative rules, local regulations, judicial interpretations and other binding regulatory documents of the PRC.</w:t>
      </w:r>
    </w:p>
    <w:p>
      <w:pPr>
        <w:pStyle w:val="TextBody"/>
        <w:spacing w:before="0" w:after="240"/>
        <w:ind w:left="1440" w:right="0" w:hanging="0"/>
        <w:jc w:val="both"/>
        <w:rPr/>
      </w:pPr>
      <w:r>
        <w:rPr/>
        <w:t>“</w:t>
      </w:r>
      <w:r>
        <w:rPr>
          <w:rFonts w:ascii="Times New Roman;Times;serif" w:hAnsi="Times New Roman;Times;serif"/>
          <w:b/>
          <w:sz w:val="24"/>
        </w:rPr>
        <w:t>Secured Debts”</w:t>
      </w:r>
      <w:r>
        <w:rPr>
          <w:rFonts w:ascii="Times New Roman;Times;serif" w:hAnsi="Times New Roman;Times;serif"/>
          <w:sz w:val="20"/>
        </w:rPr>
        <w:t xml:space="preserve"> </w:t>
      </w:r>
      <w:r>
        <w:rPr>
          <w:rFonts w:ascii="Times New Roman;Times;serif" w:hAnsi="Times New Roman;Times;serif"/>
          <w:sz w:val="24"/>
        </w:rPr>
        <w:t>shall mean all direct, indirect and consequential losses and losses of foreseeable profits suffered by the Pledgee due to any Breaching Event of any of the Pledgor, and all fees incurred by Pledgee for the enforcement of the Contract Obligations of the Pledgor.</w:t>
      </w:r>
    </w:p>
    <w:p>
      <w:pPr>
        <w:pStyle w:val="TextBody"/>
        <w:spacing w:before="0" w:after="240"/>
        <w:ind w:left="1440" w:right="0" w:hanging="0"/>
        <w:jc w:val="both"/>
        <w:rPr/>
      </w:pPr>
      <w:r>
        <w:rPr/>
        <w:t>“</w:t>
      </w:r>
      <w:r>
        <w:rPr>
          <w:rFonts w:ascii="Times New Roman;Times;serif" w:hAnsi="Times New Roman;Times;serif"/>
          <w:b/>
          <w:sz w:val="24"/>
        </w:rPr>
        <w:t>Transaction Agreements”</w:t>
      </w:r>
      <w:r>
        <w:rPr>
          <w:rFonts w:ascii="Times New Roman;Times;serif" w:hAnsi="Times New Roman;Times;serif"/>
          <w:sz w:val="20"/>
        </w:rPr>
        <w:t xml:space="preserve"> </w:t>
      </w:r>
      <w:r>
        <w:rPr>
          <w:rFonts w:ascii="Times New Roman;Times;serif" w:hAnsi="Times New Roman;Times;serif"/>
          <w:sz w:val="24"/>
        </w:rPr>
        <w:t>shall mean the Cooperation Agreement, the Loan Agreement, the Purchase Option Agreement, the Operating Agreement and the Voting Trust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tbl>
      <w:tblPr>
        <w:tblW w:w="5703" w:type="dxa"/>
        <w:jc w:val="left"/>
        <w:tblInd w:w="0" w:type="dxa"/>
        <w:tblCellMar>
          <w:top w:w="0" w:type="dxa"/>
          <w:left w:w="0" w:type="dxa"/>
          <w:bottom w:w="0" w:type="dxa"/>
          <w:right w:w="0" w:type="dxa"/>
        </w:tblCellMar>
      </w:tblPr>
      <w:tblGrid>
        <w:gridCol w:w="23"/>
        <w:gridCol w:w="320"/>
        <w:gridCol w:w="536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53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references to any PRC Law herein shall be deemed:</w:t>
            </w:r>
          </w:p>
        </w:tc>
      </w:tr>
    </w:tbl>
    <w:p>
      <w:pPr>
        <w:pStyle w:val="TextBody"/>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to include references to the amendments, changes, supplements and reenactments of such law, irrespective of whether they take effect before or after the formation of this Agreement; and</w:t>
      </w:r>
    </w:p>
    <w:p>
      <w:pPr>
        <w:pStyle w:val="TextBody"/>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to include references to other decisions, notices or regulations enacted in accordance therewith or effective as a result thereof.</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Unless otherwise stated in the context herein, all references to an Article, clause, item or paragraph shall refer to the relevant article, clause, item or paragraph of this Agreement.</w:t>
            </w:r>
          </w:p>
        </w:tc>
      </w:tr>
    </w:tbl>
    <w:tbl>
      <w:tblPr>
        <w:tblW w:w="1555" w:type="dxa"/>
        <w:jc w:val="left"/>
        <w:tblInd w:w="0" w:type="dxa"/>
        <w:tblCellMar>
          <w:top w:w="0" w:type="dxa"/>
          <w:left w:w="0" w:type="dxa"/>
          <w:bottom w:w="0" w:type="dxa"/>
          <w:right w:w="0" w:type="dxa"/>
        </w:tblCellMar>
      </w:tblPr>
      <w:tblGrid>
        <w:gridCol w:w="200"/>
        <w:gridCol w:w="135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2.</w:t>
            </w:r>
          </w:p>
        </w:tc>
        <w:tc>
          <w:tcPr>
            <w:tcW w:w="135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Equity Pledge</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Times New Roman;Times;serif" w:hAnsi="Times New Roman;Times;serif"/>
                <w:b/>
                <w:sz w:val="24"/>
              </w:rPr>
              <w:t>Equity Pledge</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shall have been or will be registered at the local branch of State Administration for Market Regulation (“</w:t>
            </w:r>
            <w:r>
              <w:rPr>
                <w:rFonts w:ascii="Times New Roman;Times;serif" w:hAnsi="Times New Roman;Times;serif"/>
                <w:b/>
                <w:sz w:val="24"/>
              </w:rPr>
              <w:t>SAMR</w:t>
            </w:r>
            <w:r>
              <w:rPr>
                <w:rFonts w:ascii="Times New Roman;Times;serif" w:hAnsi="Times New Roman;Times;serif"/>
                <w:sz w:val="20"/>
              </w:rPr>
              <w:t>”</w:t>
            </w:r>
            <w:r>
              <w:rPr>
                <w:rFonts w:ascii="Times New Roman;Times;serif" w:hAnsi="Times New Roman;Times;serif"/>
                <w:sz w:val="24"/>
              </w:rPr>
              <w:t xml:space="preserve">) as one of the shareholders of the Domestic Company holding his proportion of the equity interests in the Domestic Company as set forth in </w:t>
            </w:r>
            <w:r>
              <w:rPr>
                <w:rFonts w:ascii="Times New Roman;Times;serif" w:hAnsi="Times New Roman;Times;serif"/>
                <w:sz w:val="24"/>
                <w:u w:val="single"/>
              </w:rPr>
              <w:t>Appendix I</w:t>
            </w:r>
            <w:r>
              <w:rPr>
                <w:rFonts w:ascii="Times New Roman;Times;serif" w:hAnsi="Times New Roman;Times;serif"/>
                <w:sz w:val="20"/>
              </w:rPr>
              <w:t xml:space="preserve"> </w:t>
            </w:r>
            <w:r>
              <w:rPr>
                <w:rFonts w:ascii="Times New Roman;Times;serif" w:hAnsi="Times New Roman;Times;serif"/>
                <w:sz w:val="24"/>
              </w:rPr>
              <w:t>above and hold such equity interests free and clear of encumbrances except for the Equity Pledge as provided in this Agreement and/or as otherwise agreed by the Parties.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2.3</w:t>
            </w:r>
          </w:p>
        </w:tc>
        <w:tc>
          <w:tcPr>
            <w:tcW w:w="98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Pledgor hereby undertakes that he will be responsible for recording the Equity Pledge on the register of equityholders of the Domestic Company on the date hereof or as soon as practicable from the date hereof, and will use his best endeavors to register the Equity Pledge with SAMR (the “</w:t>
            </w:r>
            <w:r>
              <w:rPr>
                <w:rFonts w:ascii="Times New Roman;Times;serif" w:hAnsi="Times New Roman;Times;serif"/>
                <w:b/>
                <w:sz w:val="24"/>
              </w:rPr>
              <w:t>Registration of Equity Pledge</w:t>
            </w:r>
            <w:r>
              <w:rPr>
                <w:rFonts w:ascii="Times New Roman;Times;serif" w:hAnsi="Times New Roman;Times;serif"/>
                <w:sz w:val="20"/>
              </w:rPr>
              <w:t>”</w:t>
            </w:r>
            <w:r>
              <w:rPr>
                <w:rFonts w:ascii="Times New Roman;Times;serif" w:hAnsi="Times New Roman;Times;serif"/>
                <w:sz w:val="24"/>
              </w:rPr>
              <w:t>). In the event the SAMR requires that the Registration of Equity Pledge be completed by using an equity pledge agreement between the Parties substantially in form stipulated by the SAMR, subject to Section 13.5, the Parties shall enter into an equity pledge agreement in such stipulated form (the “</w:t>
            </w:r>
            <w:r>
              <w:rPr>
                <w:rFonts w:ascii="Times New Roman;Times;serif" w:hAnsi="Times New Roman;Times;serif"/>
                <w:b/>
                <w:sz w:val="24"/>
              </w:rPr>
              <w:t>Registration Version</w:t>
            </w:r>
            <w:r>
              <w:rPr>
                <w:rFonts w:ascii="Times New Roman;Times;serif" w:hAnsi="Times New Roman;Times;serif"/>
                <w:sz w:val="20"/>
              </w:rPr>
              <w:t>”</w:t>
            </w:r>
            <w:r>
              <w:rPr>
                <w:rFonts w:ascii="Times New Roman;Times;serif" w:hAnsi="Times New Roman;Times;serif"/>
                <w:sz w:val="24"/>
              </w:rPr>
              <w:t>) and the Pledgor shall and hereby undertakes that he will use his best endeavors to register the Equity Pledge with SAMR by using the Registration Version.</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During the term of this Agreement, the Pledgee shall not be liable in any way for impairment in value of the Pledged Equity, nor shall the Pledgor have any right to make any claims against the Pledgee for such impairment in value.</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2.5</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Upon the occurrence of any Breaching Event, the Pledgee shall have the right to dispose of the Pledged Equity in the manner set forth in Article 4 hereof.</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2.6</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increase the registered capital of the Domestic Company by contributing additional capital, or allowing any third party to contribute additional capital to the Domestic Company.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2.7</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consent to the adoption of any shareholders’ resolution or by any other means permit the Domestic Company to declare or distribute any dividends or profits.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2.8</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of the Pledgee, the Pledgor shall not enter into any transactions with the Domestic Company.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2.9</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During the term of the Equity Pledge, the Pledgor shall deliver to the Pledgee’s custody the original capital contribution certificate for the Pledged Equity and the original equityholders’ register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containing the Equity Pledge). The Pledgee shall take custody of such original documents during the entire term of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2.10</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shall have the right to collect dividends or any other distribution paid with respect to the Pledged Equity during the term of this Agreement.</w:t>
            </w:r>
          </w:p>
        </w:tc>
      </w:tr>
    </w:tbl>
    <w:tbl>
      <w:tblPr>
        <w:tblW w:w="1975" w:type="dxa"/>
        <w:jc w:val="left"/>
        <w:tblInd w:w="0" w:type="dxa"/>
        <w:tblCellMar>
          <w:top w:w="0" w:type="dxa"/>
          <w:left w:w="0" w:type="dxa"/>
          <w:bottom w:w="0" w:type="dxa"/>
          <w:right w:w="0" w:type="dxa"/>
        </w:tblCellMar>
      </w:tblPr>
      <w:tblGrid>
        <w:gridCol w:w="200"/>
        <w:gridCol w:w="177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3.</w:t>
            </w:r>
          </w:p>
        </w:tc>
        <w:tc>
          <w:tcPr>
            <w:tcW w:w="177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Release of Pledge</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of the Domestic Company and the registration with SAMR, and all expenses reasonably incurred in connection with such release shall be borne by the Domestic Company. The Parties shall procure the Domestic Company to bear such expenses.</w:t>
      </w:r>
    </w:p>
    <w:tbl>
      <w:tblPr>
        <w:tblW w:w="3325" w:type="dxa"/>
        <w:jc w:val="left"/>
        <w:tblInd w:w="0" w:type="dxa"/>
        <w:tblCellMar>
          <w:top w:w="0" w:type="dxa"/>
          <w:left w:w="0" w:type="dxa"/>
          <w:bottom w:w="0" w:type="dxa"/>
          <w:right w:w="0" w:type="dxa"/>
        </w:tblCellMar>
      </w:tblPr>
      <w:tblGrid>
        <w:gridCol w:w="200"/>
        <w:gridCol w:w="312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4.</w:t>
            </w:r>
          </w:p>
        </w:tc>
        <w:tc>
          <w:tcPr>
            <w:tcW w:w="312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Disposal of the Pledged Equity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shall have the right to designate in writing its legal counsel or other agents to exercise on its behalf any and all rights and powers referred to above, and the Pledgor shall not raise any objection thereto.</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proceeds that the Pledgee acquires from the exercise of its rights and powers shall be applied in the following order of priority:</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(1)</w:t>
            </w:r>
          </w:p>
        </w:tc>
        <w:tc>
          <w:tcPr>
            <w:tcW w:w="993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first, to pay any cost incurred in connection with the disposal of the Pledged Equity and the exercise by the Pledgee of its rights and powers (including remuneration paid to its legal counsels and agents);</w:t>
            </w:r>
          </w:p>
        </w:tc>
      </w:tr>
    </w:tbl>
    <w:tbl>
      <w:tblPr>
        <w:tblW w:w="10205" w:type="dxa"/>
        <w:jc w:val="left"/>
        <w:tblInd w:w="0" w:type="dxa"/>
        <w:tblCellMar>
          <w:top w:w="0" w:type="dxa"/>
          <w:left w:w="0" w:type="dxa"/>
          <w:bottom w:w="0" w:type="dxa"/>
          <w:right w:w="0" w:type="dxa"/>
        </w:tblCellMar>
      </w:tblPr>
      <w:tblGrid>
        <w:gridCol w:w="23"/>
        <w:gridCol w:w="263"/>
        <w:gridCol w:w="9919"/>
      </w:tblGrid>
      <w:tr>
        <w:trPr/>
        <w:tc>
          <w:tcPr>
            <w:tcW w:w="2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(2)</w:t>
            </w:r>
          </w:p>
        </w:tc>
        <w:tc>
          <w:tcPr>
            <w:tcW w:w="9919"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second, to pay any taxes and levies payable for the disposal of the Pledged Equity (for the avoidance of doubt, such taxes do not include any income tax); and</w:t>
            </w:r>
          </w:p>
        </w:tc>
      </w:tr>
    </w:tbl>
    <w:tbl>
      <w:tblPr>
        <w:tblW w:w="4983" w:type="dxa"/>
        <w:jc w:val="left"/>
        <w:tblInd w:w="0" w:type="dxa"/>
        <w:tblCellMar>
          <w:top w:w="0" w:type="dxa"/>
          <w:left w:w="0" w:type="dxa"/>
          <w:bottom w:w="0" w:type="dxa"/>
          <w:right w:w="0" w:type="dxa"/>
        </w:tblCellMar>
      </w:tblPr>
      <w:tblGrid>
        <w:gridCol w:w="23"/>
        <w:gridCol w:w="290"/>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46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third, to repay the Pledgee for the Secured Debts.</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tbl>
      <w:tblPr>
        <w:tblW w:w="2935" w:type="dxa"/>
        <w:jc w:val="left"/>
        <w:tblInd w:w="0" w:type="dxa"/>
        <w:tblCellMar>
          <w:top w:w="0" w:type="dxa"/>
          <w:left w:w="0" w:type="dxa"/>
          <w:bottom w:w="0" w:type="dxa"/>
          <w:right w:w="0" w:type="dxa"/>
        </w:tblCellMar>
      </w:tblPr>
      <w:tblGrid>
        <w:gridCol w:w="200"/>
        <w:gridCol w:w="273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5.</w:t>
            </w:r>
          </w:p>
        </w:tc>
        <w:tc>
          <w:tcPr>
            <w:tcW w:w="27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Continuity and No Waiver</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tbl>
      <w:tblPr>
        <w:tblW w:w="3520" w:type="dxa"/>
        <w:jc w:val="left"/>
        <w:tblInd w:w="0" w:type="dxa"/>
        <w:tblCellMar>
          <w:top w:w="0" w:type="dxa"/>
          <w:left w:w="0" w:type="dxa"/>
          <w:bottom w:w="0" w:type="dxa"/>
          <w:right w:w="0" w:type="dxa"/>
        </w:tblCellMar>
      </w:tblPr>
      <w:tblGrid>
        <w:gridCol w:w="200"/>
        <w:gridCol w:w="33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6.</w:t>
            </w:r>
          </w:p>
        </w:tc>
        <w:tc>
          <w:tcPr>
            <w:tcW w:w="3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Representations and Warranties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of this Agreement through the date of termination or expiration of this Agreement, the Pledgor hereby represents and warrants as follows:</w:t>
            </w:r>
          </w:p>
        </w:tc>
      </w:tr>
    </w:tbl>
    <w:tbl>
      <w:tblPr>
        <w:tblW w:w="10205" w:type="dxa"/>
        <w:jc w:val="left"/>
        <w:tblInd w:w="0" w:type="dxa"/>
        <w:tblCellMar>
          <w:top w:w="0" w:type="dxa"/>
          <w:left w:w="0" w:type="dxa"/>
          <w:bottom w:w="0" w:type="dxa"/>
          <w:right w:w="0" w:type="dxa"/>
        </w:tblCellMar>
      </w:tblPr>
      <w:tblGrid>
        <w:gridCol w:w="23"/>
        <w:gridCol w:w="266"/>
        <w:gridCol w:w="9916"/>
      </w:tblGrid>
      <w:tr>
        <w:trPr/>
        <w:tc>
          <w:tcPr>
            <w:tcW w:w="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1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is a PRC citizen with power and capacity to execute and perform his obligations under this Agreement.</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8598" w:type="dxa"/>
        <w:jc w:val="left"/>
        <w:tblInd w:w="0" w:type="dxa"/>
        <w:tblCellMar>
          <w:top w:w="0" w:type="dxa"/>
          <w:left w:w="0" w:type="dxa"/>
          <w:bottom w:w="0" w:type="dxa"/>
          <w:right w:w="0" w:type="dxa"/>
        </w:tblCellMar>
      </w:tblPr>
      <w:tblGrid>
        <w:gridCol w:w="23"/>
        <w:gridCol w:w="275"/>
        <w:gridCol w:w="830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83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constitutes the lawful, valid and enforceable obligations of the Pledgor.</w:t>
            </w:r>
          </w:p>
        </w:tc>
      </w:tr>
    </w:tbl>
    <w:tbl>
      <w:tblPr>
        <w:tblW w:w="10205" w:type="dxa"/>
        <w:jc w:val="left"/>
        <w:tblInd w:w="0" w:type="dxa"/>
        <w:tblCellMar>
          <w:top w:w="0" w:type="dxa"/>
          <w:left w:w="0" w:type="dxa"/>
          <w:bottom w:w="0" w:type="dxa"/>
          <w:right w:w="0" w:type="dxa"/>
        </w:tblCellMar>
      </w:tblPr>
      <w:tblGrid>
        <w:gridCol w:w="23"/>
        <w:gridCol w:w="273"/>
        <w:gridCol w:w="9909"/>
      </w:tblGrid>
      <w:tr>
        <w:trPr/>
        <w:tc>
          <w:tcPr>
            <w:tcW w:w="2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0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reports, documents and information provided by the Pledgor to the Pledgee are true, correct and accurate in all material respects.</w:t>
            </w:r>
          </w:p>
        </w:tc>
      </w:tr>
    </w:tbl>
    <w:tbl>
      <w:tblPr>
        <w:tblW w:w="10205" w:type="dxa"/>
        <w:jc w:val="left"/>
        <w:tblInd w:w="0" w:type="dxa"/>
        <w:tblCellMar>
          <w:top w:w="0" w:type="dxa"/>
          <w:left w:w="0" w:type="dxa"/>
          <w:bottom w:w="0" w:type="dxa"/>
          <w:right w:w="0" w:type="dxa"/>
        </w:tblCellMar>
      </w:tblPr>
      <w:tblGrid>
        <w:gridCol w:w="23"/>
        <w:gridCol w:w="221"/>
        <w:gridCol w:w="9961"/>
      </w:tblGrid>
      <w:tr>
        <w:trPr/>
        <w:tc>
          <w:tcPr>
            <w:tcW w:w="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Except for the encumbrance set on the Pledged Equity hereunder and otherwise agreed by the Parties and the rights set forth under the Transaction Agreements, there is no other encumbrance or third party interest over the Pledged Equity.</w:t>
            </w:r>
          </w:p>
        </w:tc>
      </w:tr>
    </w:tbl>
    <w:tbl>
      <w:tblPr>
        <w:tblW w:w="10205" w:type="dxa"/>
        <w:jc w:val="left"/>
        <w:tblInd w:w="0" w:type="dxa"/>
        <w:tblCellMar>
          <w:top w:w="0" w:type="dxa"/>
          <w:left w:w="0" w:type="dxa"/>
          <w:bottom w:w="0" w:type="dxa"/>
          <w:right w:w="0" w:type="dxa"/>
        </w:tblCellMar>
      </w:tblPr>
      <w:tblGrid>
        <w:gridCol w:w="23"/>
        <w:gridCol w:w="251"/>
        <w:gridCol w:w="9931"/>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w:t>
            </w:r>
          </w:p>
        </w:tc>
        <w:tc>
          <w:tcPr>
            <w:tcW w:w="99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Pledged Equity is capable of being pledged or transferred according to PRC Law, and the Pledgor has the full right and power to pledge the Pledged Equity to the Pledgee according to this Agreement.</w:t>
            </w:r>
          </w:p>
        </w:tc>
      </w:tr>
    </w:tbl>
    <w:tbl>
      <w:tblPr>
        <w:tblW w:w="10205" w:type="dxa"/>
        <w:jc w:val="left"/>
        <w:tblInd w:w="0" w:type="dxa"/>
        <w:tblCellMar>
          <w:top w:w="0" w:type="dxa"/>
          <w:left w:w="0" w:type="dxa"/>
          <w:bottom w:w="0" w:type="dxa"/>
          <w:right w:w="0" w:type="dxa"/>
        </w:tblCellMar>
      </w:tblPr>
      <w:tblGrid>
        <w:gridCol w:w="23"/>
        <w:gridCol w:w="231"/>
        <w:gridCol w:w="9951"/>
      </w:tblGrid>
      <w:tr>
        <w:trPr/>
        <w:tc>
          <w:tcPr>
            <w:tcW w:w="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w:t>
            </w:r>
          </w:p>
        </w:tc>
        <w:tc>
          <w:tcPr>
            <w:tcW w:w="99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tc>
      </w:tr>
    </w:tbl>
    <w:tbl>
      <w:tblPr>
        <w:tblW w:w="7593" w:type="dxa"/>
        <w:jc w:val="left"/>
        <w:tblInd w:w="0" w:type="dxa"/>
        <w:tblCellMar>
          <w:top w:w="0" w:type="dxa"/>
          <w:left w:w="0" w:type="dxa"/>
          <w:bottom w:w="0" w:type="dxa"/>
          <w:right w:w="0" w:type="dxa"/>
        </w:tblCellMar>
      </w:tblPr>
      <w:tblGrid>
        <w:gridCol w:w="23"/>
        <w:gridCol w:w="230"/>
        <w:gridCol w:w="7340"/>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w:t>
            </w:r>
          </w:p>
        </w:tc>
        <w:tc>
          <w:tcPr>
            <w:tcW w:w="73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Equity Pledge hereunder constitutes a first pledge on the Pledged Equity.</w:t>
            </w:r>
          </w:p>
        </w:tc>
      </w:tr>
    </w:tbl>
    <w:tbl>
      <w:tblPr>
        <w:tblW w:w="10205" w:type="dxa"/>
        <w:jc w:val="left"/>
        <w:tblInd w:w="0" w:type="dxa"/>
        <w:tblCellMar>
          <w:top w:w="0" w:type="dxa"/>
          <w:left w:w="0" w:type="dxa"/>
          <w:bottom w:w="0" w:type="dxa"/>
          <w:right w:w="0" w:type="dxa"/>
        </w:tblCellMar>
      </w:tblPr>
      <w:tblGrid>
        <w:gridCol w:w="23"/>
        <w:gridCol w:w="169"/>
        <w:gridCol w:w="10013"/>
      </w:tblGrid>
      <w:tr>
        <w:trPr/>
        <w:tc>
          <w:tcPr>
            <w:tcW w:w="2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(j)</w:t>
            </w:r>
          </w:p>
        </w:tc>
        <w:tc>
          <w:tcPr>
            <w:tcW w:w="1001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 of the date of this Agreement and during the term of this Agreement through the date of termination or expiration of this Agreement, the Pledgee hereby represents and warrants as follows:</w:t>
            </w:r>
          </w:p>
        </w:tc>
      </w:tr>
    </w:tbl>
    <w:tbl>
      <w:tblPr>
        <w:tblW w:w="9348" w:type="dxa"/>
        <w:jc w:val="left"/>
        <w:tblInd w:w="0" w:type="dxa"/>
        <w:tblCellMar>
          <w:top w:w="0" w:type="dxa"/>
          <w:left w:w="0" w:type="dxa"/>
          <w:bottom w:w="0" w:type="dxa"/>
          <w:right w:w="0" w:type="dxa"/>
        </w:tblCellMar>
      </w:tblPr>
      <w:tblGrid>
        <w:gridCol w:w="23"/>
        <w:gridCol w:w="275"/>
        <w:gridCol w:w="905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0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is a wholly foreign owned enterprise duly registered and existing under PRC Law.</w:t>
            </w:r>
          </w:p>
        </w:tc>
      </w:tr>
    </w:tbl>
    <w:tbl>
      <w:tblPr>
        <w:tblW w:w="10205" w:type="dxa"/>
        <w:jc w:val="left"/>
        <w:tblInd w:w="0" w:type="dxa"/>
        <w:tblCellMar>
          <w:top w:w="0" w:type="dxa"/>
          <w:left w:w="0" w:type="dxa"/>
          <w:bottom w:w="0" w:type="dxa"/>
          <w:right w:w="0" w:type="dxa"/>
        </w:tblCellMar>
      </w:tblPr>
      <w:tblGrid>
        <w:gridCol w:w="23"/>
        <w:gridCol w:w="232"/>
        <w:gridCol w:w="9950"/>
      </w:tblGrid>
      <w:tr>
        <w:trPr/>
        <w:tc>
          <w:tcPr>
            <w:tcW w:w="2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tbl>
      <w:tblPr>
        <w:tblW w:w="8673" w:type="dxa"/>
        <w:jc w:val="left"/>
        <w:tblInd w:w="0" w:type="dxa"/>
        <w:tblCellMar>
          <w:top w:w="0" w:type="dxa"/>
          <w:left w:w="0" w:type="dxa"/>
          <w:bottom w:w="0" w:type="dxa"/>
          <w:right w:w="0" w:type="dxa"/>
        </w:tblCellMar>
      </w:tblPr>
      <w:tblGrid>
        <w:gridCol w:w="23"/>
        <w:gridCol w:w="275"/>
        <w:gridCol w:w="8375"/>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83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constitute lawful, valid and enforceable obligations of the Pledgee.</w:t>
            </w:r>
          </w:p>
        </w:tc>
      </w:tr>
    </w:tbl>
    <w:tbl>
      <w:tblPr>
        <w:tblW w:w="3160" w:type="dxa"/>
        <w:jc w:val="left"/>
        <w:tblInd w:w="0" w:type="dxa"/>
        <w:tblCellMar>
          <w:top w:w="0" w:type="dxa"/>
          <w:left w:w="0" w:type="dxa"/>
          <w:bottom w:w="0" w:type="dxa"/>
          <w:right w:w="0" w:type="dxa"/>
        </w:tblCellMar>
      </w:tblPr>
      <w:tblGrid>
        <w:gridCol w:w="200"/>
        <w:gridCol w:w="296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7.</w:t>
            </w:r>
          </w:p>
        </w:tc>
        <w:tc>
          <w:tcPr>
            <w:tcW w:w="296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Undertakings by the Pledgor</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Pledgor hereby undertakes to the Pledgee as follows:</w:t>
      </w:r>
    </w:p>
    <w:tbl>
      <w:tblPr>
        <w:tblW w:w="10205" w:type="dxa"/>
        <w:jc w:val="left"/>
        <w:tblInd w:w="0" w:type="dxa"/>
        <w:tblCellMar>
          <w:top w:w="0" w:type="dxa"/>
          <w:left w:w="0" w:type="dxa"/>
          <w:bottom w:w="0" w:type="dxa"/>
          <w:right w:w="0" w:type="dxa"/>
        </w:tblCellMar>
      </w:tblPr>
      <w:tblGrid>
        <w:gridCol w:w="23"/>
        <w:gridCol w:w="224"/>
        <w:gridCol w:w="9958"/>
      </w:tblGrid>
      <w:tr>
        <w:trPr/>
        <w:tc>
          <w:tcPr>
            <w:tcW w:w="2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5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tc>
      </w:tr>
    </w:tbl>
    <w:tbl>
      <w:tblPr>
        <w:tblW w:w="10205" w:type="dxa"/>
        <w:jc w:val="left"/>
        <w:tblInd w:w="0" w:type="dxa"/>
        <w:tblCellMar>
          <w:top w:w="0" w:type="dxa"/>
          <w:left w:w="0" w:type="dxa"/>
          <w:bottom w:w="0" w:type="dxa"/>
          <w:right w:w="0" w:type="dxa"/>
        </w:tblCellMar>
      </w:tblPr>
      <w:tblGrid>
        <w:gridCol w:w="23"/>
        <w:gridCol w:w="215"/>
        <w:gridCol w:w="9967"/>
      </w:tblGrid>
      <w:tr>
        <w:trPr/>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6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tc>
      </w:tr>
    </w:tbl>
    <w:tbl>
      <w:tblPr>
        <w:tblW w:w="10205" w:type="dxa"/>
        <w:jc w:val="left"/>
        <w:tblInd w:w="0" w:type="dxa"/>
        <w:tblCellMar>
          <w:top w:w="0" w:type="dxa"/>
          <w:left w:w="0" w:type="dxa"/>
          <w:bottom w:w="0" w:type="dxa"/>
          <w:right w:w="0" w:type="dxa"/>
        </w:tblCellMar>
      </w:tblPr>
      <w:tblGrid>
        <w:gridCol w:w="23"/>
        <w:gridCol w:w="253"/>
        <w:gridCol w:w="9929"/>
      </w:tblGrid>
      <w:tr>
        <w:trPr/>
        <w:tc>
          <w:tcPr>
            <w:tcW w:w="2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2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Pledgor shall not take or permit any act or action which may adversely affect the interest of the Pledgee under the Transaction Agreements and hereunder or in respect of the Pledged Equity.</w:t>
            </w:r>
          </w:p>
        </w:tc>
      </w:tr>
    </w:tbl>
    <w:tbl>
      <w:tblPr>
        <w:tblW w:w="10205" w:type="dxa"/>
        <w:jc w:val="left"/>
        <w:tblInd w:w="0" w:type="dxa"/>
        <w:tblCellMar>
          <w:top w:w="0" w:type="dxa"/>
          <w:left w:w="0" w:type="dxa"/>
          <w:bottom w:w="0" w:type="dxa"/>
          <w:right w:w="0" w:type="dxa"/>
        </w:tblCellMar>
      </w:tblPr>
      <w:tblGrid>
        <w:gridCol w:w="23"/>
        <w:gridCol w:w="221"/>
        <w:gridCol w:w="9961"/>
      </w:tblGrid>
      <w:tr>
        <w:trPr/>
        <w:tc>
          <w:tcPr>
            <w:tcW w:w="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tc>
      </w:tr>
    </w:tbl>
    <w:tbl>
      <w:tblPr>
        <w:tblW w:w="2830" w:type="dxa"/>
        <w:jc w:val="left"/>
        <w:tblInd w:w="0" w:type="dxa"/>
        <w:tblCellMar>
          <w:top w:w="0" w:type="dxa"/>
          <w:left w:w="0" w:type="dxa"/>
          <w:bottom w:w="0" w:type="dxa"/>
          <w:right w:w="0" w:type="dxa"/>
        </w:tblCellMar>
      </w:tblPr>
      <w:tblGrid>
        <w:gridCol w:w="200"/>
        <w:gridCol w:w="263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8.</w:t>
            </w:r>
          </w:p>
        </w:tc>
        <w:tc>
          <w:tcPr>
            <w:tcW w:w="26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Change of Circumstances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keep this Agreement valid and effective;</w:t>
      </w:r>
    </w:p>
    <w:p>
      <w:pPr>
        <w:pStyle w:val="TextBody"/>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facilitate the disposal of the Pledged Equity in the manner provided herein; and/or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rPr>
        <w:t>maintain or realize the intention or the security established hereunder.</w:t>
      </w:r>
    </w:p>
    <w:tbl>
      <w:tblPr>
        <w:tblW w:w="4420" w:type="dxa"/>
        <w:jc w:val="left"/>
        <w:tblInd w:w="0" w:type="dxa"/>
        <w:tblCellMar>
          <w:top w:w="0" w:type="dxa"/>
          <w:left w:w="0" w:type="dxa"/>
          <w:bottom w:w="0" w:type="dxa"/>
          <w:right w:w="0" w:type="dxa"/>
        </w:tblCellMar>
      </w:tblPr>
      <w:tblGrid>
        <w:gridCol w:w="200"/>
        <w:gridCol w:w="422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9.</w:t>
            </w:r>
          </w:p>
        </w:tc>
        <w:tc>
          <w:tcPr>
            <w:tcW w:w="42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Effectiveness and Term of the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when it has been duly executed by the parties hereto and recorded in the register of equityholders of the Domestic Company, and the Equity Pledge under this Agreement or the Registration Version, as applicable, shall become effective when it has been registered with SAMR to the extent permitted by SAMR. The Pledgor shall carry out all the approval and registration formalities in a timely manner as required by PRC Law (including but not limited to the registration of the Equity Pledge with SAMR to the extent permitted by SAMR) and shall take all other necessary actions required for completing such approval and/or registration formalities.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continue to be valid until the full performance of the Contract Obligations or the full discharge and satisfaction of the Secured Debts.</w:t>
            </w:r>
          </w:p>
        </w:tc>
      </w:tr>
    </w:tbl>
    <w:tbl>
      <w:tblPr>
        <w:tblW w:w="1075" w:type="dxa"/>
        <w:jc w:val="left"/>
        <w:tblInd w:w="0" w:type="dxa"/>
        <w:tblCellMar>
          <w:top w:w="0" w:type="dxa"/>
          <w:left w:w="0" w:type="dxa"/>
          <w:bottom w:w="0" w:type="dxa"/>
          <w:right w:w="0" w:type="dxa"/>
        </w:tblCellMar>
      </w:tblPr>
      <w:tblGrid>
        <w:gridCol w:w="320"/>
        <w:gridCol w:w="755"/>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10.</w:t>
            </w:r>
          </w:p>
        </w:tc>
        <w:tc>
          <w:tcPr>
            <w:tcW w:w="75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If to Pledgee:  </w:t>
      </w:r>
      <w:r>
        <w:rPr>
          <w:rFonts w:ascii="Times New Roman;Times;serif" w:hAnsi="Times New Roman;Times;serif"/>
          <w:sz w:val="24"/>
        </w:rPr>
        <w:t>Hangzhou NetEase Cloud Music Technology Co., Ltd.</w:t>
      </w:r>
    </w:p>
    <w:tbl>
      <w:tblPr>
        <w:tblW w:w="10205" w:type="dxa"/>
        <w:jc w:val="left"/>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0"/>
              <w:ind w:left="0" w:right="0" w:hanging="0"/>
              <w:rPr/>
            </w:pPr>
            <w:r>
              <w:rPr/>
              <w:t>​</w:t>
            </w:r>
          </w:p>
        </w:tc>
        <w:tc>
          <w:tcPr>
            <w:tcW w:w="9268" w:type="dxa"/>
            <w:tcBorders/>
            <w:shd w:fill="auto" w:val="clear"/>
            <w:vAlign w:val="center"/>
          </w:tcPr>
          <w:p>
            <w:pPr>
              <w:pStyle w:val="TableContents"/>
              <w:spacing w:before="0" w:after="0"/>
              <w:ind w:left="0" w:right="0" w:hanging="0"/>
              <w:rPr/>
            </w:pPr>
            <w:r>
              <w:rPr/>
              <w:t>​</w:t>
            </w:r>
          </w:p>
        </w:tc>
      </w:tr>
      <w:tr>
        <w:trPr/>
        <w:tc>
          <w:tcPr>
            <w:tcW w:w="937"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9268"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Room 1201, Block A, Hangzhou International Expo Center, No. 353 Benjing Avenue, Qianjiang Century City, Xiaoshan District, Hangzhou, Zhejiang</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If to Pledgor:  </w:t>
      </w:r>
      <w:r>
        <w:rPr>
          <w:rFonts w:ascii="Times New Roman;Times;serif" w:hAnsi="Times New Roman;Times;serif"/>
          <w:sz w:val="24"/>
        </w:rPr>
        <w:t>Dong Zhang</w:t>
      </w:r>
    </w:p>
    <w:tbl>
      <w:tblPr>
        <w:tblW w:w="8012" w:type="dxa"/>
        <w:jc w:val="left"/>
        <w:tblInd w:w="0" w:type="dxa"/>
        <w:tblCellMar>
          <w:top w:w="0" w:type="dxa"/>
          <w:left w:w="0" w:type="dxa"/>
          <w:bottom w:w="0" w:type="dxa"/>
          <w:right w:w="0" w:type="dxa"/>
        </w:tblCellMar>
      </w:tblPr>
      <w:tblGrid>
        <w:gridCol w:w="961"/>
        <w:gridCol w:w="7051"/>
      </w:tblGrid>
      <w:tr>
        <w:trPr/>
        <w:tc>
          <w:tcPr>
            <w:tcW w:w="961" w:type="dxa"/>
            <w:tcBorders/>
            <w:shd w:fill="auto" w:val="clear"/>
            <w:vAlign w:val="center"/>
          </w:tcPr>
          <w:p>
            <w:pPr>
              <w:pStyle w:val="TableContents"/>
              <w:spacing w:before="0" w:after="0"/>
              <w:ind w:left="0" w:right="0" w:hanging="0"/>
              <w:rPr/>
            </w:pPr>
            <w:r>
              <w:rPr/>
              <w:t>​</w:t>
            </w:r>
          </w:p>
        </w:tc>
        <w:tc>
          <w:tcPr>
            <w:tcW w:w="7051" w:type="dxa"/>
            <w:tcBorders/>
            <w:shd w:fill="auto" w:val="clear"/>
            <w:vAlign w:val="center"/>
          </w:tcPr>
          <w:p>
            <w:pPr>
              <w:pStyle w:val="TableContents"/>
              <w:spacing w:before="0" w:after="0"/>
              <w:ind w:left="0" w:right="0" w:hanging="0"/>
              <w:rPr/>
            </w:pPr>
            <w:r>
              <w:rPr/>
              <w:t>​</w:t>
            </w:r>
          </w:p>
        </w:tc>
      </w:tr>
      <w:tr>
        <w:trPr/>
        <w:tc>
          <w:tcPr>
            <w:tcW w:w="96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Address:</w:t>
            </w:r>
          </w:p>
        </w:tc>
        <w:tc>
          <w:tcPr>
            <w:tcW w:w="70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No. 399 Wangshang Road, Changhe Street, Binjiang District, Hangzhou</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tbl>
      <w:tblPr>
        <w:tblW w:w="1855" w:type="dxa"/>
        <w:jc w:val="left"/>
        <w:tblInd w:w="0" w:type="dxa"/>
        <w:tblCellMar>
          <w:top w:w="0" w:type="dxa"/>
          <w:left w:w="0" w:type="dxa"/>
          <w:bottom w:w="0" w:type="dxa"/>
          <w:right w:w="0" w:type="dxa"/>
        </w:tblCellMar>
      </w:tblPr>
      <w:tblGrid>
        <w:gridCol w:w="320"/>
        <w:gridCol w:w="1535"/>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11.</w:t>
            </w:r>
          </w:p>
        </w:tc>
        <w:tc>
          <w:tcPr>
            <w:tcW w:w="153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Confidentiality</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4390" w:type="dxa"/>
        <w:jc w:val="left"/>
        <w:tblInd w:w="0" w:type="dxa"/>
        <w:tblCellMar>
          <w:top w:w="0" w:type="dxa"/>
          <w:left w:w="0" w:type="dxa"/>
          <w:bottom w:w="0" w:type="dxa"/>
          <w:right w:w="0" w:type="dxa"/>
        </w:tblCellMar>
      </w:tblPr>
      <w:tblGrid>
        <w:gridCol w:w="320"/>
        <w:gridCol w:w="4070"/>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12.</w:t>
            </w:r>
          </w:p>
        </w:tc>
        <w:tc>
          <w:tcPr>
            <w:tcW w:w="407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Applicable Law and Dispute Resolution</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12.1</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validity, interpretation, performance, amendment, termination and dispute resolution of this Agreement shall be governed by PRC Law.</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12.2</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Any dispute arising under or in connection with this Agreement shall be settled by the parties</w:t>
            </w:r>
            <w:r>
              <w:rPr>
                <w:rFonts w:ascii="Times New Roman;Times;serif" w:hAnsi="Times New Roman;Times;serif"/>
                <w:sz w:val="20"/>
              </w:rPr>
              <w:t xml:space="preserve"> </w:t>
            </w:r>
            <w:r>
              <w:rPr>
                <w:rFonts w:ascii="Times New Roman;Times;serif" w:hAnsi="Times New Roman;Times;serif"/>
                <w:sz w:val="24"/>
              </w:rPr>
              <w:t>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12.3</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Pledgee appropriate legal remedies, including but not limited to restricting the Domestic Company's business operation, restricting and / or disposing the Domestic Company's equities or assets (including land assets) (including but not limited to taking them as compensation), or forbidding transfer or dispose, or taking other relevant remedies, or ordering the winding up of the Domestic Company. The Parties shall perform such awards.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12.4</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12.5</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12.6</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Music Inc.; (iii) the registered place of the Domestic Company; and (iv) the place where main assets of Cloud Music Inc. or the Domestic Company are located shall be deemed to have jurisdiction for the purpose of this article.</w:t>
            </w:r>
          </w:p>
        </w:tc>
      </w:tr>
    </w:tbl>
    <w:tbl>
      <w:tblPr>
        <w:tblW w:w="1750" w:type="dxa"/>
        <w:jc w:val="left"/>
        <w:tblInd w:w="0" w:type="dxa"/>
        <w:tblCellMar>
          <w:top w:w="0" w:type="dxa"/>
          <w:left w:w="0" w:type="dxa"/>
          <w:bottom w:w="0" w:type="dxa"/>
          <w:right w:w="0" w:type="dxa"/>
        </w:tblCellMar>
      </w:tblPr>
      <w:tblGrid>
        <w:gridCol w:w="320"/>
        <w:gridCol w:w="1430"/>
      </w:tblGrid>
      <w:tr>
        <w:trPr/>
        <w:tc>
          <w:tcPr>
            <w:tcW w:w="32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13.</w:t>
            </w:r>
          </w:p>
        </w:tc>
        <w:tc>
          <w:tcPr>
            <w:tcW w:w="143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Miscellaneous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13.1</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SAMR.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13.2</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amount of Secured Debts determined by the Pledgee in exercising its rights over the Pledged Equity in accordance with the provisions contained herein shall be conclusive evidence of the amount of the Secured Debts hereunder.</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13.3</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may not be amended or modified in any manner except by an instrument in writing signed by the Parties hereto.</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13.4</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13.5</w:t>
            </w:r>
          </w:p>
        </w:tc>
        <w:tc>
          <w:tcPr>
            <w:tcW w:w="97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13.6</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Upon the execution of this Agreement, the Pledgor shall enter into a power of attorney (the “</w:t>
            </w:r>
            <w:r>
              <w:rPr>
                <w:rFonts w:ascii="Times New Roman;Times;serif" w:hAnsi="Times New Roman;Times;serif"/>
                <w:b/>
                <w:sz w:val="24"/>
              </w:rPr>
              <w:t>Power of Attorney</w:t>
            </w:r>
            <w:r>
              <w:rPr>
                <w:rFonts w:ascii="Times New Roman;Times;serif" w:hAnsi="Times New Roman;Times;serif"/>
                <w:sz w:val="20"/>
              </w:rPr>
              <w:t>”</w:t>
            </w:r>
            <w:r>
              <w:rPr>
                <w:rFonts w:ascii="Times New Roman;Times;serif" w:hAnsi="Times New Roman;Times;serif"/>
                <w:sz w:val="24"/>
              </w:rPr>
              <w:t xml:space="preserve">, the form of which is set forth in </w:t>
            </w:r>
            <w:r>
              <w:rPr>
                <w:rFonts w:ascii="Times New Roman;Times;serif" w:hAnsi="Times New Roman;Times;serif"/>
                <w:sz w:val="24"/>
                <w:u w:val="single"/>
              </w:rPr>
              <w:t>Appendix II</w:t>
            </w:r>
            <w:r>
              <w:rPr>
                <w:rFonts w:ascii="Times New Roman;Times;serif" w:hAnsi="Times New Roman;Times;serif"/>
                <w:sz w:val="20"/>
              </w:rPr>
              <w:t xml:space="preserve"> </w:t>
            </w:r>
            <w:r>
              <w:rPr>
                <w:rFonts w:ascii="Times New Roman;Times;serif" w:hAnsi="Times New Roman;Times;serif"/>
                <w:sz w:val="24"/>
              </w:rPr>
              <w:t>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tc>
      </w:tr>
    </w:tbl>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13.7</w:t>
            </w:r>
          </w:p>
        </w:tc>
        <w:tc>
          <w:tcPr>
            <w:tcW w:w="974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Times New Roman;Times;serif" w:hAnsi="Times New Roman;Times;serif"/>
                <w:b/>
                <w:sz w:val="24"/>
              </w:rPr>
              <w:t>Applicable Requirements</w:t>
            </w:r>
            <w:r>
              <w:rPr>
                <w:rFonts w:ascii="Times New Roman;Times;serif" w:hAnsi="Times New Roman;Times;serif"/>
                <w:sz w:val="20"/>
              </w:rPr>
              <w:t>”</w:t>
            </w:r>
            <w:r>
              <w:rPr>
                <w:rFonts w:ascii="Times New Roman;Times;serif" w:hAnsi="Times New Roman;Times;serif"/>
                <w:sz w:val="24"/>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tc>
      </w:tr>
    </w:tbl>
    <w:p>
      <w:pPr>
        <w:pStyle w:val="TextBody"/>
        <w:spacing w:before="0" w:after="240"/>
        <w:ind w:left="0" w:right="0" w:hanging="0"/>
        <w:jc w:val="both"/>
        <w:rPr/>
      </w:pPr>
      <w:r>
        <w:rPr/>
        <w:t>​</w:t>
      </w:r>
    </w:p>
    <w:p>
      <w:pPr>
        <w:pStyle w:val="TextBody"/>
        <w:spacing w:before="0" w:after="240"/>
        <w:ind w:left="1440" w:right="0" w:hanging="0"/>
        <w:jc w:val="both"/>
        <w:rPr>
          <w:rFonts w:ascii="Times New Roman;Times;serif" w:hAnsi="Times New Roman;Times;serif"/>
          <w:i/>
          <w:sz w:val="24"/>
        </w:rPr>
      </w:pPr>
      <w:r>
        <w:rPr>
          <w:rFonts w:ascii="Times New Roman;Times;serif" w:hAnsi="Times New Roman;Times;serif"/>
          <w:i/>
          <w:sz w:val="24"/>
        </w:rPr>
        <w:t>[Signature page follows]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Agreement has been duly executed by the Parties as of the date first above written.</w:t>
      </w:r>
    </w:p>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7111" w:type="dxa"/>
        <w:jc w:val="left"/>
        <w:tblInd w:w="0" w:type="dxa"/>
        <w:tblCellMar>
          <w:top w:w="0" w:type="dxa"/>
          <w:left w:w="0" w:type="dxa"/>
          <w:bottom w:w="0" w:type="dxa"/>
          <w:right w:w="0" w:type="dxa"/>
        </w:tblCellMar>
      </w:tblPr>
      <w:tblGrid>
        <w:gridCol w:w="124"/>
        <w:gridCol w:w="976"/>
        <w:gridCol w:w="326"/>
        <w:gridCol w:w="2670"/>
        <w:gridCol w:w="3015"/>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78740" cy="175260"/>
                      <wp:effectExtent l="0" t="0" r="0" b="0"/>
                      <wp:wrapNone/>
                      <wp:docPr id="637" name="Frame636"/>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19760" cy="175260"/>
                      <wp:effectExtent l="0" t="0" r="0" b="0"/>
                      <wp:wrapNone/>
                      <wp:docPr id="638" name="Frame637"/>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39" name="Frame6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695450" cy="175260"/>
                      <wp:effectExtent l="0" t="0" r="0" b="0"/>
                      <wp:wrapNone/>
                      <wp:docPr id="640" name="Frame639"/>
                      <a:graphic xmlns:a="http://schemas.openxmlformats.org/drawingml/2006/main">
                        <a:graphicData uri="http://schemas.microsoft.com/office/word/2010/wordprocessingShape">
                          <wps:wsp>
                            <wps:cNvSpPr txBox="1"/>
                            <wps:spPr>
                              <a:xfrm>
                                <a:off x="0" y="0"/>
                                <a:ext cx="1695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914525" cy="175260"/>
                      <wp:effectExtent l="0" t="0" r="0" b="0"/>
                      <wp:wrapNone/>
                      <wp:docPr id="641" name="Frame640"/>
                      <a:graphic xmlns:a="http://schemas.openxmlformats.org/drawingml/2006/main">
                        <a:graphicData uri="http://schemas.microsoft.com/office/word/2010/wordprocessingShape">
                          <wps:wsp>
                            <wps:cNvSpPr txBox="1"/>
                            <wps:spPr>
                              <a:xfrm>
                                <a:off x="0" y="0"/>
                                <a:ext cx="1914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Pledgee:</w:t>
            </w:r>
          </w:p>
        </w:tc>
        <w:tc>
          <w:tcPr>
            <w:tcW w:w="326" w:type="dxa"/>
            <w:tcBorders/>
            <w:shd w:fill="auto" w:val="clear"/>
            <w:vAlign w:val="center"/>
          </w:tcPr>
          <w:p>
            <w:pPr>
              <w:pStyle w:val="TableContents"/>
              <w:spacing w:before="0" w:after="0"/>
              <w:ind w:left="0" w:right="0" w:hanging="0"/>
              <w:rPr/>
            </w:pPr>
            <w:r>
              <w:rPr/>
              <w:t>    </w:t>
            </w:r>
          </w:p>
        </w:tc>
        <w:tc>
          <w:tcPr>
            <w:tcW w:w="56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NetEase Cloud Music Technology Co., Ltd.</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685"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pPr>
            <w:r>
              <w:rPr/>
              <w:t>​</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pPr>
            <w:r>
              <w:rPr/>
              <w:t>​</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pPr>
            <w:r>
              <w:rPr/>
              <w:t>​</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Pledgor:</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Dong Zhang</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pPr>
            <w:r>
              <w:rPr/>
              <w:t>​</w:t>
            </w:r>
          </w:p>
        </w:tc>
        <w:tc>
          <w:tcPr>
            <w:tcW w:w="301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0"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Signature:</w:t>
            </w:r>
          </w:p>
        </w:tc>
        <w:tc>
          <w:tcPr>
            <w:tcW w:w="301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Appendix I</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Basic Information of the Domestic Company</w:t>
      </w:r>
    </w:p>
    <w:tbl>
      <w:tblPr>
        <w:tblW w:w="10205" w:type="dxa"/>
        <w:jc w:val="left"/>
        <w:tblInd w:w="0" w:type="dxa"/>
        <w:tblCellMar>
          <w:top w:w="0" w:type="dxa"/>
          <w:left w:w="0" w:type="dxa"/>
          <w:bottom w:w="0" w:type="dxa"/>
          <w:right w:w="0" w:type="dxa"/>
        </w:tblCellMar>
      </w:tblPr>
      <w:tblGrid>
        <w:gridCol w:w="1599"/>
        <w:gridCol w:w="8606"/>
      </w:tblGrid>
      <w:tr>
        <w:trPr/>
        <w:tc>
          <w:tcPr>
            <w:tcW w:w="1599" w:type="dxa"/>
            <w:tcBorders/>
            <w:shd w:fill="auto" w:val="clear"/>
            <w:vAlign w:val="center"/>
          </w:tcPr>
          <w:p>
            <w:pPr>
              <w:pStyle w:val="TableContents"/>
              <w:spacing w:before="0" w:after="0"/>
              <w:ind w:left="0" w:right="0" w:hanging="0"/>
              <w:rPr/>
            </w:pPr>
            <w:r>
              <w:rPr/>
              <w:t>​</w:t>
            </w:r>
          </w:p>
        </w:tc>
        <w:tc>
          <w:tcPr>
            <w:tcW w:w="8606" w:type="dxa"/>
            <w:tcBorders/>
            <w:shd w:fill="auto" w:val="clear"/>
            <w:vAlign w:val="center"/>
          </w:tcPr>
          <w:p>
            <w:pPr>
              <w:pStyle w:val="TableContents"/>
              <w:spacing w:before="0" w:after="0"/>
              <w:ind w:left="0" w:right="0" w:hanging="0"/>
              <w:rPr/>
            </w:pPr>
            <w:r>
              <w:rPr/>
              <w:t>​</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Company Name:</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Hangzhou Yuedu Technology Co., Ltd.</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Registered Address: </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Room 1202, Block A, Hangzhou International Expo Center, No. 353 Benjing Avenue, Qianjiang Century City, Ningwei Street, Xiaoshan District, Hangzhou, Zhejiang</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Registered Capital: </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RMB 10,000,000 Yuan</w:t>
            </w:r>
          </w:p>
        </w:tc>
      </w:tr>
      <w:tr>
        <w:trPr/>
        <w:tc>
          <w:tcPr>
            <w:tcW w:w="1599"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Equity Structure:</w:t>
            </w:r>
          </w:p>
        </w:tc>
        <w:tc>
          <w:tcPr>
            <w:tcW w:w="8606" w:type="dxa"/>
            <w:tcBorders/>
            <w:shd w:fill="auto" w:val="clear"/>
            <w:vAlign w:val="center"/>
          </w:tcPr>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William Lei Ding— 99%</w:t>
            </w:r>
          </w:p>
          <w:p>
            <w:pPr>
              <w:pStyle w:val="TableContents"/>
              <w:spacing w:before="0" w:after="240"/>
              <w:ind w:left="0" w:right="0" w:hanging="0"/>
              <w:jc w:val="both"/>
              <w:rPr>
                <w:rFonts w:ascii="Times New Roman;Times;serif" w:hAnsi="Times New Roman;Times;serif"/>
                <w:sz w:val="24"/>
              </w:rPr>
            </w:pPr>
            <w:r>
              <w:rPr>
                <w:rFonts w:ascii="Times New Roman;Times;serif" w:hAnsi="Times New Roman;Times;serif"/>
                <w:sz w:val="24"/>
              </w:rPr>
              <w:t>Dong Zhang—1%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Appendix I</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Appendix II</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Power of Attorney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 Dong Zhang, hereby irrevocably entrust </w:t>
      </w:r>
      <w:r>
        <w:rPr>
          <w:rFonts w:ascii="Times New Roman;Times;serif" w:hAnsi="Times New Roman;Times;serif"/>
          <w:sz w:val="24"/>
          <w:u w:val="single"/>
        </w:rPr>
        <w:t>t</w:t>
      </w:r>
      <w:r>
        <w:rPr>
          <w:rFonts w:ascii="Times New Roman;Times;serif" w:hAnsi="Times New Roman;Times;serif"/>
          <w:sz w:val="24"/>
        </w:rPr>
        <w:t>he person designated by</w:t>
      </w:r>
      <w:r>
        <w:rPr>
          <w:rFonts w:ascii="Times New Roman;Times;serif" w:hAnsi="Times New Roman;Times;serif"/>
          <w:sz w:val="20"/>
        </w:rPr>
        <w:t xml:space="preserve"> </w:t>
      </w:r>
      <w:r>
        <w:rPr>
          <w:rFonts w:ascii="Times New Roman;Times;serif" w:hAnsi="Times New Roman;Times;serif"/>
          <w:sz w:val="24"/>
        </w:rPr>
        <w:t>Hangzhou NetEase Cloud Music Technology Co., Ltd. as my authorized representative, to sign all legal documents necessary for Hangzhou NetEase Cloud Music Technology Co., Ltd.</w:t>
      </w:r>
      <w:r>
        <w:rPr>
          <w:rFonts w:ascii="Times New Roman;Times;serif" w:hAnsi="Times New Roman;Times;serif"/>
          <w:sz w:val="20"/>
        </w:rPr>
        <w:t xml:space="preserve"> </w:t>
      </w:r>
      <w:r>
        <w:rPr>
          <w:rFonts w:ascii="Times New Roman;Times;serif" w:hAnsi="Times New Roman;Times;serif"/>
          <w:sz w:val="24"/>
        </w:rPr>
        <w:t>as the pledgee to exercise its rights under the Equity Pledge Agreement entered into on November 9, 2022 by and between</w:t>
      </w:r>
      <w:r>
        <w:rPr>
          <w:rFonts w:ascii="Times New Roman;Times;serif" w:hAnsi="Times New Roman;Times;serif"/>
          <w:sz w:val="20"/>
        </w:rPr>
        <w:t xml:space="preserve"> </w:t>
      </w:r>
      <w:r>
        <w:rPr>
          <w:rFonts w:ascii="Times New Roman;Times;serif" w:hAnsi="Times New Roman;Times;serif"/>
          <w:sz w:val="24"/>
        </w:rPr>
        <w:t>Hangzhou NetEase Cloud Music Technology Co., Ltd. and me.</w:t>
      </w:r>
    </w:p>
    <w:tbl>
      <w:tblPr>
        <w:tblW w:w="1564" w:type="dxa"/>
        <w:jc w:val="left"/>
        <w:tblInd w:w="0" w:type="dxa"/>
        <w:tblCellMar>
          <w:top w:w="0" w:type="dxa"/>
          <w:left w:w="0" w:type="dxa"/>
          <w:bottom w:w="0" w:type="dxa"/>
          <w:right w:w="0" w:type="dxa"/>
        </w:tblCellMar>
      </w:tblPr>
      <w:tblGrid>
        <w:gridCol w:w="124"/>
        <w:gridCol w:w="1271"/>
        <w:gridCol w:w="169"/>
      </w:tblGrid>
      <w:tr>
        <w:trPr/>
        <w:tc>
          <w:tcPr>
            <w:tcW w:w="124" w:type="dxa"/>
            <w:tcBorders/>
            <w:shd w:fill="auto" w:val="clear"/>
            <w:vAlign w:val="center"/>
          </w:tcPr>
          <w:p>
            <w:pPr>
              <w:pStyle w:val="TableContents"/>
              <w:spacing w:before="0" w:after="0"/>
              <w:ind w:left="0" w:right="0" w:hanging="0"/>
              <w:rPr/>
            </w:pPr>
            <w:r>
              <w:rPr/>
              <w:t>​</w:t>
            </w:r>
          </w:p>
        </w:tc>
        <w:tc>
          <w:tcPr>
            <w:tcW w:w="144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Dong Zhang</w:t>
            </w:r>
          </w:p>
        </w:tc>
      </w:tr>
      <w:tr>
        <w:trPr/>
        <w:tc>
          <w:tcPr>
            <w:tcW w:w="124" w:type="dxa"/>
            <w:tcBorders/>
            <w:shd w:fill="auto" w:val="clear"/>
            <w:vAlign w:val="center"/>
          </w:tcPr>
          <w:p>
            <w:pPr>
              <w:pStyle w:val="TableContents"/>
              <w:spacing w:before="0" w:after="0"/>
              <w:ind w:left="0" w:right="0" w:hanging="0"/>
              <w:rPr/>
            </w:pPr>
            <w:r>
              <w:rPr/>
              <w:t>​</w:t>
            </w:r>
          </w:p>
        </w:tc>
        <w:tc>
          <w:tcPr>
            <w:tcW w:w="1271" w:type="dxa"/>
            <w:tcBorders/>
            <w:shd w:fill="auto" w:val="clear"/>
            <w:vAlign w:val="center"/>
          </w:tcPr>
          <w:p>
            <w:pPr>
              <w:pStyle w:val="TableContents"/>
              <w:spacing w:before="0" w:after="0"/>
              <w:ind w:left="0" w:right="0" w:hanging="0"/>
              <w:rPr/>
            </w:pPr>
            <w:r>
              <w:rPr/>
              <w:t>​</w:t>
            </w:r>
          </w:p>
        </w:tc>
        <w:tc>
          <w:tcPr>
            <w:tcW w:w="169"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Signature</w:t>
            </w:r>
            <w:r>
              <w:rPr>
                <w:rFonts w:ascii="Times New Roman;Times;serif" w:hAnsi="Times New Roman;Times;serif"/>
                <w:sz w:val="24"/>
              </w:rPr>
              <w:t>:</w:t>
            </w:r>
          </w:p>
        </w:tc>
        <w:tc>
          <w:tcPr>
            <w:tcW w:w="1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71" w:type="dxa"/>
            <w:tcBorders/>
            <w:shd w:fill="auto" w:val="clear"/>
            <w:vAlign w:val="center"/>
          </w:tcPr>
          <w:p>
            <w:pPr>
              <w:pStyle w:val="TableContents"/>
              <w:spacing w:before="0" w:after="0"/>
              <w:ind w:left="0" w:right="0" w:hanging="0"/>
              <w:rPr/>
            </w:pPr>
            <w:r>
              <w:rPr/>
              <w:t>​</w:t>
            </w:r>
          </w:p>
        </w:tc>
        <w:tc>
          <w:tcPr>
            <w:tcW w:w="16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Date</w:t>
            </w:r>
            <w:r>
              <w:rPr>
                <w:rFonts w:ascii="Times New Roman;Times;serif" w:hAnsi="Times New Roman;Times;serif"/>
                <w:sz w:val="24"/>
              </w:rPr>
              <w:t>:</w:t>
            </w:r>
          </w:p>
        </w:tc>
        <w:tc>
          <w:tcPr>
            <w:tcW w:w="1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304" w:name="ntes-20221231xex4d53.htm"/>
      <w:bookmarkStart w:id="2305" w:name="ksntes20221231xex4d53"/>
      <w:bookmarkEnd w:id="2304"/>
      <w:bookmarkEnd w:id="2305"/>
      <w:r>
        <w:rPr>
          <w:rFonts w:ascii="Times New Roman;Times;serif" w:hAnsi="Times New Roman;Times;serif"/>
          <w:b/>
          <w:sz w:val="24"/>
        </w:rPr>
        <w:t>Exhibit 4.53</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OPERATING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Operating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xml:space="preserve">) is entered into among the following parties in </w:t>
      </w:r>
      <w:r>
        <w:rPr>
          <w:rFonts w:ascii="Times New Roman;Times;serif" w:hAnsi="Times New Roman;Times;serif"/>
          <w:b/>
          <w:sz w:val="24"/>
        </w:rPr>
        <w:t xml:space="preserve">Hangzhou </w:t>
      </w:r>
      <w:r>
        <w:rPr>
          <w:rFonts w:ascii="Times New Roman;Times;serif" w:hAnsi="Times New Roman;Times;serif"/>
          <w:sz w:val="24"/>
        </w:rPr>
        <w:t>as of November 9, 2022:</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A:</w:t>
      </w:r>
      <w:r>
        <w:rPr>
          <w:rFonts w:ascii="Times New Roman;Times;serif" w:hAnsi="Times New Roman;Times;serif"/>
          <w:sz w:val="24"/>
        </w:rPr>
        <w:t>Hangzhou NetEase Cloud Music Technology Co., Ltd.</w:t>
      </w:r>
    </w:p>
    <w:p>
      <w:pPr>
        <w:pStyle w:val="TextBody"/>
        <w:spacing w:before="0" w:after="0"/>
        <w:ind w:left="0" w:right="0" w:hanging="0"/>
        <w:rPr>
          <w:rFonts w:ascii="Times New Roman;Times;serif" w:hAnsi="Times New Roman;Times;serif"/>
          <w:sz w:val="20"/>
        </w:rPr>
      </w:pPr>
      <w:r>
        <w:rPr>
          <w:rFonts w:ascii="Times New Roman;Times;serif" w:hAnsi="Times New Roman;Times;serif"/>
          <w:b/>
          <w:i w:val="false"/>
          <w:caps w:val="false"/>
          <w:smallCaps w:val="false"/>
          <w:sz w:val="24"/>
        </w:rPr>
        <w:t>Address:</w:t>
      </w:r>
      <w:r>
        <w:rPr>
          <w:rFonts w:ascii="Times New Roman;Times;serif" w:hAnsi="Times New Roman;Times;serif"/>
          <w:sz w:val="24"/>
        </w:rPr>
        <w:t>Room 1201, Block A, Hangzhou International Expo Center, No. 353 Benjing Avenue, Qianjiang Century City, Xiaoshan District, Hangzhou, Zhejiang</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B:</w:t>
      </w:r>
      <w:r>
        <w:rPr>
          <w:rFonts w:ascii="Times New Roman;Times;serif" w:hAnsi="Times New Roman;Times;serif"/>
          <w:sz w:val="24"/>
        </w:rPr>
        <w:t>Hangzhou Yuedu Technology Co., Ltd.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Address:</w:t>
      </w:r>
      <w:r>
        <w:rPr>
          <w:rFonts w:ascii="Times New Roman;Times;serif" w:hAnsi="Times New Roman;Times;serif"/>
          <w:sz w:val="24"/>
        </w:rPr>
        <w:t>Room 1202, Block A, Hangzhou International Expo Center, No. 353 Benjing Avenue, Qianjiang Century City, Ningwei Street, Xiaoshan District, Hangzhou, Zhejiang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C:</w:t>
      </w:r>
      <w:r>
        <w:rPr>
          <w:rFonts w:ascii="Times New Roman;Times;serif" w:hAnsi="Times New Roman;Times;serif"/>
          <w:sz w:val="24"/>
        </w:rPr>
        <w:t>William Lei Ding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D:</w:t>
      </w:r>
      <w:r>
        <w:rPr>
          <w:rFonts w:ascii="Times New Roman;Times;serif" w:hAnsi="Times New Roman;Times;serif"/>
          <w:sz w:val="24"/>
        </w:rPr>
        <w:t>Dong Zhang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this Agreement, Party A, Party B, Party C and Party D are called collectively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sz w:val="24"/>
        </w:rPr>
        <w:t>Party</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WHEREAS:</w:t>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2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is a wholly foreign-owned enterprise duly incorporated and validly existing under the laws of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2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is a limited liability company duly incorporated and validly existing under PRC law, which is registered in Hangzhou, Zhejiang to carry out the business;</w:t>
            </w:r>
          </w:p>
        </w:tc>
      </w:tr>
    </w:tbl>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1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and Party D are shareholders of Party B, in which Party C owns 99% and Party D owns 1% of the equity interest;</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has established a business relationship with Party B by entering into a Cooperation Agreement (the “</w:t>
            </w:r>
            <w:r>
              <w:rPr>
                <w:rFonts w:ascii="Times New Roman;Times;serif" w:hAnsi="Times New Roman;Times;serif"/>
                <w:b/>
                <w:sz w:val="24"/>
              </w:rPr>
              <w:t>Cooperation Agreement</w:t>
            </w:r>
            <w:r>
              <w:rPr>
                <w:rFonts w:ascii="Times New Roman;Times;serif" w:hAnsi="Times New Roman;Times;serif"/>
                <w:sz w:val="20"/>
              </w:rPr>
              <w:t>”</w:t>
            </w:r>
            <w:r>
              <w:rPr>
                <w:rFonts w:ascii="Times New Roman;Times;serif" w:hAnsi="Times New Roman;Times;serif"/>
                <w:sz w:val="24"/>
              </w:rPr>
              <w:t>) and other agreements on the same date of this Agreement;</w:t>
            </w:r>
          </w:p>
        </w:tc>
      </w:tr>
    </w:tbl>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4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Pursuant to the above-mentioned agreements between Party A and Party B, Party B shall pay certain sums of money to Party A. The daily operations of Party B will have a material effect on Party B’s ability to pay such account payable to Party A;</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through negotiations, all parties to this Agreement hereby agree as follows:</w:t>
      </w:r>
    </w:p>
    <w:tbl>
      <w:tblPr>
        <w:tblW w:w="10205" w:type="dxa"/>
        <w:jc w:val="left"/>
        <w:tblInd w:w="0" w:type="dxa"/>
        <w:tblCellMar>
          <w:top w:w="0" w:type="dxa"/>
          <w:left w:w="0" w:type="dxa"/>
          <w:bottom w:w="0" w:type="dxa"/>
          <w:right w:w="0" w:type="dxa"/>
        </w:tblCellMar>
      </w:tblPr>
      <w:tblGrid>
        <w:gridCol w:w="145"/>
        <w:gridCol w:w="10060"/>
      </w:tblGrid>
      <w:tr>
        <w:trPr/>
        <w:tc>
          <w:tcPr>
            <w:tcW w:w="1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Party C and Party D shall take all necessary actions (including, but not limited to, executing the relevant documents and filing the relevant registrations) to carry out the counter-guarantee arrangement with Party A.</w:t>
            </w:r>
          </w:p>
        </w:tc>
      </w:tr>
    </w:tbl>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5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consideration of the requirements of Article 1 hereof and to ensure the performance of the various business agreements between Party A and Party B and the payment by Party B of the amounts payable to Party A thereunder, Party B, together with its shareholders Party C and Party D,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tc>
      </w:tr>
    </w:tbl>
    <w:tbl>
      <w:tblPr>
        <w:tblW w:w="5898" w:type="dxa"/>
        <w:jc w:val="left"/>
        <w:tblInd w:w="0" w:type="dxa"/>
        <w:tblCellMar>
          <w:top w:w="0" w:type="dxa"/>
          <w:left w:w="0" w:type="dxa"/>
          <w:bottom w:w="0" w:type="dxa"/>
          <w:right w:w="0" w:type="dxa"/>
        </w:tblCellMar>
      </w:tblPr>
      <w:tblGrid>
        <w:gridCol w:w="23"/>
        <w:gridCol w:w="320"/>
        <w:gridCol w:w="555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55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declare any dividend or distribution to any shareholder;</w:t>
            </w:r>
          </w:p>
        </w:tc>
      </w:tr>
    </w:tbl>
    <w:tbl>
      <w:tblPr>
        <w:tblW w:w="5973" w:type="dxa"/>
        <w:jc w:val="left"/>
        <w:tblInd w:w="0" w:type="dxa"/>
        <w:tblCellMar>
          <w:top w:w="0" w:type="dxa"/>
          <w:left w:w="0" w:type="dxa"/>
          <w:bottom w:w="0" w:type="dxa"/>
          <w:right w:w="0" w:type="dxa"/>
        </w:tblCellMar>
      </w:tblPr>
      <w:tblGrid>
        <w:gridCol w:w="23"/>
        <w:gridCol w:w="320"/>
        <w:gridCol w:w="563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56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borrow money from any third party or assume any debt;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sell to or acquire from any third party any asset or rights, including, but not limited to, any intellectual property rights;</w:t>
            </w:r>
          </w:p>
        </w:tc>
      </w:tr>
    </w:tbl>
    <w:tbl>
      <w:tblPr>
        <w:tblW w:w="9768" w:type="dxa"/>
        <w:jc w:val="left"/>
        <w:tblInd w:w="0" w:type="dxa"/>
        <w:tblCellMar>
          <w:top w:w="0" w:type="dxa"/>
          <w:left w:w="0" w:type="dxa"/>
          <w:bottom w:w="0" w:type="dxa"/>
          <w:right w:w="0" w:type="dxa"/>
        </w:tblCellMar>
      </w:tblPr>
      <w:tblGrid>
        <w:gridCol w:w="23"/>
        <w:gridCol w:w="320"/>
        <w:gridCol w:w="94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2.4</w:t>
            </w:r>
          </w:p>
        </w:tc>
        <w:tc>
          <w:tcPr>
            <w:tcW w:w="94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provide a guarantee for any third party using its assets or intellectual property rights as collateral;</w:t>
            </w:r>
          </w:p>
        </w:tc>
      </w:tr>
    </w:tbl>
    <w:tbl>
      <w:tblPr>
        <w:tblW w:w="5043" w:type="dxa"/>
        <w:jc w:val="left"/>
        <w:tblInd w:w="0" w:type="dxa"/>
        <w:tblCellMar>
          <w:top w:w="0" w:type="dxa"/>
          <w:left w:w="0" w:type="dxa"/>
          <w:bottom w:w="0" w:type="dxa"/>
          <w:right w:w="0" w:type="dxa"/>
        </w:tblCellMar>
      </w:tblPr>
      <w:tblGrid>
        <w:gridCol w:w="23"/>
        <w:gridCol w:w="320"/>
        <w:gridCol w:w="47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2.5</w:t>
            </w:r>
          </w:p>
        </w:tc>
        <w:tc>
          <w:tcPr>
            <w:tcW w:w="47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assign to any third party its business contracts;</w:t>
            </w:r>
          </w:p>
        </w:tc>
      </w:tr>
    </w:tbl>
    <w:tbl>
      <w:tblPr>
        <w:tblW w:w="6033" w:type="dxa"/>
        <w:jc w:val="left"/>
        <w:tblInd w:w="0" w:type="dxa"/>
        <w:tblCellMar>
          <w:top w:w="0" w:type="dxa"/>
          <w:left w:w="0" w:type="dxa"/>
          <w:bottom w:w="0" w:type="dxa"/>
          <w:right w:w="0" w:type="dxa"/>
        </w:tblCellMar>
      </w:tblPr>
      <w:tblGrid>
        <w:gridCol w:w="23"/>
        <w:gridCol w:w="320"/>
        <w:gridCol w:w="569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2.6</w:t>
            </w:r>
          </w:p>
        </w:tc>
        <w:tc>
          <w:tcPr>
            <w:tcW w:w="56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engage in any activity beyond its normal business scope;</w:t>
            </w:r>
          </w:p>
        </w:tc>
      </w:tr>
    </w:tbl>
    <w:tbl>
      <w:tblPr>
        <w:tblW w:w="8088" w:type="dxa"/>
        <w:jc w:val="left"/>
        <w:tblInd w:w="0" w:type="dxa"/>
        <w:tblCellMar>
          <w:top w:w="0" w:type="dxa"/>
          <w:left w:w="0" w:type="dxa"/>
          <w:bottom w:w="0" w:type="dxa"/>
          <w:right w:w="0" w:type="dxa"/>
        </w:tblCellMar>
      </w:tblPr>
      <w:tblGrid>
        <w:gridCol w:w="23"/>
        <w:gridCol w:w="320"/>
        <w:gridCol w:w="774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2.7</w:t>
            </w:r>
          </w:p>
        </w:tc>
        <w:tc>
          <w:tcPr>
            <w:tcW w:w="77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change or dismiss any of its directors or remove and replace any of its officers;</w:t>
            </w:r>
          </w:p>
        </w:tc>
      </w:tr>
    </w:tbl>
    <w:tbl>
      <w:tblPr>
        <w:tblW w:w="6438" w:type="dxa"/>
        <w:jc w:val="left"/>
        <w:tblInd w:w="0" w:type="dxa"/>
        <w:tblCellMar>
          <w:top w:w="0" w:type="dxa"/>
          <w:left w:w="0" w:type="dxa"/>
          <w:bottom w:w="0" w:type="dxa"/>
          <w:right w:w="0" w:type="dxa"/>
        </w:tblCellMar>
      </w:tblPr>
      <w:tblGrid>
        <w:gridCol w:w="23"/>
        <w:gridCol w:w="320"/>
        <w:gridCol w:w="609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2.8</w:t>
            </w:r>
          </w:p>
        </w:tc>
        <w:tc>
          <w:tcPr>
            <w:tcW w:w="609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amend its articles of association or change its business scope;</w:t>
            </w:r>
          </w:p>
        </w:tc>
      </w:tr>
    </w:tbl>
    <w:tbl>
      <w:tblPr>
        <w:tblW w:w="9468" w:type="dxa"/>
        <w:jc w:val="left"/>
        <w:tblInd w:w="0" w:type="dxa"/>
        <w:tblCellMar>
          <w:top w:w="0" w:type="dxa"/>
          <w:left w:w="0" w:type="dxa"/>
          <w:bottom w:w="0" w:type="dxa"/>
          <w:right w:w="0" w:type="dxa"/>
        </w:tblCellMar>
      </w:tblPr>
      <w:tblGrid>
        <w:gridCol w:w="23"/>
        <w:gridCol w:w="320"/>
        <w:gridCol w:w="91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2.9</w:t>
            </w:r>
          </w:p>
        </w:tc>
        <w:tc>
          <w:tcPr>
            <w:tcW w:w="91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change its normal business procedures or amend any of its important rules and regulations; or</w:t>
            </w:r>
          </w:p>
        </w:tc>
      </w:tr>
    </w:tbl>
    <w:tbl>
      <w:tblPr>
        <w:tblW w:w="7713" w:type="dxa"/>
        <w:jc w:val="left"/>
        <w:tblInd w:w="0" w:type="dxa"/>
        <w:tblCellMar>
          <w:top w:w="0" w:type="dxa"/>
          <w:left w:w="0" w:type="dxa"/>
          <w:bottom w:w="0" w:type="dxa"/>
          <w:right w:w="0" w:type="dxa"/>
        </w:tblCellMar>
      </w:tblPr>
      <w:tblGrid>
        <w:gridCol w:w="23"/>
        <w:gridCol w:w="440"/>
        <w:gridCol w:w="725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2.10</w:t>
            </w:r>
          </w:p>
        </w:tc>
        <w:tc>
          <w:tcPr>
            <w:tcW w:w="72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transfer its rights and obligations under this Agreement to any third party.</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order to ensure the performance of the various business agreements between Party A and Party B and the payment by Party B of the amounts payable to Party A thereunder, Party B, together with its shareholders Party C and Party D,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together with its shareholders Party C and Party D, hereby jointly agree that Party C and Party D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shall also lose his right to hold any position at Party B, and Party B shall appoint other senior executive officers of Party A recommended by Party A to fill such a position. The persons recommended by Party A in accordance with this Article 4 shall comply with the legal requirements regarding the qualifications of directors, presidents, chief financial officers, and other senior executive officers. If there is any potential conflict of interest between Party A and Party B, especially if Party B’s shareholders are directors, senior managers and other positions of Party A and/or its affiliates, Party B will give priority to protect and will not damage the interests of Party A and its affiliates.</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together with its shareholders Party C and Party D,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1004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that any of the agreements between Party A and Party B terminates or expires, Party A shall have the right, but not the obligation, to terminate all agreements between Party A and Party B including, but not limited to, the Cooperation Agreement.</w:t>
            </w:r>
          </w:p>
        </w:tc>
      </w:tr>
    </w:tbl>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00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amendment or supplement to this Agreement shall be made in writing. The amendment or supplement duly executed by all Parties shall form an integral part of this Agreement and shall have the same legal effect as this Agreement.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100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100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10.</w:t>
            </w:r>
          </w:p>
        </w:tc>
        <w:tc>
          <w:tcPr>
            <w:tcW w:w="994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tc>
      </w:tr>
    </w:tbl>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990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validity, interpretation and performance of and settlement of disputes under this Agreement shall be governed by the laws of the PRC.</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994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Any dispute arising under or in connection with this Agreement shall be settled by the parties</w:t>
            </w:r>
            <w:r>
              <w:rPr>
                <w:rFonts w:ascii="Times New Roman;Times;serif" w:hAnsi="Times New Roman;Times;serif"/>
                <w:sz w:val="20"/>
              </w:rPr>
              <w:t xml:space="preserve"> </w:t>
            </w:r>
            <w:r>
              <w:rPr>
                <w:rFonts w:ascii="Times New Roman;Times;serif" w:hAnsi="Times New Roman;Times;serif"/>
                <w:sz w:val="24"/>
              </w:rPr>
              <w:t>through negotiation. If the parties fail to reach an agreement within 30 days after the dispute arises, the dispute shall be submitted to China International</w:t>
            </w:r>
            <w:r>
              <w:rPr>
                <w:rFonts w:ascii="Times New Roman;Times;serif" w:hAnsi="Times New Roman;Times;serif"/>
                <w:sz w:val="20"/>
              </w:rPr>
              <w:t xml:space="preserve"> </w:t>
            </w:r>
            <w:r>
              <w:rPr>
                <w:rFonts w:ascii="Times New Roman;Times;serif" w:hAnsi="Times New Roman;Times;serif"/>
                <w:sz w:val="24"/>
              </w:rPr>
              <w:t>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99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Party A</w:t>
            </w:r>
            <w:r>
              <w:rPr>
                <w:rFonts w:ascii="Times New Roman;Times;serif" w:hAnsi="Times New Roman;Times;serif"/>
                <w:sz w:val="20"/>
              </w:rPr>
              <w:t xml:space="preserve"> </w:t>
            </w:r>
            <w:r>
              <w:rPr>
                <w:rFonts w:ascii="Times New Roman;Times;serif" w:hAnsi="Times New Roman;Times;serif"/>
                <w:sz w:val="24"/>
              </w:rPr>
              <w:t>appropriate legal remedies, including but not limited to restricting the Party B's business operation, restricting and / or disposing Party B's equities or assets (including land assets) (including but not limited to taking them as compensation), or forbidding transfer or dispose, or taking other relevant remedies, or ordering the winding up of Party B. The Parties shall perform such awards.</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993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Subject to the provisions of the PRC</w:t>
            </w:r>
            <w:r>
              <w:rPr>
                <w:rFonts w:ascii="Times New Roman;Times;serif" w:hAnsi="Times New Roman;Times;serif"/>
                <w:sz w:val="20"/>
              </w:rPr>
              <w:t xml:space="preserve"> </w:t>
            </w:r>
            <w:r>
              <w:rPr>
                <w:rFonts w:ascii="Times New Roman;Times;serif" w:hAnsi="Times New Roman;Times;serif"/>
                <w:sz w:val="24"/>
              </w:rPr>
              <w:t>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990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99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Parties agree that: the courts in (i) the Hong Kong Special Administrative Region; (ii) the registered place of Cloud Music Inc.; (iii) the registered place of Party B; and</w:t>
            </w:r>
            <w:r>
              <w:rPr>
                <w:rFonts w:ascii="Times New Roman;Times;serif" w:hAnsi="Times New Roman;Times;serif"/>
                <w:sz w:val="20"/>
              </w:rPr>
              <w:t xml:space="preserve"> </w:t>
            </w:r>
            <w:r>
              <w:rPr>
                <w:rFonts w:ascii="Times New Roman;Times;serif" w:hAnsi="Times New Roman;Times;serif"/>
                <w:sz w:val="24"/>
              </w:rPr>
              <w:t>(iv) the place where main assets of Cloud Music Inc. or Party B</w:t>
            </w:r>
            <w:r>
              <w:rPr>
                <w:rFonts w:ascii="Times New Roman;Times;serif" w:hAnsi="Times New Roman;Times;serif"/>
                <w:sz w:val="20"/>
              </w:rPr>
              <w:t xml:space="preserve"> </w:t>
            </w:r>
            <w:r>
              <w:rPr>
                <w:rFonts w:ascii="Times New Roman;Times;serif" w:hAnsi="Times New Roman;Times;serif"/>
                <w:sz w:val="24"/>
              </w:rPr>
              <w:t>are located shall be deemed to have jurisdiction for the purpose of this article.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17.</w:t>
            </w:r>
          </w:p>
        </w:tc>
        <w:tc>
          <w:tcPr>
            <w:tcW w:w="990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 executed by a duly authorized representative of each Party and become effective as of the date first written above.</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18.</w:t>
            </w:r>
          </w:p>
        </w:tc>
        <w:tc>
          <w:tcPr>
            <w:tcW w:w="992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Notwithstanding Article 17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19.</w:t>
            </w:r>
          </w:p>
        </w:tc>
        <w:tc>
          <w:tcPr>
            <w:tcW w:w="993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 expired or terminated for other reasons within the aforesaid term of this Agreement, this Agreement shall be terminated simultaneously, unless such Party has already assigned its rights and obligations hereunder in accordance with Article 9 hereof.</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20.</w:t>
            </w:r>
          </w:p>
        </w:tc>
        <w:tc>
          <w:tcPr>
            <w:tcW w:w="99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tc>
      </w:tr>
    </w:tbl>
    <w:p>
      <w:pPr>
        <w:pStyle w:val="TextBody"/>
        <w:pBdr/>
        <w:spacing w:before="0" w:after="240"/>
        <w:ind w:left="0" w:right="0" w:hanging="720"/>
        <w:jc w:val="both"/>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24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4"/>
        </w:rPr>
        <w:t>IN WITNESS THEREOF</w:t>
      </w:r>
      <w:r>
        <w:rPr>
          <w:rFonts w:ascii="Times New Roman;Times;serif" w:hAnsi="Times New Roman;Times;serif"/>
          <w:sz w:val="24"/>
        </w:rPr>
        <w:t>, each Party hereto has caused this Agreement to be duly executed by himself/herself or a duly authorized representative on its behalf as of the date first written above.</w:t>
      </w:r>
    </w:p>
    <w:p>
      <w:pPr>
        <w:pStyle w:val="TextBody"/>
        <w:spacing w:before="0" w:after="0"/>
        <w:ind w:left="0" w:right="0" w:hanging="0"/>
        <w:rPr/>
      </w:pPr>
      <w:r>
        <w:rPr/>
        <w:t>​</w:t>
      </w:r>
    </w:p>
    <w:p>
      <w:pPr>
        <w:pStyle w:val="TextBody"/>
        <w:spacing w:before="0" w:after="0"/>
        <w:ind w:left="0" w:right="0" w:hanging="0"/>
        <w:rPr/>
      </w:pPr>
      <w:r>
        <w:rPr/>
        <w:t>​</w:t>
      </w:r>
    </w:p>
    <w:tbl>
      <w:tblPr>
        <w:tblW w:w="6754" w:type="dxa"/>
        <w:jc w:val="left"/>
        <w:tblInd w:w="0" w:type="dxa"/>
        <w:tblCellMar>
          <w:top w:w="0" w:type="dxa"/>
          <w:left w:w="0" w:type="dxa"/>
          <w:bottom w:w="0" w:type="dxa"/>
          <w:right w:w="0" w:type="dxa"/>
        </w:tblCellMar>
      </w:tblPr>
      <w:tblGrid>
        <w:gridCol w:w="2708"/>
        <w:gridCol w:w="57"/>
        <w:gridCol w:w="3835"/>
        <w:gridCol w:w="154"/>
      </w:tblGrid>
      <w:tr>
        <w:trPr/>
        <w:tc>
          <w:tcPr>
            <w:tcW w:w="27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719580" cy="175260"/>
                      <wp:effectExtent l="0" t="0" r="0" b="0"/>
                      <wp:wrapNone/>
                      <wp:docPr id="642" name="Frame641"/>
                      <a:graphic xmlns:a="http://schemas.openxmlformats.org/drawingml/2006/main">
                        <a:graphicData uri="http://schemas.microsoft.com/office/word/2010/wordprocessingShape">
                          <wps:wsp>
                            <wps:cNvSpPr txBox="1"/>
                            <wps:spPr>
                              <a:xfrm>
                                <a:off x="0" y="0"/>
                                <a:ext cx="1719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92"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471420" cy="175260"/>
                      <wp:effectExtent l="0" t="0" r="0" b="0"/>
                      <wp:wrapNone/>
                      <wp:docPr id="643" name="Frame642"/>
                      <a:graphic xmlns:a="http://schemas.openxmlformats.org/drawingml/2006/main">
                        <a:graphicData uri="http://schemas.microsoft.com/office/word/2010/wordprocessingShape">
                          <wps:wsp>
                            <wps:cNvSpPr txBox="1"/>
                            <wps:spPr>
                              <a:xfrm>
                                <a:off x="0" y="0"/>
                                <a:ext cx="2471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97790" cy="175260"/>
                      <wp:effectExtent l="0" t="0" r="0" b="0"/>
                      <wp:wrapNone/>
                      <wp:docPr id="644" name="Frame64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A: 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6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Authorized Representative:</w:t>
            </w:r>
          </w:p>
        </w:tc>
        <w:tc>
          <w:tcPr>
            <w:tcW w:w="38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B: 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6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Authorized Representative:</w:t>
            </w:r>
          </w:p>
        </w:tc>
        <w:tc>
          <w:tcPr>
            <w:tcW w:w="38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C: William Lei Ding</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389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/s/William Lei Ding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D: Dong Zhang</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389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306" w:name="ntes-20221231xex4d54.htm"/>
      <w:bookmarkStart w:id="2307" w:name="ksntes20221231xex4d54"/>
      <w:bookmarkEnd w:id="2306"/>
      <w:bookmarkEnd w:id="2307"/>
      <w:r>
        <w:rPr>
          <w:rFonts w:ascii="Times New Roman;Times;serif" w:hAnsi="Times New Roman;Times;serif"/>
          <w:b/>
          <w:sz w:val="24"/>
        </w:rPr>
        <w:t>Exhibit 4.54</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EXCLUSIVE PURCHASE OPTION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Exclusive Purchase Option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November 9, 2022 among the following parties in Hangzhou:</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A:</w:t>
      </w:r>
      <w:r>
        <w:rPr>
          <w:rFonts w:ascii="Times New Roman;Times;serif" w:hAnsi="Times New Roman;Times;serif"/>
          <w:sz w:val="24"/>
        </w:rPr>
        <w:t>Hangzhou NetEase Cloud Music Technology Co., Ltd.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Legal Address:</w:t>
      </w:r>
      <w:r>
        <w:rPr>
          <w:rFonts w:ascii="Times New Roman;Times;serif" w:hAnsi="Times New Roman;Times;serif"/>
          <w:sz w:val="24"/>
        </w:rPr>
        <w:t>Room 1201, Block A, Hangzhou International Expo Center, No. 353 Benjing Avenue, Qianjiang Century City, Xiaoshan District, Hangzhou, Zhejiang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B:</w:t>
      </w:r>
      <w:r>
        <w:rPr>
          <w:rFonts w:ascii="Times New Roman;Times;serif" w:hAnsi="Times New Roman;Times;serif"/>
          <w:sz w:val="24"/>
        </w:rPr>
        <w:t>Dong Zhang</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Party C:</w:t>
      </w:r>
      <w:r>
        <w:rPr>
          <w:rFonts w:ascii="Times New Roman;Times;serif" w:hAnsi="Times New Roman;Times;serif"/>
          <w:sz w:val="24"/>
        </w:rPr>
        <w:t>Hangzhou Yuedu Technology Co., Ltd.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Legal Address:</w:t>
      </w:r>
      <w:r>
        <w:rPr>
          <w:rFonts w:ascii="Times New Roman;Times;serif" w:hAnsi="Times New Roman;Times;serif"/>
          <w:sz w:val="24"/>
        </w:rPr>
        <w:t>Room 1202, Block A, Hangzhou International Expo Center, No. 353 Benjing Avenue, Qianjiang Century City, Ningwei Street, Xiaoshan District, Hangzhou, Zhejiang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this Agreement, Party A, Party B and Party C are called collectively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sz w:val="24"/>
        </w:rPr>
        <w:t>Party</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WHEREAS:</w:t>
      </w:r>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is a wholly foreign-owned enterprise incorporated under the laws of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w:t>
            </w:r>
          </w:p>
        </w:tc>
      </w:tr>
    </w:tbl>
    <w:tbl>
      <w:tblPr>
        <w:tblW w:w="6130" w:type="dxa"/>
        <w:jc w:val="left"/>
        <w:tblInd w:w="0" w:type="dxa"/>
        <w:tblCellMar>
          <w:top w:w="0" w:type="dxa"/>
          <w:left w:w="0" w:type="dxa"/>
          <w:bottom w:w="0" w:type="dxa"/>
          <w:right w:w="0" w:type="dxa"/>
        </w:tblCellMar>
      </w:tblPr>
      <w:tblGrid>
        <w:gridCol w:w="200"/>
        <w:gridCol w:w="593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59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is a limited liability company incorporated in the PRC;</w:t>
            </w:r>
          </w:p>
        </w:tc>
      </w:tr>
    </w:tbl>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1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is a shareholder of Party C. Party B has ownership of 1% of the equity interest in Party C (the “</w:t>
            </w:r>
            <w:r>
              <w:rPr>
                <w:rFonts w:ascii="Times New Roman;Times;serif" w:hAnsi="Times New Roman;Times;serif"/>
                <w:b/>
                <w:sz w:val="24"/>
              </w:rPr>
              <w:t>Equity Interest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5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and Party B have entered into a loan agreement (as the same may be amended and supplemented from time to time, the “</w:t>
            </w:r>
            <w:r>
              <w:rPr>
                <w:rFonts w:ascii="Times New Roman;Times;serif" w:hAnsi="Times New Roman;Times;serif"/>
                <w:b/>
                <w:sz w:val="24"/>
              </w:rPr>
              <w:t>Loan Agreement</w:t>
            </w:r>
            <w:r>
              <w:rPr>
                <w:rFonts w:ascii="Times New Roman;Times;serif" w:hAnsi="Times New Roman;Times;serif"/>
                <w:sz w:val="20"/>
              </w:rPr>
              <w:t>”</w:t>
            </w:r>
            <w:r>
              <w:rPr>
                <w:rFonts w:ascii="Times New Roman;Times;serif" w:hAnsi="Times New Roman;Times;serif"/>
                <w:sz w:val="24"/>
              </w:rPr>
              <w:t>), on the same date of this Agreement pursuant to which Party A made a loan, and may make additional loans from time to time, to Party B (such loans are hereinafter collectively referred to as the “</w:t>
            </w:r>
            <w:r>
              <w:rPr>
                <w:rFonts w:ascii="Times New Roman;Times;serif" w:hAnsi="Times New Roman;Times;serif"/>
                <w:b/>
                <w:sz w:val="24"/>
              </w:rPr>
              <w:t>Loan</w:t>
            </w:r>
            <w:r>
              <w:rPr>
                <w:rFonts w:ascii="Times New Roman;Times;serif" w:hAnsi="Times New Roman;Times;serif"/>
                <w:sz w:val="20"/>
              </w:rPr>
              <w:t>”</w:t>
            </w:r>
            <w:r>
              <w:rPr>
                <w:rFonts w:ascii="Times New Roman;Times;serif" w:hAnsi="Times New Roman;Times;serif"/>
                <w:sz w:val="24"/>
              </w:rPr>
              <w:t>), so that Party B could invest the proceeds from the Loan in Party C as a capital contribution; and</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A and Party B have entered into an equity pledge agreement (the “</w:t>
            </w:r>
            <w:r>
              <w:rPr>
                <w:rFonts w:ascii="Times New Roman;Times;serif" w:hAnsi="Times New Roman;Times;serif"/>
                <w:b/>
                <w:sz w:val="24"/>
              </w:rPr>
              <w:t>Equity Pledge Agreement</w:t>
            </w:r>
            <w:r>
              <w:rPr>
                <w:rFonts w:ascii="Times New Roman;Times;serif" w:hAnsi="Times New Roman;Times;serif"/>
                <w:sz w:val="20"/>
              </w:rPr>
              <w:t>”</w:t>
            </w:r>
            <w:r>
              <w:rPr>
                <w:rFonts w:ascii="Times New Roman;Times;serif" w:hAnsi="Times New Roman;Times;serif"/>
                <w:sz w:val="24"/>
              </w:rPr>
              <w:t>) on the same date of this Agreement.</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through negotiations, all parties to this Agreement hereby agree as follows:</w:t>
      </w:r>
    </w:p>
    <w:tbl>
      <w:tblPr>
        <w:tblW w:w="2950" w:type="dxa"/>
        <w:jc w:val="left"/>
        <w:tblInd w:w="0" w:type="dxa"/>
        <w:tblCellMar>
          <w:top w:w="0" w:type="dxa"/>
          <w:left w:w="0" w:type="dxa"/>
          <w:bottom w:w="0" w:type="dxa"/>
          <w:right w:w="0" w:type="dxa"/>
        </w:tblCellMar>
      </w:tblPr>
      <w:tblGrid>
        <w:gridCol w:w="200"/>
        <w:gridCol w:w="275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27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Purchase and Sale of Interest</w:t>
            </w:r>
          </w:p>
        </w:tc>
      </w:tr>
    </w:tbl>
    <w:tbl>
      <w:tblPr>
        <w:tblW w:w="2133" w:type="dxa"/>
        <w:jc w:val="left"/>
        <w:tblInd w:w="0" w:type="dxa"/>
        <w:tblCellMar>
          <w:top w:w="0" w:type="dxa"/>
          <w:left w:w="0" w:type="dxa"/>
          <w:bottom w:w="0" w:type="dxa"/>
          <w:right w:w="0" w:type="dxa"/>
        </w:tblCellMar>
      </w:tblPr>
      <w:tblGrid>
        <w:gridCol w:w="23"/>
        <w:gridCol w:w="320"/>
        <w:gridCol w:w="179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179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Granting of Rights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tbl>
      <w:tblPr>
        <w:tblW w:w="1893" w:type="dxa"/>
        <w:jc w:val="left"/>
        <w:tblInd w:w="0" w:type="dxa"/>
        <w:tblCellMar>
          <w:top w:w="0" w:type="dxa"/>
          <w:left w:w="0" w:type="dxa"/>
          <w:bottom w:w="0" w:type="dxa"/>
          <w:right w:w="0" w:type="dxa"/>
        </w:tblCellMar>
      </w:tblPr>
      <w:tblGrid>
        <w:gridCol w:w="23"/>
        <w:gridCol w:w="500"/>
        <w:gridCol w:w="137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1.1.1</w:t>
            </w:r>
          </w:p>
        </w:tc>
        <w:tc>
          <w:tcPr>
            <w:tcW w:w="137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Equity Option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Party B hereby irrevocably grants to Party A an option (exercisable one or more times) to purchase or cause any one or more persons designated by Party A (“</w:t>
      </w:r>
      <w:r>
        <w:rPr>
          <w:rFonts w:ascii="Times New Roman;Times;serif" w:hAnsi="Times New Roman;Times;serif"/>
          <w:b/>
          <w:sz w:val="24"/>
        </w:rPr>
        <w:t>Designated Persons</w:t>
      </w:r>
      <w:r>
        <w:rPr>
          <w:rFonts w:ascii="Times New Roman;Times;serif" w:hAnsi="Times New Roman;Times;serif"/>
          <w:sz w:val="20"/>
        </w:rPr>
        <w:t>”</w:t>
      </w:r>
      <w:r>
        <w:rPr>
          <w:rFonts w:ascii="Times New Roman;Times;serif" w:hAnsi="Times New Roman;Times;serif"/>
          <w:sz w:val="24"/>
        </w:rPr>
        <w:t>) to purchase, to the extent permitted under PRC law, according to the steps determined by Party A, at the price specified in Article 1.3 of this Agreement, and at any time from Party B, a portion of, or all of, the Equity Interest (the “</w:t>
      </w:r>
      <w:r>
        <w:rPr>
          <w:rFonts w:ascii="Times New Roman;Times;serif" w:hAnsi="Times New Roman;Times;serif"/>
          <w:b/>
          <w:sz w:val="24"/>
        </w:rPr>
        <w:t>Equity Option</w:t>
      </w:r>
      <w:r>
        <w:rPr>
          <w:rFonts w:ascii="Times New Roman;Times;serif" w:hAnsi="Times New Roman;Times;serif"/>
          <w:sz w:val="20"/>
        </w:rPr>
        <w:t>”</w:t>
      </w:r>
      <w:r>
        <w:rPr>
          <w:rFonts w:ascii="Times New Roman;Times;serif" w:hAnsi="Times New Roman;Times;serif"/>
          <w:sz w:val="24"/>
        </w:rPr>
        <w:t>). No Equity Option shall be granted to any third party other than Party A and/or the Designated Persons. Party C hereby agrees to the granting of the Equity Option by Party B to Party A and/or the Designated Persons. The term “</w:t>
      </w:r>
      <w:r>
        <w:rPr>
          <w:rFonts w:ascii="Times New Roman;Times;serif" w:hAnsi="Times New Roman;Times;serif"/>
          <w:b/>
          <w:sz w:val="24"/>
        </w:rPr>
        <w:t>person</w:t>
      </w:r>
      <w:r>
        <w:rPr>
          <w:rFonts w:ascii="Times New Roman;Times;serif" w:hAnsi="Times New Roman;Times;serif"/>
          <w:sz w:val="20"/>
        </w:rPr>
        <w:t xml:space="preserve">” </w:t>
      </w:r>
      <w:r>
        <w:rPr>
          <w:rFonts w:ascii="Times New Roman;Times;serif" w:hAnsi="Times New Roman;Times;serif"/>
          <w:sz w:val="24"/>
        </w:rPr>
        <w:t>in this Agreement means an individual person, corporation, joint venture, partnership, enterprise, trust or a non-corporation organization.</w:t>
      </w:r>
    </w:p>
    <w:tbl>
      <w:tblPr>
        <w:tblW w:w="1788" w:type="dxa"/>
        <w:jc w:val="left"/>
        <w:tblInd w:w="0" w:type="dxa"/>
        <w:tblCellMar>
          <w:top w:w="0" w:type="dxa"/>
          <w:left w:w="0" w:type="dxa"/>
          <w:bottom w:w="0" w:type="dxa"/>
          <w:right w:w="0" w:type="dxa"/>
        </w:tblCellMar>
      </w:tblPr>
      <w:tblGrid>
        <w:gridCol w:w="23"/>
        <w:gridCol w:w="500"/>
        <w:gridCol w:w="126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1.1.2</w:t>
            </w:r>
          </w:p>
        </w:tc>
        <w:tc>
          <w:tcPr>
            <w:tcW w:w="12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Asset Option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Times New Roman;Times;serif" w:hAnsi="Times New Roman;Times;serif"/>
          <w:b/>
          <w:sz w:val="24"/>
        </w:rPr>
        <w:t>Asset Option</w:t>
      </w:r>
      <w:r>
        <w:rPr>
          <w:rFonts w:ascii="Times New Roman;Times;serif" w:hAnsi="Times New Roman;Times;serif"/>
          <w:sz w:val="20"/>
        </w:rPr>
        <w:t>”</w:t>
      </w:r>
      <w:r>
        <w:rPr>
          <w:rFonts w:ascii="Times New Roman;Times;serif" w:hAnsi="Times New Roman;Times;serif"/>
          <w:sz w:val="24"/>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Times New Roman;Times;serif" w:hAnsi="Times New Roman;Times;serif"/>
          <w:b/>
          <w:sz w:val="24"/>
        </w:rPr>
        <w:t>Option</w:t>
      </w:r>
      <w:r>
        <w:rPr>
          <w:rFonts w:ascii="Times New Roman;Times;serif" w:hAnsi="Times New Roman;Times;serif"/>
          <w:sz w:val="20"/>
        </w:rPr>
        <w:t xml:space="preserve">” </w:t>
      </w:r>
      <w:r>
        <w:rPr>
          <w:rFonts w:ascii="Times New Roman;Times;serif" w:hAnsi="Times New Roman;Times;serif"/>
          <w:sz w:val="24"/>
        </w:rPr>
        <w:t>in this Agreement means either the Equity Option or the Asset Option. The term “</w:t>
      </w:r>
      <w:r>
        <w:rPr>
          <w:rFonts w:ascii="Times New Roman;Times;serif" w:hAnsi="Times New Roman;Times;serif"/>
          <w:b/>
          <w:sz w:val="24"/>
        </w:rPr>
        <w:t>Transferor</w:t>
      </w:r>
      <w:r>
        <w:rPr>
          <w:rFonts w:ascii="Times New Roman;Times;serif" w:hAnsi="Times New Roman;Times;serif"/>
          <w:sz w:val="20"/>
        </w:rPr>
        <w:t xml:space="preserve">” </w:t>
      </w:r>
      <w:r>
        <w:rPr>
          <w:rFonts w:ascii="Times New Roman;Times;serif" w:hAnsi="Times New Roman;Times;serif"/>
          <w:sz w:val="24"/>
        </w:rPr>
        <w:t>in this Agreement means (i) Party B, in reference to the Equity Option and (ii) Party C, in reference to the Asset Option.</w:t>
      </w:r>
    </w:p>
    <w:tbl>
      <w:tblPr>
        <w:tblW w:w="1743" w:type="dxa"/>
        <w:jc w:val="left"/>
        <w:tblInd w:w="0" w:type="dxa"/>
        <w:tblCellMar>
          <w:top w:w="0" w:type="dxa"/>
          <w:left w:w="0" w:type="dxa"/>
          <w:bottom w:w="0" w:type="dxa"/>
          <w:right w:w="0" w:type="dxa"/>
        </w:tblCellMar>
      </w:tblPr>
      <w:tblGrid>
        <w:gridCol w:w="23"/>
        <w:gridCol w:w="320"/>
        <w:gridCol w:w="14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14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Exercise Steps</w:t>
            </w:r>
          </w:p>
        </w:tc>
      </w:tr>
    </w:tbl>
    <w:tbl>
      <w:tblPr>
        <w:tblW w:w="2073" w:type="dxa"/>
        <w:jc w:val="left"/>
        <w:tblInd w:w="0" w:type="dxa"/>
        <w:tblCellMar>
          <w:top w:w="0" w:type="dxa"/>
          <w:left w:w="0" w:type="dxa"/>
          <w:bottom w:w="0" w:type="dxa"/>
          <w:right w:w="0" w:type="dxa"/>
        </w:tblCellMar>
      </w:tblPr>
      <w:tblGrid>
        <w:gridCol w:w="23"/>
        <w:gridCol w:w="500"/>
        <w:gridCol w:w="155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1.2.1</w:t>
            </w:r>
          </w:p>
        </w:tc>
        <w:tc>
          <w:tcPr>
            <w:tcW w:w="15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Option Exercise</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 xml:space="preserve">Subject to PRC law and regulations, Party A and/or the Designated Persons may exercise either Option, one or more times to the extent the relevant Transferor still owns any Equity Interest or assets subject to an Option, by issuing a written notice in the form attached hereto as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(the “</w:t>
      </w:r>
      <w:r>
        <w:rPr>
          <w:rFonts w:ascii="Times New Roman;Times;serif" w:hAnsi="Times New Roman;Times;serif"/>
          <w:b/>
          <w:sz w:val="24"/>
        </w:rPr>
        <w:t>Notice</w:t>
      </w:r>
      <w:r>
        <w:rPr>
          <w:rFonts w:ascii="Times New Roman;Times;serif" w:hAnsi="Times New Roman;Times;serif"/>
          <w:sz w:val="20"/>
        </w:rPr>
        <w:t>”</w:t>
      </w:r>
      <w:r>
        <w:rPr>
          <w:rFonts w:ascii="Times New Roman;Times;serif" w:hAnsi="Times New Roman;Times;serif"/>
          <w:sz w:val="24"/>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Times New Roman;Times;serif" w:hAnsi="Times New Roman;Times;serif"/>
          <w:b/>
          <w:sz w:val="24"/>
        </w:rPr>
        <w:t>Purchased Interest</w:t>
      </w:r>
      <w:r>
        <w:rPr>
          <w:rFonts w:ascii="Times New Roman;Times;serif" w:hAnsi="Times New Roman;Times;serif"/>
          <w:sz w:val="20"/>
        </w:rPr>
        <w:t>”</w:t>
      </w:r>
      <w:r>
        <w:rPr>
          <w:rFonts w:ascii="Times New Roman;Times;serif" w:hAnsi="Times New Roman;Times;serif"/>
          <w:sz w:val="24"/>
        </w:rPr>
        <w:t>) and the manner of such purchase.</w:t>
      </w:r>
    </w:p>
    <w:tbl>
      <w:tblPr>
        <w:tblW w:w="2688" w:type="dxa"/>
        <w:jc w:val="left"/>
        <w:tblInd w:w="0" w:type="dxa"/>
        <w:tblCellMar>
          <w:top w:w="0" w:type="dxa"/>
          <w:left w:w="0" w:type="dxa"/>
          <w:bottom w:w="0" w:type="dxa"/>
          <w:right w:w="0" w:type="dxa"/>
        </w:tblCellMar>
      </w:tblPr>
      <w:tblGrid>
        <w:gridCol w:w="23"/>
        <w:gridCol w:w="500"/>
        <w:gridCol w:w="216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1.2.2</w:t>
            </w:r>
          </w:p>
        </w:tc>
        <w:tc>
          <w:tcPr>
            <w:tcW w:w="21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Transferor Obligations</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 xml:space="preserve">Before or upon execution of this Agreement, each of Party B and Party C shall execute a power of attorney in the form attached hereto as </w:t>
      </w:r>
      <w:r>
        <w:rPr>
          <w:rFonts w:ascii="Times New Roman;Times;serif" w:hAnsi="Times New Roman;Times;serif"/>
          <w:sz w:val="24"/>
          <w:u w:val="single"/>
        </w:rPr>
        <w:t>Exhibit B</w:t>
      </w:r>
      <w:r>
        <w:rPr>
          <w:rFonts w:ascii="Times New Roman;Times;serif" w:hAnsi="Times New Roman;Times;serif"/>
          <w:sz w:val="24"/>
        </w:rPr>
        <w:t xml:space="preserve">,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w:t>
      </w:r>
      <w:r>
        <w:rPr>
          <w:rFonts w:ascii="Times New Roman;Times;serif" w:hAnsi="Times New Roman;Times;serif"/>
          <w:sz w:val="24"/>
          <w:u w:val="single"/>
        </w:rPr>
        <w:t>Exhibit B</w:t>
      </w:r>
      <w:r>
        <w:rPr>
          <w:rFonts w:ascii="Times New Roman;Times;serif" w:hAnsi="Times New Roman;Times;serif"/>
          <w:sz w:val="24"/>
        </w:rPr>
        <w:t>) to effect the transfer of the Purchased Interest to Party A and/or the Designated Persons.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1758" w:type="dxa"/>
        <w:jc w:val="left"/>
        <w:tblInd w:w="0" w:type="dxa"/>
        <w:tblCellMar>
          <w:top w:w="0" w:type="dxa"/>
          <w:left w:w="0" w:type="dxa"/>
          <w:bottom w:w="0" w:type="dxa"/>
          <w:right w:w="0" w:type="dxa"/>
        </w:tblCellMar>
      </w:tblPr>
      <w:tblGrid>
        <w:gridCol w:w="23"/>
        <w:gridCol w:w="320"/>
        <w:gridCol w:w="141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14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Purchase Price</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1.3.1</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If Party A exercises either Option, the purchase price of the Purchased Interest (“</w:t>
            </w:r>
            <w:r>
              <w:rPr>
                <w:rFonts w:ascii="Times New Roman;Times;serif" w:hAnsi="Times New Roman;Times;serif"/>
                <w:b/>
                <w:sz w:val="24"/>
              </w:rPr>
              <w:t>Purchase Price</w:t>
            </w:r>
            <w:r>
              <w:rPr>
                <w:rFonts w:ascii="Times New Roman;Times;serif" w:hAnsi="Times New Roman;Times;serif"/>
                <w:sz w:val="20"/>
              </w:rPr>
              <w:t>”</w:t>
            </w:r>
            <w:r>
              <w:rPr>
                <w:rFonts w:ascii="Times New Roman;Times;serif" w:hAnsi="Times New Roman;Times;serif"/>
                <w:sz w:val="24"/>
              </w:rPr>
              <w:t>) shall be: (i) in the case of the Equity Option, equal to outstanding loans owed by Party B to Party A (or part of the outstanding loan amounts in proportion to the equity interests being transferred) under the Loan Agreement, and (ii) in the case of the Asset Option, equal to the minimum purchase price permitted under the PRC laws and regulations.</w:t>
            </w:r>
          </w:p>
        </w:tc>
      </w:tr>
    </w:tbl>
    <w:tbl>
      <w:tblPr>
        <w:tblW w:w="3543" w:type="dxa"/>
        <w:jc w:val="left"/>
        <w:tblInd w:w="0" w:type="dxa"/>
        <w:tblCellMar>
          <w:top w:w="0" w:type="dxa"/>
          <w:left w:w="0" w:type="dxa"/>
          <w:bottom w:w="0" w:type="dxa"/>
          <w:right w:w="0" w:type="dxa"/>
        </w:tblCellMar>
      </w:tblPr>
      <w:tblGrid>
        <w:gridCol w:w="23"/>
        <w:gridCol w:w="320"/>
        <w:gridCol w:w="32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3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Transfer of the Purchased Interest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At each exercise of either Option:</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shall (and Party B shall cause Party C to) convene a shareholders’ meeting. During the meeting, resolutions approving the transfer of the Purchased Interest from the Transferor to Party A and/or the Designated Persons shall be adopted;</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1.4.2</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 xml:space="preserve">The Transferor shall, in accordance with the terms and conditions of this Agreement and the Notice in connection with the Purchased Interest, enter into a transfer agreement with Party A and/or the Designated Persons (as applicable) for each transfer in the form attached hereto as </w:t>
            </w:r>
            <w:r>
              <w:rPr>
                <w:rFonts w:ascii="Times New Roman;Times;serif" w:hAnsi="Times New Roman;Times;serif"/>
                <w:sz w:val="24"/>
                <w:u w:val="single"/>
              </w:rPr>
              <w:t>Exhibit C</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Transfer Agreement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1.4.3</w:t>
            </w:r>
          </w:p>
        </w:tc>
        <w:tc>
          <w:tcPr>
            <w:tcW w:w="968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The relevant parties shall execute all other requisite contracts, agreements or documents, obtain all requisite government approvals 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Times New Roman;Times;serif" w:hAnsi="Times New Roman;Times;serif"/>
                <w:b/>
                <w:sz w:val="24"/>
              </w:rPr>
              <w:t>Security Interest</w:t>
            </w:r>
            <w:r>
              <w:rPr>
                <w:rFonts w:ascii="Times New Roman;Times;serif" w:hAnsi="Times New Roman;Times;serif"/>
                <w:sz w:val="20"/>
              </w:rPr>
              <w:t xml:space="preserve">” </w:t>
            </w:r>
            <w:r>
              <w:rPr>
                <w:rFonts w:ascii="Times New Roman;Times;serif" w:hAnsi="Times New Roman;Times;serif"/>
                <w:sz w:val="24"/>
              </w:rPr>
              <w:t>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tc>
      </w:tr>
    </w:tbl>
    <w:tbl>
      <w:tblPr>
        <w:tblW w:w="1188" w:type="dxa"/>
        <w:jc w:val="left"/>
        <w:tblInd w:w="0" w:type="dxa"/>
        <w:tblCellMar>
          <w:top w:w="0" w:type="dxa"/>
          <w:left w:w="0" w:type="dxa"/>
          <w:bottom w:w="0" w:type="dxa"/>
          <w:right w:w="0" w:type="dxa"/>
        </w:tblCellMar>
      </w:tblPr>
      <w:tblGrid>
        <w:gridCol w:w="23"/>
        <w:gridCol w:w="320"/>
        <w:gridCol w:w="84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8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Payment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tbl>
      <w:tblPr>
        <w:tblW w:w="3753" w:type="dxa"/>
        <w:jc w:val="left"/>
        <w:tblInd w:w="0" w:type="dxa"/>
        <w:tblCellMar>
          <w:top w:w="0" w:type="dxa"/>
          <w:left w:w="0" w:type="dxa"/>
          <w:bottom w:w="0" w:type="dxa"/>
          <w:right w:w="0" w:type="dxa"/>
        </w:tblCellMar>
      </w:tblPr>
      <w:tblGrid>
        <w:gridCol w:w="23"/>
        <w:gridCol w:w="500"/>
        <w:gridCol w:w="323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1.5.1</w:t>
            </w:r>
          </w:p>
        </w:tc>
        <w:tc>
          <w:tcPr>
            <w:tcW w:w="3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Offset Payment for Equity Option</w:t>
            </w:r>
          </w:p>
        </w:tc>
      </w:tr>
    </w:tbl>
    <w:p>
      <w:pPr>
        <w:pStyle w:val="TextBody"/>
        <w:spacing w:before="0" w:after="0"/>
        <w:ind w:left="2160" w:right="0" w:hanging="0"/>
        <w:jc w:val="both"/>
        <w:rPr>
          <w:rFonts w:ascii="Times New Roman;Times;serif" w:hAnsi="Times New Roman;Times;serif"/>
          <w:sz w:val="24"/>
        </w:rPr>
      </w:pPr>
      <w:r>
        <w:rPr>
          <w:rFonts w:ascii="Times New Roman;Times;serif" w:hAnsi="Times New Roman;Times;serif"/>
          <w:sz w:val="24"/>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tbl>
      <w:tblPr>
        <w:tblW w:w="3543" w:type="dxa"/>
        <w:jc w:val="left"/>
        <w:tblInd w:w="0" w:type="dxa"/>
        <w:tblCellMar>
          <w:top w:w="0" w:type="dxa"/>
          <w:left w:w="0" w:type="dxa"/>
          <w:bottom w:w="0" w:type="dxa"/>
          <w:right w:w="0" w:type="dxa"/>
        </w:tblCellMar>
      </w:tblPr>
      <w:tblGrid>
        <w:gridCol w:w="23"/>
        <w:gridCol w:w="500"/>
        <w:gridCol w:w="3020"/>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1.5.2</w:t>
            </w:r>
          </w:p>
        </w:tc>
        <w:tc>
          <w:tcPr>
            <w:tcW w:w="30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Cash Payment for Asset Option</w:t>
            </w:r>
          </w:p>
        </w:tc>
      </w:tr>
    </w:tbl>
    <w:p>
      <w:pPr>
        <w:pStyle w:val="TextBody"/>
        <w:spacing w:before="0" w:after="240"/>
        <w:ind w:left="2160" w:right="0" w:hanging="0"/>
        <w:jc w:val="both"/>
        <w:rPr>
          <w:rFonts w:ascii="Times New Roman;Times;serif" w:hAnsi="Times New Roman;Times;serif"/>
          <w:sz w:val="24"/>
        </w:rPr>
      </w:pPr>
      <w:r>
        <w:rPr>
          <w:rFonts w:ascii="Times New Roman;Times;serif" w:hAnsi="Times New Roman;Times;serif"/>
          <w:sz w:val="24"/>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tbl>
      <w:tblPr>
        <w:tblW w:w="3228" w:type="dxa"/>
        <w:jc w:val="left"/>
        <w:tblInd w:w="0" w:type="dxa"/>
        <w:tblCellMar>
          <w:top w:w="0" w:type="dxa"/>
          <w:left w:w="0" w:type="dxa"/>
          <w:bottom w:w="0" w:type="dxa"/>
          <w:right w:w="0" w:type="dxa"/>
        </w:tblCellMar>
      </w:tblPr>
      <w:tblGrid>
        <w:gridCol w:w="23"/>
        <w:gridCol w:w="320"/>
        <w:gridCol w:w="288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28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Restrictions on Purchase Price</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tbl>
      <w:tblPr>
        <w:tblW w:w="4450" w:type="dxa"/>
        <w:jc w:val="left"/>
        <w:tblInd w:w="0" w:type="dxa"/>
        <w:tblCellMar>
          <w:top w:w="0" w:type="dxa"/>
          <w:left w:w="0" w:type="dxa"/>
          <w:bottom w:w="0" w:type="dxa"/>
          <w:right w:w="0" w:type="dxa"/>
        </w:tblCellMar>
      </w:tblPr>
      <w:tblGrid>
        <w:gridCol w:w="200"/>
        <w:gridCol w:w="425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2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Covenants Relating to the Purchased Interest</w:t>
            </w:r>
          </w:p>
        </w:tc>
      </w:tr>
    </w:tbl>
    <w:tbl>
      <w:tblPr>
        <w:tblW w:w="4428" w:type="dxa"/>
        <w:jc w:val="left"/>
        <w:tblInd w:w="0" w:type="dxa"/>
        <w:tblCellMar>
          <w:top w:w="0" w:type="dxa"/>
          <w:left w:w="0" w:type="dxa"/>
          <w:bottom w:w="0" w:type="dxa"/>
          <w:right w:w="0" w:type="dxa"/>
        </w:tblCellMar>
      </w:tblPr>
      <w:tblGrid>
        <w:gridCol w:w="23"/>
        <w:gridCol w:w="320"/>
        <w:gridCol w:w="408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40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Covenants Relating to Party B and Party C</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Each of Party B and Party C hereby covenants:</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supplement, amend or modify Party C’s articles of association in any way, or to increase or decrease its registered capital, or to change its registered capital structure in any way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2.1.2</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maintain the corporate existence of Party C and operate its business and deal with matters prudently and effectively according to good financial and business rules and practices;</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2.1.3</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2.1.4</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create, succeed to, guarantee or permit any liability, without Party A’s prior written consent, except (i) liabilities arising from the normal course of business, but not arising from loans; and (ii) liabilities disclosed to Party A and approved by Party A in writing;</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2.1.5</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operate all the business in the normal course of business to maintain the value of Party C’s assets, and not to commit any act or omission that would adversely affect Party C's operations and asset value;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2.1.6</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prior written consent by Party A, not to enter into any material agreement, other than agreements entered into in Party C’s normal course of business (for purpose of this paragraph, an agreement will be deemed material if its value exceeds RMB100,000);</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2.1.7</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provide loans or credit to any person (other than in the normal course of business) without Party A’s prior written consent;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2.1.8</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provide all information relating to Party C’s operations and financial conditions upon the request of Party A;</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2.1.9</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2.1.10</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merge or consolidate with, or acquire or invest in, any person without Party A’s prior written consent;</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2.1.11</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promptly notify Party A of any pending or threatened suit, arbitration or administrative proceedings concerning Party C’s assets, business or revenue;</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2.1.12</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tc>
      </w:tr>
    </w:tbl>
    <w:tbl>
      <w:tblPr>
        <w:tblW w:w="10205" w:type="dxa"/>
        <w:jc w:val="left"/>
        <w:tblInd w:w="0" w:type="dxa"/>
        <w:tblCellMar>
          <w:top w:w="0" w:type="dxa"/>
          <w:left w:w="0" w:type="dxa"/>
          <w:bottom w:w="0" w:type="dxa"/>
          <w:right w:w="0" w:type="dxa"/>
        </w:tblCellMar>
      </w:tblPr>
      <w:tblGrid>
        <w:gridCol w:w="23"/>
        <w:gridCol w:w="620"/>
        <w:gridCol w:w="9562"/>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2.1.13</w:t>
            </w:r>
          </w:p>
        </w:tc>
        <w:tc>
          <w:tcPr>
            <w:tcW w:w="95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distribute dividends to Party C’s shareholders in any way without Party A’s prior written consent. However, Party C shall promptly distribute all or part of its distributable profits to its shareholders upon Party A’s request; and</w:t>
            </w:r>
          </w:p>
        </w:tc>
      </w:tr>
    </w:tbl>
    <w:tbl>
      <w:tblPr>
        <w:tblW w:w="9858" w:type="dxa"/>
        <w:jc w:val="left"/>
        <w:tblInd w:w="0" w:type="dxa"/>
        <w:tblCellMar>
          <w:top w:w="0" w:type="dxa"/>
          <w:left w:w="0" w:type="dxa"/>
          <w:bottom w:w="0" w:type="dxa"/>
          <w:right w:w="0" w:type="dxa"/>
        </w:tblCellMar>
      </w:tblPr>
      <w:tblGrid>
        <w:gridCol w:w="23"/>
        <w:gridCol w:w="62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2.1.14</w:t>
            </w:r>
          </w:p>
        </w:tc>
        <w:tc>
          <w:tcPr>
            <w:tcW w:w="9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Party A, to appoint persons nominated by Party A to be the directors of Party C.</w:t>
            </w:r>
          </w:p>
        </w:tc>
      </w:tr>
    </w:tbl>
    <w:tbl>
      <w:tblPr>
        <w:tblW w:w="3243" w:type="dxa"/>
        <w:jc w:val="left"/>
        <w:tblInd w:w="0" w:type="dxa"/>
        <w:tblCellMar>
          <w:top w:w="0" w:type="dxa"/>
          <w:left w:w="0" w:type="dxa"/>
          <w:bottom w:w="0" w:type="dxa"/>
          <w:right w:w="0" w:type="dxa"/>
        </w:tblCellMar>
      </w:tblPr>
      <w:tblGrid>
        <w:gridCol w:w="23"/>
        <w:gridCol w:w="320"/>
        <w:gridCol w:w="290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w:t>
            </w:r>
          </w:p>
        </w:tc>
        <w:tc>
          <w:tcPr>
            <w:tcW w:w="29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Covenants Relating to Party B</w:t>
            </w:r>
          </w:p>
        </w:tc>
      </w:tr>
    </w:tbl>
    <w:p>
      <w:pPr>
        <w:pStyle w:val="TextBody"/>
        <w:spacing w:before="0" w:after="240"/>
        <w:ind w:left="1985" w:right="0" w:hanging="0"/>
        <w:jc w:val="both"/>
        <w:rPr>
          <w:rFonts w:ascii="Times New Roman;Times;serif" w:hAnsi="Times New Roman;Times;serif"/>
          <w:sz w:val="24"/>
        </w:rPr>
      </w:pPr>
      <w:r>
        <w:rPr>
          <w:rFonts w:ascii="Times New Roman;Times;serif" w:hAnsi="Times New Roman;Times;serif"/>
          <w:sz w:val="24"/>
        </w:rPr>
        <w:t>Party B hereby covenants:</w:t>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2.2.1</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2.2.2</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2.2.3</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Without Party A’s prior written consent, not to vote for or sign any shareholders’ resolution at Party C’s shareholders’ meetings to approve Party C’s merger or consolidation with, acquisition of or investment in, any person;</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2.2.4</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promptly notify Party A of any pending or threatened suit, arbitration or administrative proceedings concerning the Equity Interest owned by it;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2.2.5</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cause any relevant shareholders’ meeting to approve the transfer of any Purchased Interest under this Agreement;</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2.2.6</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execute all necessary or appropriate documents, to take all necessary or appropriate actions and to bring all necessary or appropriate claims or to make all necessary and appropriate defenses against all claims in order to maintain his ownership over the Equity Interest;</w:t>
            </w:r>
          </w:p>
        </w:tc>
      </w:tr>
    </w:tbl>
    <w:tbl>
      <w:tblPr>
        <w:tblW w:w="9738" w:type="dxa"/>
        <w:jc w:val="left"/>
        <w:tblInd w:w="0" w:type="dxa"/>
        <w:tblCellMar>
          <w:top w:w="0" w:type="dxa"/>
          <w:left w:w="0" w:type="dxa"/>
          <w:bottom w:w="0" w:type="dxa"/>
          <w:right w:w="0" w:type="dxa"/>
        </w:tblCellMar>
      </w:tblPr>
      <w:tblGrid>
        <w:gridCol w:w="23"/>
        <w:gridCol w:w="50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2.2.7</w:t>
            </w:r>
          </w:p>
        </w:tc>
        <w:tc>
          <w:tcPr>
            <w:tcW w:w="92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the request of Party A, to appoint persons nominated by Party A to be the directors of Party C;</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2.2.8</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tc>
      </w:tr>
    </w:tbl>
    <w:tbl>
      <w:tblPr>
        <w:tblW w:w="10205" w:type="dxa"/>
        <w:jc w:val="left"/>
        <w:tblInd w:w="0" w:type="dxa"/>
        <w:tblCellMar>
          <w:top w:w="0" w:type="dxa"/>
          <w:left w:w="0" w:type="dxa"/>
          <w:bottom w:w="0" w:type="dxa"/>
          <w:right w:w="0" w:type="dxa"/>
        </w:tblCellMar>
      </w:tblPr>
      <w:tblGrid>
        <w:gridCol w:w="23"/>
        <w:gridCol w:w="500"/>
        <w:gridCol w:w="9682"/>
      </w:tblGrid>
      <w:tr>
        <w:trPr/>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2.2.9</w:t>
            </w:r>
          </w:p>
        </w:tc>
        <w:tc>
          <w:tcPr>
            <w:tcW w:w="96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tc>
      </w:tr>
    </w:tbl>
    <w:tbl>
      <w:tblPr>
        <w:tblW w:w="3205" w:type="dxa"/>
        <w:jc w:val="left"/>
        <w:tblInd w:w="0" w:type="dxa"/>
        <w:tblCellMar>
          <w:top w:w="0" w:type="dxa"/>
          <w:left w:w="0" w:type="dxa"/>
          <w:bottom w:w="0" w:type="dxa"/>
          <w:right w:w="0" w:type="dxa"/>
        </w:tblCellMar>
      </w:tblPr>
      <w:tblGrid>
        <w:gridCol w:w="200"/>
        <w:gridCol w:w="300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300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Representations and Warranties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As of the execution date of this Agreement and every transfer date, each of Party B and Party C hereby represents and warrants to Party A as follows:</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3.3</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has good and marketable ownership interest in all of its assets and has not created any Security Interest on the said assets;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3.4</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has no outstanding liabilities, except (i) liabilities arising in its normal course of business; and (ii) liabilities disclosed to Party A and approved by Party A in writing;</w:t>
            </w:r>
          </w:p>
        </w:tc>
      </w:tr>
    </w:tbl>
    <w:tbl>
      <w:tblPr>
        <w:tblW w:w="8868" w:type="dxa"/>
        <w:jc w:val="left"/>
        <w:tblInd w:w="0" w:type="dxa"/>
        <w:tblCellMar>
          <w:top w:w="0" w:type="dxa"/>
          <w:left w:w="0" w:type="dxa"/>
          <w:bottom w:w="0" w:type="dxa"/>
          <w:right w:w="0" w:type="dxa"/>
        </w:tblCellMar>
      </w:tblPr>
      <w:tblGrid>
        <w:gridCol w:w="23"/>
        <w:gridCol w:w="320"/>
        <w:gridCol w:w="85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3.5</w:t>
            </w:r>
          </w:p>
        </w:tc>
        <w:tc>
          <w:tcPr>
            <w:tcW w:w="852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C complies with all PRC laws and regulations applicable to the acquisition of assets;</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3.6</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There are currently no existing, pending or threatened litigation, arbitration or administrative proceedings related to the Equity Interest, Party C’s assets or Party C; and</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3.7</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has good and marketable ownership interest in the Equity Interest and has not created any Security Interest on such Equity Interest, other than the Security Interest pursuant to the Equity Pledge Agreement.</w:t>
            </w:r>
          </w:p>
        </w:tc>
      </w:tr>
    </w:tbl>
    <w:tbl>
      <w:tblPr>
        <w:tblW w:w="2710" w:type="dxa"/>
        <w:jc w:val="left"/>
        <w:tblInd w:w="0" w:type="dxa"/>
        <w:tblCellMar>
          <w:top w:w="0" w:type="dxa"/>
          <w:left w:w="0" w:type="dxa"/>
          <w:bottom w:w="0" w:type="dxa"/>
          <w:right w:w="0" w:type="dxa"/>
        </w:tblCellMar>
      </w:tblPr>
      <w:tblGrid>
        <w:gridCol w:w="200"/>
        <w:gridCol w:w="251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251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Assignment of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and Party C shall not assign their rights and obligations under this Agreement to any third party without the prior written consent of Party A.</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and Party C hereby agree that Party A may assign all its rights and obligations under this Agreement to a third party without the consent of Party B and Party C, but such assignment shall be notified in writing to Party B and Party C.</w:t>
            </w:r>
          </w:p>
        </w:tc>
      </w:tr>
    </w:tbl>
    <w:tbl>
      <w:tblPr>
        <w:tblW w:w="2560" w:type="dxa"/>
        <w:jc w:val="left"/>
        <w:tblInd w:w="0" w:type="dxa"/>
        <w:tblCellMar>
          <w:top w:w="0" w:type="dxa"/>
          <w:left w:w="0" w:type="dxa"/>
          <w:bottom w:w="0" w:type="dxa"/>
          <w:right w:w="0" w:type="dxa"/>
        </w:tblCellMar>
      </w:tblPr>
      <w:tblGrid>
        <w:gridCol w:w="200"/>
        <w:gridCol w:w="236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236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Effective Date and Term</w:t>
            </w:r>
          </w:p>
        </w:tc>
      </w:tr>
    </w:tbl>
    <w:tbl>
      <w:tblPr>
        <w:tblW w:w="6783" w:type="dxa"/>
        <w:jc w:val="left"/>
        <w:tblInd w:w="0" w:type="dxa"/>
        <w:tblCellMar>
          <w:top w:w="0" w:type="dxa"/>
          <w:left w:w="0" w:type="dxa"/>
          <w:bottom w:w="0" w:type="dxa"/>
          <w:right w:w="0" w:type="dxa"/>
        </w:tblCellMar>
      </w:tblPr>
      <w:tblGrid>
        <w:gridCol w:w="23"/>
        <w:gridCol w:w="320"/>
        <w:gridCol w:w="644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5.1</w:t>
            </w:r>
          </w:p>
        </w:tc>
        <w:tc>
          <w:tcPr>
            <w:tcW w:w="6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 effective as of the date first set forth above.</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tbl>
      <w:tblPr>
        <w:tblW w:w="4120" w:type="dxa"/>
        <w:jc w:val="left"/>
        <w:tblInd w:w="0" w:type="dxa"/>
        <w:tblCellMar>
          <w:top w:w="0" w:type="dxa"/>
          <w:left w:w="0" w:type="dxa"/>
          <w:bottom w:w="0" w:type="dxa"/>
          <w:right w:w="0" w:type="dxa"/>
        </w:tblCellMar>
      </w:tblPr>
      <w:tblGrid>
        <w:gridCol w:w="200"/>
        <w:gridCol w:w="392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392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Applicable Laws and Dispute Resolution</w:t>
            </w:r>
          </w:p>
        </w:tc>
      </w:tr>
    </w:tbl>
    <w:tbl>
      <w:tblPr>
        <w:tblW w:w="1893" w:type="dxa"/>
        <w:jc w:val="left"/>
        <w:tblInd w:w="0" w:type="dxa"/>
        <w:tblCellMar>
          <w:top w:w="0" w:type="dxa"/>
          <w:left w:w="0" w:type="dxa"/>
          <w:bottom w:w="0" w:type="dxa"/>
          <w:right w:w="0" w:type="dxa"/>
        </w:tblCellMar>
      </w:tblPr>
      <w:tblGrid>
        <w:gridCol w:w="23"/>
        <w:gridCol w:w="320"/>
        <w:gridCol w:w="155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6.1</w:t>
            </w:r>
          </w:p>
        </w:tc>
        <w:tc>
          <w:tcPr>
            <w:tcW w:w="155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Applicable Law</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formation, validity, interpretation and performance of and settlement of disputes under this Agreement shall be governed by the laws of the PRC.</w:t>
      </w:r>
    </w:p>
    <w:tbl>
      <w:tblPr>
        <w:tblW w:w="2178" w:type="dxa"/>
        <w:jc w:val="left"/>
        <w:tblInd w:w="0" w:type="dxa"/>
        <w:tblCellMar>
          <w:top w:w="0" w:type="dxa"/>
          <w:left w:w="0" w:type="dxa"/>
          <w:bottom w:w="0" w:type="dxa"/>
          <w:right w:w="0" w:type="dxa"/>
        </w:tblCellMar>
      </w:tblPr>
      <w:tblGrid>
        <w:gridCol w:w="23"/>
        <w:gridCol w:w="320"/>
        <w:gridCol w:w="183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6.2</w:t>
            </w:r>
          </w:p>
        </w:tc>
        <w:tc>
          <w:tcPr>
            <w:tcW w:w="18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Dispute Resolution</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Any dispute arising under or in connection with this Agreement shall be settled by the parties</w:t>
      </w:r>
      <w:r>
        <w:rPr>
          <w:rFonts w:ascii="Times New Roman;Times;serif" w:hAnsi="Times New Roman;Times;serif"/>
          <w:sz w:val="20"/>
        </w:rPr>
        <w:t xml:space="preserve"> </w:t>
      </w:r>
      <w:r>
        <w:rPr>
          <w:rFonts w:ascii="Times New Roman;Times;serif" w:hAnsi="Times New Roman;Times;serif"/>
          <w:sz w:val="24"/>
        </w:rPr>
        <w:t>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Party C's business operation, restricting and / or disposing the Party C's equities or assets (including land assets) (including but not limited to taking them as compensation), or forbidding transfer or dispose, or taking other relevant remedies, or ordering the winding up of the Party C. The Parties shall perform such awards.</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Music Inc.; (iii) the registered place of Party C; and (iv) the place where main assets of Cloud Music Inc. or the Party C are located shall be deemed to have jurisdiction for the purpose of this article.</w:t>
      </w:r>
    </w:p>
    <w:tbl>
      <w:tblPr>
        <w:tblW w:w="2155" w:type="dxa"/>
        <w:jc w:val="left"/>
        <w:tblInd w:w="0" w:type="dxa"/>
        <w:tblCellMar>
          <w:top w:w="0" w:type="dxa"/>
          <w:left w:w="0" w:type="dxa"/>
          <w:bottom w:w="0" w:type="dxa"/>
          <w:right w:w="0" w:type="dxa"/>
        </w:tblCellMar>
      </w:tblPr>
      <w:tblGrid>
        <w:gridCol w:w="200"/>
        <w:gridCol w:w="195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95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Taxes and Expenses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tbl>
      <w:tblPr>
        <w:tblW w:w="1630" w:type="dxa"/>
        <w:jc w:val="left"/>
        <w:tblInd w:w="0" w:type="dxa"/>
        <w:tblCellMar>
          <w:top w:w="0" w:type="dxa"/>
          <w:left w:w="0" w:type="dxa"/>
          <w:bottom w:w="0" w:type="dxa"/>
          <w:right w:w="0" w:type="dxa"/>
        </w:tblCellMar>
      </w:tblPr>
      <w:tblGrid>
        <w:gridCol w:w="200"/>
        <w:gridCol w:w="143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143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Confidentiality</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8.1</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tc>
      </w:tr>
    </w:tbl>
    <w:tbl>
      <w:tblPr>
        <w:tblW w:w="10205" w:type="dxa"/>
        <w:jc w:val="left"/>
        <w:tblInd w:w="0" w:type="dxa"/>
        <w:tblCellMar>
          <w:top w:w="0" w:type="dxa"/>
          <w:left w:w="0" w:type="dxa"/>
          <w:bottom w:w="0" w:type="dxa"/>
          <w:right w:w="0" w:type="dxa"/>
        </w:tblCellMar>
      </w:tblPr>
      <w:tblGrid>
        <w:gridCol w:w="23"/>
        <w:gridCol w:w="320"/>
        <w:gridCol w:w="9862"/>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8.2</w:t>
            </w:r>
          </w:p>
        </w:tc>
        <w:tc>
          <w:tcPr>
            <w:tcW w:w="98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parties agree that this Article 8 shall survive the invalidity, cancellation, termination or unenforceability of this Agreement.</w:t>
            </w:r>
          </w:p>
        </w:tc>
      </w:tr>
    </w:tbl>
    <w:tbl>
      <w:tblPr>
        <w:tblW w:w="940" w:type="dxa"/>
        <w:jc w:val="left"/>
        <w:tblInd w:w="0" w:type="dxa"/>
        <w:tblCellMar>
          <w:top w:w="0" w:type="dxa"/>
          <w:left w:w="0" w:type="dxa"/>
          <w:bottom w:w="0" w:type="dxa"/>
          <w:right w:w="0" w:type="dxa"/>
        </w:tblCellMar>
      </w:tblPr>
      <w:tblGrid>
        <w:gridCol w:w="200"/>
        <w:gridCol w:w="740"/>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74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Notices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If to Party A:  </w:t>
      </w:r>
      <w:r>
        <w:rPr>
          <w:rFonts w:ascii="Times New Roman;Times;serif" w:hAnsi="Times New Roman;Times;serif"/>
          <w:sz w:val="24"/>
        </w:rPr>
        <w:t>Hangzhou NetEase Cloud Music Technology Co., Ltd.</w:t>
      </w:r>
    </w:p>
    <w:tbl>
      <w:tblPr>
        <w:tblW w:w="10205" w:type="dxa"/>
        <w:jc w:val="center"/>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9268"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Room 1201, Block A, Hangzhou International Expo Center, No. 353 Benjing Avenue, Qianjiang Century City, Xiaoshan District, Hangzhou, Zhejiang</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Party B:  Dong Zhang</w:t>
      </w:r>
    </w:p>
    <w:tbl>
      <w:tblPr>
        <w:tblW w:w="8012" w:type="dxa"/>
        <w:jc w:val="center"/>
        <w:tblInd w:w="0" w:type="dxa"/>
        <w:tblCellMar>
          <w:top w:w="0" w:type="dxa"/>
          <w:left w:w="0" w:type="dxa"/>
          <w:bottom w:w="0" w:type="dxa"/>
          <w:right w:w="0" w:type="dxa"/>
        </w:tblCellMar>
      </w:tblPr>
      <w:tblGrid>
        <w:gridCol w:w="961"/>
        <w:gridCol w:w="7051"/>
      </w:tblGrid>
      <w:tr>
        <w:trPr/>
        <w:tc>
          <w:tcPr>
            <w:tcW w:w="96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705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No. 399 Wangshang Road, Changhe Street, Binjiang District, Hangzhou</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b/>
          <w:sz w:val="24"/>
        </w:rPr>
      </w:pPr>
      <w:r>
        <w:rPr>
          <w:rFonts w:ascii="Times New Roman;Times;serif" w:hAnsi="Times New Roman;Times;serif"/>
          <w:b/>
          <w:sz w:val="24"/>
        </w:rPr>
        <w:t>If to Party C: Hangzhou Yuedu Technology Co., Ltd.</w:t>
      </w:r>
    </w:p>
    <w:tbl>
      <w:tblPr>
        <w:tblW w:w="10205" w:type="dxa"/>
        <w:jc w:val="center"/>
        <w:tblInd w:w="0" w:type="dxa"/>
        <w:tblCellMar>
          <w:top w:w="0" w:type="dxa"/>
          <w:left w:w="0" w:type="dxa"/>
          <w:bottom w:w="0" w:type="dxa"/>
          <w:right w:w="0" w:type="dxa"/>
        </w:tblCellMar>
      </w:tblPr>
      <w:tblGrid>
        <w:gridCol w:w="933"/>
        <w:gridCol w:w="9272"/>
      </w:tblGrid>
      <w:tr>
        <w:trPr/>
        <w:tc>
          <w:tcPr>
            <w:tcW w:w="933"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9272"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Room 1202, Block A, Hangzhou International Expo Center, No. 353 Benjing Avenue, Qianjiang Century City, Ningwei Street, Xiaoshan District, Hangzhou, Zhejiang</w:t>
            </w:r>
          </w:p>
        </w:tc>
      </w:tr>
    </w:tbl>
    <w:p>
      <w:pPr>
        <w:pStyle w:val="TextBody"/>
        <w:spacing w:before="0" w:after="0"/>
        <w:ind w:left="0" w:right="0" w:hanging="0"/>
        <w:rPr/>
      </w:pPr>
      <w:r>
        <w:rPr/>
        <w:t>​</w:t>
      </w:r>
    </w:p>
    <w:tbl>
      <w:tblPr>
        <w:tblW w:w="2170" w:type="dxa"/>
        <w:jc w:val="left"/>
        <w:tblInd w:w="0" w:type="dxa"/>
        <w:tblCellMar>
          <w:top w:w="0" w:type="dxa"/>
          <w:left w:w="0" w:type="dxa"/>
          <w:bottom w:w="0" w:type="dxa"/>
          <w:right w:w="0" w:type="dxa"/>
        </w:tblCellMar>
      </w:tblPr>
      <w:tblGrid>
        <w:gridCol w:w="320"/>
        <w:gridCol w:w="185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10.</w:t>
            </w:r>
          </w:p>
        </w:tc>
        <w:tc>
          <w:tcPr>
            <w:tcW w:w="185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Further Assurances</w:t>
            </w:r>
          </w:p>
        </w:tc>
      </w:tr>
    </w:tbl>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agree to promptly execute documents and take further actions that are reasonably required for, or beneficial to, the purpose of performing the provisions and carrying out the intent of this Agreement.</w:t>
      </w:r>
    </w:p>
    <w:tbl>
      <w:tblPr>
        <w:tblW w:w="1690" w:type="dxa"/>
        <w:jc w:val="left"/>
        <w:tblInd w:w="0" w:type="dxa"/>
        <w:tblCellMar>
          <w:top w:w="0" w:type="dxa"/>
          <w:left w:w="0" w:type="dxa"/>
          <w:bottom w:w="0" w:type="dxa"/>
          <w:right w:w="0" w:type="dxa"/>
        </w:tblCellMar>
      </w:tblPr>
      <w:tblGrid>
        <w:gridCol w:w="320"/>
        <w:gridCol w:w="137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1370"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Miscellaneous</w:t>
            </w:r>
          </w:p>
        </w:tc>
      </w:tr>
    </w:tbl>
    <w:tbl>
      <w:tblPr>
        <w:tblW w:w="4428" w:type="dxa"/>
        <w:jc w:val="left"/>
        <w:tblInd w:w="0" w:type="dxa"/>
        <w:tblCellMar>
          <w:top w:w="0" w:type="dxa"/>
          <w:left w:w="0" w:type="dxa"/>
          <w:bottom w:w="0" w:type="dxa"/>
          <w:right w:w="0" w:type="dxa"/>
        </w:tblCellMar>
      </w:tblPr>
      <w:tblGrid>
        <w:gridCol w:w="23"/>
        <w:gridCol w:w="440"/>
        <w:gridCol w:w="396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11.1</w:t>
            </w:r>
          </w:p>
        </w:tc>
        <w:tc>
          <w:tcPr>
            <w:tcW w:w="39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Amendment, Modification or Supplement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amendment or supplement to this Agreement shall be made by the Parties in writing. The amendments or supplements duly executed by each Party shall be deemed as a part of this Agreement and shall have the same legal effect as this Agreement.</w:t>
      </w:r>
    </w:p>
    <w:tbl>
      <w:tblPr>
        <w:tblW w:w="2163" w:type="dxa"/>
        <w:jc w:val="left"/>
        <w:tblInd w:w="0" w:type="dxa"/>
        <w:tblCellMar>
          <w:top w:w="0" w:type="dxa"/>
          <w:left w:w="0" w:type="dxa"/>
          <w:bottom w:w="0" w:type="dxa"/>
          <w:right w:w="0" w:type="dxa"/>
        </w:tblCellMar>
      </w:tblPr>
      <w:tblGrid>
        <w:gridCol w:w="23"/>
        <w:gridCol w:w="440"/>
        <w:gridCol w:w="170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11.2</w:t>
            </w:r>
          </w:p>
        </w:tc>
        <w:tc>
          <w:tcPr>
            <w:tcW w:w="17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Entire Agreement</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tbl>
      <w:tblPr>
        <w:tblW w:w="1608" w:type="dxa"/>
        <w:jc w:val="left"/>
        <w:tblInd w:w="0" w:type="dxa"/>
        <w:tblCellMar>
          <w:top w:w="0" w:type="dxa"/>
          <w:left w:w="0" w:type="dxa"/>
          <w:bottom w:w="0" w:type="dxa"/>
          <w:right w:w="0" w:type="dxa"/>
        </w:tblCellMar>
      </w:tblPr>
      <w:tblGrid>
        <w:gridCol w:w="23"/>
        <w:gridCol w:w="440"/>
        <w:gridCol w:w="114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11.3</w:t>
            </w:r>
          </w:p>
        </w:tc>
        <w:tc>
          <w:tcPr>
            <w:tcW w:w="11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Severability</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tbl>
      <w:tblPr>
        <w:tblW w:w="1383" w:type="dxa"/>
        <w:jc w:val="left"/>
        <w:tblInd w:w="0" w:type="dxa"/>
        <w:tblCellMar>
          <w:top w:w="0" w:type="dxa"/>
          <w:left w:w="0" w:type="dxa"/>
          <w:bottom w:w="0" w:type="dxa"/>
          <w:right w:w="0" w:type="dxa"/>
        </w:tblCellMar>
      </w:tblPr>
      <w:tblGrid>
        <w:gridCol w:w="23"/>
        <w:gridCol w:w="440"/>
        <w:gridCol w:w="92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11.4</w:t>
            </w:r>
          </w:p>
        </w:tc>
        <w:tc>
          <w:tcPr>
            <w:tcW w:w="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Headings</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The headings contained in this Agreement are for the convenience of reference only and shall not be used for the interpretation or explanation or otherwise affect the meaning of the provisions of this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tbl>
      <w:tblPr>
        <w:tblW w:w="1428" w:type="dxa"/>
        <w:jc w:val="left"/>
        <w:tblInd w:w="0" w:type="dxa"/>
        <w:tblCellMar>
          <w:top w:w="0" w:type="dxa"/>
          <w:left w:w="0" w:type="dxa"/>
          <w:bottom w:w="0" w:type="dxa"/>
          <w:right w:w="0" w:type="dxa"/>
        </w:tblCellMar>
      </w:tblPr>
      <w:tblGrid>
        <w:gridCol w:w="23"/>
        <w:gridCol w:w="440"/>
        <w:gridCol w:w="96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11.5</w:t>
            </w:r>
          </w:p>
        </w:tc>
        <w:tc>
          <w:tcPr>
            <w:tcW w:w="9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Successor</w:t>
            </w:r>
          </w:p>
        </w:tc>
      </w:tr>
    </w:tbl>
    <w:p>
      <w:pPr>
        <w:pStyle w:val="TextBody"/>
        <w:spacing w:before="0" w:after="0"/>
        <w:ind w:left="1440" w:right="0" w:hanging="0"/>
        <w:jc w:val="both"/>
        <w:rPr>
          <w:rFonts w:ascii="Times New Roman;Times;serif" w:hAnsi="Times New Roman;Times;serif"/>
          <w:sz w:val="24"/>
        </w:rPr>
      </w:pPr>
      <w:r>
        <w:rPr>
          <w:rFonts w:ascii="Times New Roman;Times;serif" w:hAnsi="Times New Roman;Times;serif"/>
          <w:sz w:val="24"/>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tbl>
      <w:tblPr>
        <w:tblW w:w="1278" w:type="dxa"/>
        <w:jc w:val="left"/>
        <w:tblInd w:w="0" w:type="dxa"/>
        <w:tblCellMar>
          <w:top w:w="0" w:type="dxa"/>
          <w:left w:w="0" w:type="dxa"/>
          <w:bottom w:w="0" w:type="dxa"/>
          <w:right w:w="0" w:type="dxa"/>
        </w:tblCellMar>
      </w:tblPr>
      <w:tblGrid>
        <w:gridCol w:w="23"/>
        <w:gridCol w:w="440"/>
        <w:gridCol w:w="815"/>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11.6</w:t>
            </w:r>
          </w:p>
        </w:tc>
        <w:tc>
          <w:tcPr>
            <w:tcW w:w="8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Survival</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obligation arising from or becoming due under this Agreement before its expiration or premature termination shall survive such expiration or premature termination. Articles 6, 8, 9 and 10 and this Article 11.6 shall survive the termination of this Agreement.</w:t>
      </w:r>
    </w:p>
    <w:tbl>
      <w:tblPr>
        <w:tblW w:w="1173" w:type="dxa"/>
        <w:jc w:val="left"/>
        <w:tblInd w:w="0" w:type="dxa"/>
        <w:tblCellMar>
          <w:top w:w="0" w:type="dxa"/>
          <w:left w:w="0" w:type="dxa"/>
          <w:bottom w:w="0" w:type="dxa"/>
          <w:right w:w="0" w:type="dxa"/>
        </w:tblCellMar>
      </w:tblPr>
      <w:tblGrid>
        <w:gridCol w:w="23"/>
        <w:gridCol w:w="440"/>
        <w:gridCol w:w="710"/>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11.7</w:t>
            </w:r>
          </w:p>
        </w:tc>
        <w:tc>
          <w:tcPr>
            <w:tcW w:w="71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Waiver</w:t>
            </w:r>
          </w:p>
        </w:tc>
      </w:tr>
    </w:tbl>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each Party has caused this Agreement to be executed by himself/herself, its legal representative or its duly authorized representative as of the date first written above.</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tbl>
      <w:tblPr>
        <w:tblW w:w="6754" w:type="dxa"/>
        <w:jc w:val="left"/>
        <w:tblInd w:w="0" w:type="dxa"/>
        <w:tblCellMar>
          <w:top w:w="0" w:type="dxa"/>
          <w:left w:w="0" w:type="dxa"/>
          <w:bottom w:w="0" w:type="dxa"/>
          <w:right w:w="0" w:type="dxa"/>
        </w:tblCellMar>
      </w:tblPr>
      <w:tblGrid>
        <w:gridCol w:w="2731"/>
        <w:gridCol w:w="3869"/>
        <w:gridCol w:w="154"/>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734185" cy="175260"/>
                      <wp:effectExtent l="0" t="0" r="0" b="0"/>
                      <wp:wrapNone/>
                      <wp:docPr id="645" name="Frame644"/>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456815" cy="175260"/>
                      <wp:effectExtent l="0" t="0" r="0" b="0"/>
                      <wp:wrapNone/>
                      <wp:docPr id="646" name="Frame645"/>
                      <a:graphic xmlns:a="http://schemas.openxmlformats.org/drawingml/2006/main">
                        <a:graphicData uri="http://schemas.microsoft.com/office/word/2010/wordprocessingShape">
                          <wps:wsp>
                            <wps:cNvSpPr txBox="1"/>
                            <wps:spPr>
                              <a:xfrm>
                                <a:off x="0" y="0"/>
                                <a:ext cx="2456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97790" cy="175260"/>
                      <wp:effectExtent l="0" t="0" r="0" b="0"/>
                      <wp:wrapNone/>
                      <wp:docPr id="647" name="Frame64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A: 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B: Dong Zhang</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386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4"/>
              </w:rPr>
              <w:t>Party C:</w:t>
            </w:r>
            <w:r>
              <w:rPr>
                <w:rFonts w:ascii="Times New Roman;Times;serif" w:hAnsi="Times New Roman;Times;serif"/>
                <w:sz w:val="20"/>
              </w:rPr>
              <w:t xml:space="preserve"> </w:t>
            </w:r>
            <w:r>
              <w:rPr>
                <w:rFonts w:ascii="Times New Roman;Times;serif" w:hAnsi="Times New Roman;Times;serif"/>
                <w:b/>
                <w:sz w:val="24"/>
              </w:rPr>
              <w:t>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86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4"/>
        </w:rPr>
        <w:t>Seal</w:t>
      </w: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Form of Notice</w:t>
      </w:r>
    </w:p>
    <w:p>
      <w:pPr>
        <w:pStyle w:val="TextBody"/>
        <w:spacing w:before="0" w:after="240"/>
        <w:ind w:left="0" w:right="0" w:hanging="0"/>
        <w:jc w:val="center"/>
        <w:rPr/>
      </w:pPr>
      <w:r>
        <w:rPr/>
        <w:t>​</w:t>
      </w:r>
    </w:p>
    <w:tbl>
      <w:tblPr>
        <w:tblW w:w="1287" w:type="dxa"/>
        <w:jc w:val="left"/>
        <w:tblInd w:w="0" w:type="dxa"/>
        <w:tblCellMar>
          <w:top w:w="0" w:type="dxa"/>
          <w:left w:w="0" w:type="dxa"/>
          <w:bottom w:w="0" w:type="dxa"/>
          <w:right w:w="0" w:type="dxa"/>
        </w:tblCellMar>
      </w:tblPr>
      <w:tblGrid>
        <w:gridCol w:w="521"/>
        <w:gridCol w:w="766"/>
      </w:tblGrid>
      <w:tr>
        <w:trPr/>
        <w:tc>
          <w:tcPr>
            <w:tcW w:w="521"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Date</w:t>
            </w:r>
            <w:r>
              <w:rPr>
                <w:rFonts w:ascii="Times New Roman;Times;serif" w:hAnsi="Times New Roman;Times;serif"/>
                <w:sz w:val="24"/>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Dear Dong Zhang,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Pursuant to the Exclusive Purchase Option Agreement between us executed on November 9, 2022 (the “</w:t>
      </w:r>
      <w:r>
        <w:rPr>
          <w:rFonts w:ascii="Times New Roman;Times;serif" w:hAnsi="Times New Roman;Times;serif"/>
          <w:b/>
          <w:i/>
          <w:sz w:val="24"/>
        </w:rPr>
        <w:t>Option Agreement</w:t>
      </w:r>
      <w:r>
        <w:rPr>
          <w:rFonts w:ascii="Times New Roman;Times;serif" w:hAnsi="Times New Roman;Times;serif"/>
          <w:sz w:val="20"/>
        </w:rPr>
        <w:t>”</w:t>
      </w:r>
      <w:r>
        <w:rPr>
          <w:rFonts w:ascii="Times New Roman;Times;serif" w:hAnsi="Times New Roman;Times;serif"/>
          <w:sz w:val="24"/>
        </w:rPr>
        <w:t>), you agreed to transfer to us or our Designated Person(s) certain equity interests or assets upon notice from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letter serves as our notice to you under Article 1.2.1 of the Option Agreement, and we hereby notify you that we wish to purchase from you the following [</w:t>
      </w:r>
      <w:r>
        <w:rPr>
          <w:rFonts w:ascii="Times New Roman;Times;serif" w:hAnsi="Times New Roman;Times;serif"/>
          <w:i/>
          <w:sz w:val="24"/>
        </w:rPr>
        <w:t>equity interests / assets</w:t>
      </w:r>
      <w:r>
        <w:rPr>
          <w:rFonts w:ascii="Times New Roman;Times;serif" w:hAnsi="Times New Roman;Times;serif"/>
          <w:sz w:val="24"/>
        </w:rPr>
        <w:t>], which constitute the Purchased Interest under Article 1.2.1 of the Option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[All / </w:t>
      </w:r>
      <w:r>
        <w:rPr>
          <w:rFonts w:ascii="Times New Roman;Times;serif" w:hAnsi="Times New Roman;Times;serif"/>
          <w:sz w:val="20"/>
          <w:u w:val="single"/>
        </w:rPr>
        <w:t>      </w:t>
      </w:r>
      <w:r>
        <w:rPr>
          <w:rFonts w:ascii="Times New Roman;Times;serif" w:hAnsi="Times New Roman;Times;serif"/>
          <w:sz w:val="24"/>
        </w:rPr>
        <w:t>% of the shares in  Hangzhou Yuedu Technology Co., Ltd.]</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[All the assets of Hangzhou Yuedu Technology Co., Ltd. / The following assets of Hangzhou Yuedu Technology Co., Ltd.: ___________________________________________________________________________________________________________________________________________________________________________________]</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In consideration for the Purchased Interest, the Purchase Price (as defined in Article 1.3 of the Option Agreement) of the Purchased Interest will be RMB _________________.  We shall handle payment of the Purchase Price pursuant to Article 1.5 of the Option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Please assist us in arranging for the transfer of the Purchased Interest to [</w:t>
      </w:r>
      <w:r>
        <w:rPr>
          <w:rFonts w:ascii="Times New Roman;Times;serif" w:hAnsi="Times New Roman;Times;serif"/>
          <w:i/>
          <w:sz w:val="24"/>
        </w:rPr>
        <w:t>us / our Designated Person(s), which is/are</w:t>
      </w:r>
      <w:r>
        <w:rPr>
          <w:rFonts w:ascii="Times New Roman;Times;serif" w:hAnsi="Times New Roman;Times;serif"/>
          <w:sz w:val="20"/>
        </w:rPr>
        <w:t xml:space="preserve"> </w:t>
      </w:r>
      <w:r>
        <w:rPr>
          <w:rFonts w:ascii="Times New Roman;Times;serif" w:hAnsi="Times New Roman;Times;serif"/>
          <w:sz w:val="24"/>
        </w:rPr>
        <w:t>_____________________________________________].   Such transfer should occur no later than forty-five (45) business days after the date hereof</w:t>
      </w:r>
    </w:p>
    <w:p>
      <w:pPr>
        <w:pStyle w:val="TextBody"/>
        <w:spacing w:before="0" w:after="240"/>
        <w:ind w:left="0" w:right="0" w:hanging="0"/>
        <w:rPr/>
      </w:pPr>
      <w:r>
        <w:rPr/>
        <w:t>​</w:t>
      </w:r>
    </w:p>
    <w:tbl>
      <w:tblPr>
        <w:tblW w:w="5525" w:type="dxa"/>
        <w:jc w:val="left"/>
        <w:tblInd w:w="0" w:type="dxa"/>
        <w:tblCellMar>
          <w:top w:w="0" w:type="dxa"/>
          <w:left w:w="0" w:type="dxa"/>
          <w:bottom w:w="0" w:type="dxa"/>
          <w:right w:w="0" w:type="dxa"/>
        </w:tblCellMar>
      </w:tblPr>
      <w:tblGrid>
        <w:gridCol w:w="124"/>
        <w:gridCol w:w="540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78740" cy="175260"/>
                      <wp:effectExtent l="0" t="0" r="0" b="0"/>
                      <wp:wrapNone/>
                      <wp:docPr id="648" name="Frame64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3429635" cy="175260"/>
                      <wp:effectExtent l="0" t="0" r="0" b="0"/>
                      <wp:wrapNone/>
                      <wp:docPr id="649" name="Frame648"/>
                      <a:graphic xmlns:a="http://schemas.openxmlformats.org/drawingml/2006/main">
                        <a:graphicData uri="http://schemas.microsoft.com/office/word/2010/wordprocessingShape">
                          <wps:wsp>
                            <wps:cNvSpPr txBox="1"/>
                            <wps:spPr>
                              <a:xfrm>
                                <a:off x="0" y="0"/>
                                <a:ext cx="3429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Sincerely,</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Hangzhou NetEase Cloud Music Technology Co., Ltd.</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Form of Power of Attorney</w:t>
      </w:r>
    </w:p>
    <w:p>
      <w:pPr>
        <w:pStyle w:val="TextBody"/>
        <w:spacing w:before="0" w:after="240"/>
        <w:ind w:left="0" w:right="0" w:hanging="0"/>
        <w:jc w:val="center"/>
        <w:rPr/>
      </w:pPr>
      <w:r>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 hereby irrevocably appoint the person designated by Hangzhou NetEase Cloud Music Technology Co., Ltd., as my proxy, to sign and deliver any and all legal documents that are necessary or useful to effect any exercise of an option to purchase any equity interests or assets pursuant to the Exclusive Purchase Option Agreement between Hangzhou NetEase Cloud Music Technology Co., Ltd., Dong Zhang and Hangzhou Yuedu Technology Co., Ltd. executed on November 9, 2022.</w:t>
      </w:r>
    </w:p>
    <w:p>
      <w:pPr>
        <w:pStyle w:val="TextBody"/>
        <w:spacing w:before="0" w:after="240"/>
        <w:ind w:left="0" w:right="0" w:firstLine="5040"/>
        <w:jc w:val="both"/>
        <w:rPr/>
      </w:pPr>
      <w:r>
        <w:rPr/>
        <w:t>​</w:t>
      </w:r>
    </w:p>
    <w:tbl>
      <w:tblPr>
        <w:tblW w:w="1490" w:type="dxa"/>
        <w:jc w:val="left"/>
        <w:tblInd w:w="0" w:type="dxa"/>
        <w:tblCellMar>
          <w:top w:w="0" w:type="dxa"/>
          <w:left w:w="0" w:type="dxa"/>
          <w:bottom w:w="0" w:type="dxa"/>
          <w:right w:w="0" w:type="dxa"/>
        </w:tblCellMar>
      </w:tblPr>
      <w:tblGrid>
        <w:gridCol w:w="124"/>
        <w:gridCol w:w="136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78740" cy="175260"/>
                      <wp:effectExtent l="0" t="0" r="0" b="0"/>
                      <wp:wrapNone/>
                      <wp:docPr id="650" name="Frame64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867410" cy="175260"/>
                      <wp:effectExtent l="0" t="0" r="0" b="0"/>
                      <wp:wrapNone/>
                      <wp:docPr id="651" name="Frame650"/>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3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Dong Zhang</w:t>
            </w:r>
          </w:p>
        </w:tc>
      </w:tr>
      <w:tr>
        <w:trPr/>
        <w:tc>
          <w:tcPr>
            <w:tcW w:w="124"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4"/>
              </w:rPr>
              <w:t>Date</w:t>
            </w:r>
            <w:r>
              <w:rPr>
                <w:rFonts w:ascii="Times New Roman;Times;serif" w:hAnsi="Times New Roman;Times;serif"/>
                <w:sz w:val="24"/>
              </w:rPr>
              <w:t xml:space="preserve">: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Form of Transfer Agreement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This Transfer Agreement (this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xml:space="preserve">) is jointly signed by the Parties on </w:t>
      </w:r>
      <w:r>
        <w:rPr>
          <w:rFonts w:ascii="Times New Roman;Times;serif" w:hAnsi="Times New Roman;Times;serif"/>
          <w:sz w:val="20"/>
          <w:u w:val="single"/>
        </w:rPr>
        <w:t>​ ​​ ​</w:t>
      </w:r>
      <w:r>
        <w:rPr>
          <w:rFonts w:ascii="Times New Roman;Times;serif" w:hAnsi="Times New Roman;Times;serif"/>
          <w:sz w:val="24"/>
        </w:rPr>
        <w:t>_</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at the offices Hangzhou Yuedu Technology Co., Ltd.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Transferor:</w:t>
      </w:r>
      <w:r>
        <w:rPr>
          <w:rFonts w:ascii="Times New Roman;Times;serif" w:hAnsi="Times New Roman;Times;serif"/>
          <w:sz w:val="24"/>
        </w:rPr>
        <w:t>[               ] (“</w:t>
      </w:r>
      <w:r>
        <w:rPr>
          <w:rFonts w:ascii="Times New Roman;Times;serif" w:hAnsi="Times New Roman;Times;serif"/>
          <w:b/>
          <w:i/>
          <w:sz w:val="24"/>
        </w:rPr>
        <w:t>Party A</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Transferee:</w:t>
      </w:r>
      <w:r>
        <w:rPr>
          <w:rFonts w:ascii="Times New Roman;Times;serif" w:hAnsi="Times New Roman;Times;serif"/>
          <w:sz w:val="24"/>
        </w:rPr>
        <w:t>[Hangzhou NetEase Cloud Music Technology Co., Ltd.</w:t>
      </w:r>
      <w:r>
        <w:rPr>
          <w:rFonts w:ascii="Times New Roman;Times;serif" w:hAnsi="Times New Roman;Times;serif"/>
          <w:sz w:val="20"/>
        </w:rPr>
        <w:t xml:space="preserve"> </w:t>
      </w:r>
      <w:r>
        <w:rPr>
          <w:rFonts w:ascii="Times New Roman;Times;serif" w:hAnsi="Times New Roman;Times;serif"/>
          <w:i/>
          <w:sz w:val="24"/>
        </w:rPr>
        <w:t>or designated person(s)</w:t>
      </w:r>
      <w:r>
        <w:rPr>
          <w:rFonts w:ascii="Times New Roman;Times;serif" w:hAnsi="Times New Roman;Times;serif"/>
          <w:sz w:val="24"/>
        </w:rPr>
        <w:t>] (“</w:t>
      </w:r>
      <w:r>
        <w:rPr>
          <w:rFonts w:ascii="Times New Roman;Times;serif" w:hAnsi="Times New Roman;Times;serif"/>
          <w:b/>
          <w:i/>
          <w:sz w:val="24"/>
        </w:rPr>
        <w:t>Party B</w:t>
      </w:r>
      <w:r>
        <w:rPr>
          <w:rFonts w:ascii="Times New Roman;Times;serif" w:hAnsi="Times New Roman;Times;serif"/>
          <w:sz w:val="20"/>
        </w:rPr>
        <w:t>”</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In this Agreement, Party A and Party B are called collectively as the “</w:t>
      </w:r>
      <w:r>
        <w:rPr>
          <w:rFonts w:ascii="Times New Roman;Times;serif" w:hAnsi="Times New Roman;Times;serif"/>
          <w:b/>
          <w:i/>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i/>
          <w:sz w:val="24"/>
        </w:rPr>
        <w:t>Party</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[Party A owns 1% of the equity interest of the Company.] According to the relevant laws, rules and regulations, upon friendly negotiations between the Parties, and pursuant to the Exclusive Purchase Option Agreement entered into by the Parties on [</w:t>
      </w:r>
      <w:r>
        <w:rPr>
          <w:rFonts w:ascii="Times New Roman;Times;serif" w:hAnsi="Times New Roman;Times;serif"/>
          <w:i/>
          <w:sz w:val="24"/>
        </w:rPr>
        <w:t>date of agreement</w:t>
      </w:r>
      <w:r>
        <w:rPr>
          <w:rFonts w:ascii="Times New Roman;Times;serif" w:hAnsi="Times New Roman;Times;serif"/>
          <w:sz w:val="24"/>
        </w:rPr>
        <w:t>] (the “</w:t>
      </w:r>
      <w:r>
        <w:rPr>
          <w:rFonts w:ascii="Times New Roman;Times;serif" w:hAnsi="Times New Roman;Times;serif"/>
          <w:b/>
          <w:i/>
          <w:sz w:val="24"/>
        </w:rPr>
        <w:t>Exclusive Purchase Option Agreement</w:t>
      </w:r>
      <w:r>
        <w:rPr>
          <w:rFonts w:ascii="Times New Roman;Times;serif" w:hAnsi="Times New Roman;Times;serif"/>
          <w:sz w:val="20"/>
        </w:rPr>
        <w:t>”</w:t>
      </w:r>
      <w:r>
        <w:rPr>
          <w:rFonts w:ascii="Times New Roman;Times;serif" w:hAnsi="Times New Roman;Times;serif"/>
          <w:sz w:val="24"/>
        </w:rPr>
        <w:t>), the Parties agree to the following: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1. Subject of Transfer and Purchase Price</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Party A shall transfer to [Party B / Party B’s designated person(s): _______________________] [____% equity interest of the Company / the following assets: ___________________________________________] (the “</w:t>
      </w:r>
      <w:r>
        <w:rPr>
          <w:rFonts w:ascii="Times New Roman;Times;serif" w:hAnsi="Times New Roman;Times;serif"/>
          <w:b/>
          <w:i/>
          <w:sz w:val="24"/>
        </w:rPr>
        <w:t>Transferred Interest</w:t>
      </w:r>
      <w:r>
        <w:rPr>
          <w:rFonts w:ascii="Times New Roman;Times;serif" w:hAnsi="Times New Roman;Times;serif"/>
          <w:sz w:val="20"/>
        </w:rPr>
        <w:t>”</w:t>
      </w:r>
      <w:r>
        <w:rPr>
          <w:rFonts w:ascii="Times New Roman;Times;serif" w:hAnsi="Times New Roman;Times;serif"/>
          <w:sz w:val="24"/>
        </w:rPr>
        <w:t>) for the total purchase price of [RMB _____________________].</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2. Undertakings and Guarantee</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3. Liabilities for Breach of Contract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4. Method of Dispute Resolutions</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Article 5. Others</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4"/>
        </w:rPr>
        <w:t xml:space="preserve">This Agreement shall be executed in </w:t>
      </w:r>
      <w:r>
        <w:rPr>
          <w:rFonts w:ascii="Times New Roman;Times;serif" w:hAnsi="Times New Roman;Times;serif"/>
          <w:sz w:val="24"/>
          <w:u w:val="single"/>
        </w:rPr>
        <w:t>triplicate</w:t>
      </w:r>
      <w:r>
        <w:rPr>
          <w:rFonts w:ascii="Times New Roman;Times;serif" w:hAnsi="Times New Roman;Times;serif"/>
          <w:sz w:val="24"/>
        </w:rPr>
        <w:t xml:space="preserve">, </w:t>
      </w:r>
      <w:r>
        <w:rPr>
          <w:rFonts w:ascii="Times New Roman;Times;serif" w:hAnsi="Times New Roman;Times;serif"/>
          <w:sz w:val="24"/>
          <w:u w:val="single"/>
        </w:rPr>
        <w:t>one</w:t>
      </w:r>
      <w:r>
        <w:rPr>
          <w:rFonts w:ascii="Times New Roman;Times;serif" w:hAnsi="Times New Roman;Times;serif"/>
          <w:sz w:val="20"/>
        </w:rPr>
        <w:t xml:space="preserve"> </w:t>
      </w:r>
      <w:r>
        <w:rPr>
          <w:rFonts w:ascii="Times New Roman;Times;serif" w:hAnsi="Times New Roman;Times;serif"/>
          <w:sz w:val="24"/>
        </w:rPr>
        <w:t xml:space="preserve">for each of the Parties and </w:t>
      </w:r>
      <w:r>
        <w:rPr>
          <w:rFonts w:ascii="Times New Roman;Times;serif" w:hAnsi="Times New Roman;Times;serif"/>
          <w:sz w:val="24"/>
          <w:u w:val="single"/>
        </w:rPr>
        <w:t>one</w:t>
      </w:r>
      <w:r>
        <w:rPr>
          <w:rFonts w:ascii="Times New Roman;Times;serif" w:hAnsi="Times New Roman;Times;serif"/>
          <w:sz w:val="20"/>
        </w:rPr>
        <w:t xml:space="preserve"> </w:t>
      </w:r>
      <w:r>
        <w:rPr>
          <w:rFonts w:ascii="Times New Roman;Times;serif" w:hAnsi="Times New Roman;Times;serif"/>
          <w:sz w:val="24"/>
        </w:rPr>
        <w:t>for the Company for use in completing the relevant formalities.</w:t>
      </w:r>
    </w:p>
    <w:p>
      <w:pPr>
        <w:pStyle w:val="TextBody"/>
        <w:spacing w:before="0" w:after="0"/>
        <w:ind w:left="0" w:right="0" w:hanging="0"/>
        <w:jc w:val="both"/>
        <w:rPr/>
      </w:pPr>
      <w:r>
        <w:rPr/>
        <w:t>​</w:t>
      </w:r>
    </w:p>
    <w:p>
      <w:pPr>
        <w:pStyle w:val="TextBody"/>
        <w:spacing w:before="0" w:after="0"/>
        <w:ind w:left="0" w:right="0" w:hanging="0"/>
        <w:jc w:val="both"/>
        <w:rPr/>
      </w:pPr>
      <w:r>
        <w:rPr/>
        <w:t>​</w:t>
      </w:r>
    </w:p>
    <w:tbl>
      <w:tblPr>
        <w:tblW w:w="1404" w:type="dxa"/>
        <w:jc w:val="left"/>
        <w:tblInd w:w="0" w:type="dxa"/>
        <w:tblCellMar>
          <w:top w:w="0" w:type="dxa"/>
          <w:left w:w="0" w:type="dxa"/>
          <w:bottom w:w="0" w:type="dxa"/>
          <w:right w:w="0" w:type="dxa"/>
        </w:tblCellMar>
      </w:tblPr>
      <w:tblGrid>
        <w:gridCol w:w="1141"/>
        <w:gridCol w:w="109"/>
        <w:gridCol w:w="154"/>
      </w:tblGrid>
      <w:tr>
        <w:trPr/>
        <w:tc>
          <w:tcPr>
            <w:tcW w:w="125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Party A :</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Signature: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5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Party B:</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Signature: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Dated:</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308" w:name="ntes-20221231xex4d55.htm"/>
      <w:bookmarkStart w:id="2309" w:name="ksntes20221231xex4d55"/>
      <w:bookmarkEnd w:id="2308"/>
      <w:bookmarkEnd w:id="2309"/>
      <w:r>
        <w:rPr>
          <w:rFonts w:ascii="Times New Roman;Times;serif" w:hAnsi="Times New Roman;Times;serif"/>
          <w:b/>
          <w:sz w:val="24"/>
        </w:rPr>
        <w:t>Exhibit 4.55</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SHAREHOLDER VOTING RIGHT TRUST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Shareholder Voting Right Trust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November 9, 2022 between the following two parties in Hangzhou.</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 xml:space="preserve">Party A: </w:t>
      </w:r>
      <w:r>
        <w:rPr>
          <w:rFonts w:ascii="Times New Roman;Times;serif" w:hAnsi="Times New Roman;Times;serif"/>
          <w:sz w:val="24"/>
        </w:rPr>
        <w:t>Hangzhou NetEase Cloud Music Technology Co., Ltd., a wholly foreign-owned enterprise registered in Hangzhou, PRC under the laws of the PRC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 xml:space="preserve">Party B: </w:t>
      </w:r>
      <w:r>
        <w:rPr>
          <w:rFonts w:ascii="Times New Roman;Times;serif" w:hAnsi="Times New Roman;Times;serif"/>
          <w:sz w:val="24"/>
        </w:rPr>
        <w:t>Dong Zhang, a citizen of the People’s Republic of China (the “</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this Agreement, Party A and Party B are called collectively as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of them is a “</w:t>
      </w:r>
      <w:r>
        <w:rPr>
          <w:rFonts w:ascii="Times New Roman;Times;serif" w:hAnsi="Times New Roman;Times;serif"/>
          <w:b/>
          <w:sz w:val="24"/>
        </w:rPr>
        <w:t>Party</w:t>
      </w:r>
      <w:r>
        <w:rPr>
          <w:rFonts w:ascii="Times New Roman;Times;serif" w:hAnsi="Times New Roman;Times;serif"/>
          <w:sz w:val="24"/>
        </w:rPr>
        <w:t>.” This Agreement is agreed and accepted by Hangzhou Yuedu Technology Co., Ltd.</w:t>
      </w:r>
    </w:p>
    <w:p>
      <w:pPr>
        <w:pStyle w:val="TextBody"/>
        <w:spacing w:before="0" w:after="240"/>
        <w:ind w:left="0" w:right="0" w:hanging="0"/>
        <w:jc w:val="both"/>
        <w:rPr>
          <w:rFonts w:ascii="Times New Roman;Times;serif" w:hAnsi="Times New Roman;Times;serif"/>
          <w:b/>
          <w:sz w:val="24"/>
        </w:rPr>
      </w:pPr>
      <w:r>
        <w:rPr>
          <w:rFonts w:ascii="Times New Roman;Times;serif" w:hAnsi="Times New Roman;Times;serif"/>
          <w:b/>
          <w:sz w:val="24"/>
        </w:rPr>
        <w:t>WHEREAS</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4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and William Lei Ding comprise all the shareholders of Hangzhou Yuedu Technology Co., Ltd.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as of the date of this Agreement, in which Party B owns 1% of the equity interests and William Lei Ding owns 99% of the equity interests.</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has entrusted Party A and the person designated by Party A with full authority to exercise his shareholder’s voting rights at the Company’s shareholders’ meetings.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through negotiations, all parties to this Agreement hereby agree as follows:</w:t>
      </w:r>
    </w:p>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100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hereby agrees to irrevocably entrust Party A and the person designated by Party A to exercise on his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 Party B hereby covenants that the</w:t>
            </w:r>
            <w:r>
              <w:rPr>
                <w:rFonts w:ascii="Times New Roman;Times;serif" w:hAnsi="Times New Roman;Times;serif"/>
                <w:sz w:val="20"/>
              </w:rPr>
              <w:t xml:space="preserve"> </w:t>
            </w:r>
            <w:r>
              <w:rPr>
                <w:rFonts w:ascii="Times New Roman;Times;serif" w:hAnsi="Times New Roman;Times;serif"/>
                <w:sz w:val="24"/>
              </w:rPr>
              <w:t>entrustment under this Agreement will not give rise to any actual or potential conflict of interest.</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5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 xml:space="preserve">Party A agrees to designate a person (including but not limited to Party A or a person designated by the Party A director or his successor, including a liquidator replacing the person designated by Party A, but excluding those who may give rise to conflict of interest. If Party B is the officer or director of direct or indirect shareholder of Party A, the powers of attorney shall be granted in favour of other unrelated officer or director of Party A) to accept the entrustment by Party B pursuant to Article 1 of this Agreement. Party B shall sign a Power of Attorney in the form of </w:t>
            </w:r>
            <w:r>
              <w:rPr>
                <w:rFonts w:ascii="Times New Roman;Times;serif" w:hAnsi="Times New Roman;Times;serif"/>
                <w:sz w:val="24"/>
                <w:u w:val="single"/>
              </w:rPr>
              <w:t>Annex 1</w:t>
            </w:r>
            <w:r>
              <w:rPr>
                <w:rFonts w:ascii="Times New Roman;Times;serif" w:hAnsi="Times New Roman;Times;serif"/>
                <w:sz w:val="20"/>
              </w:rPr>
              <w:t xml:space="preserve"> </w:t>
            </w:r>
            <w:r>
              <w:rPr>
                <w:rFonts w:ascii="Times New Roman;Times;serif" w:hAnsi="Times New Roman;Times;serif"/>
                <w:sz w:val="24"/>
              </w:rPr>
              <w:t>of this Agreement. The person designated by Party A shall represent Party B in the exercise of Party B’s shareholder’s voting rights and other shareholder’s rights pursuant to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Party B hereby acknowledges that, regardless how his equity interests in the Company will change, he shall entrust the person designated by Party A with all of his shareholder’s voting rights and other shareholder’s rights. If Party B transfers his equity interests in the Company to any individual or company, other than Party A or the individuals or entities designated by Party A (each, a “</w:t>
            </w:r>
            <w:r>
              <w:rPr>
                <w:rFonts w:ascii="Times New Roman;Times;serif" w:hAnsi="Times New Roman;Times;serif"/>
                <w:b/>
                <w:sz w:val="24"/>
              </w:rPr>
              <w:t>Transferee</w:t>
            </w:r>
            <w:r>
              <w:rPr>
                <w:rFonts w:ascii="Times New Roman;Times;serif" w:hAnsi="Times New Roman;Times;serif"/>
                <w:sz w:val="20"/>
              </w:rPr>
              <w:t>”</w:t>
            </w:r>
            <w:r>
              <w:rPr>
                <w:rFonts w:ascii="Times New Roman;Times;serif" w:hAnsi="Times New Roman;Times;serif"/>
                <w:sz w:val="24"/>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tc>
      </w:tr>
    </w:tbl>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5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Party B hereby acknowledges that if Party A withdraws the appointment of the relevant person to whom Party B has entrusted his shareholder’s voting rights and other shareholder’s rights, he will withdraw his authorization for this person and authorize other persons designated by Party A to exercise his shareholder’s voting rights and other shareholder’s rights at the shareholders’ meeting of the Company.</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1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become effective as of the date it is duly executed by the Parties’ authorized representatives.</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10046"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100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tc>
      </w:tr>
    </w:tbl>
    <w:tbl>
      <w:tblPr>
        <w:tblW w:w="9595" w:type="dxa"/>
        <w:jc w:val="left"/>
        <w:tblInd w:w="0" w:type="dxa"/>
        <w:tblCellMar>
          <w:top w:w="0" w:type="dxa"/>
          <w:left w:w="0" w:type="dxa"/>
          <w:bottom w:w="0" w:type="dxa"/>
          <w:right w:w="0" w:type="dxa"/>
        </w:tblCellMar>
      </w:tblPr>
      <w:tblGrid>
        <w:gridCol w:w="200"/>
        <w:gridCol w:w="9395"/>
      </w:tblGrid>
      <w:tr>
        <w:trPr/>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939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amendment to, and/or cancellation of, this Agreement shall be agreed by the Parties in writing.</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100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tbl>
      <w:tblPr>
        <w:tblW w:w="4240" w:type="dxa"/>
        <w:jc w:val="left"/>
        <w:tblInd w:w="0" w:type="dxa"/>
        <w:tblCellMar>
          <w:top w:w="0" w:type="dxa"/>
          <w:left w:w="0" w:type="dxa"/>
          <w:bottom w:w="0" w:type="dxa"/>
          <w:right w:w="0" w:type="dxa"/>
        </w:tblCellMar>
      </w:tblPr>
      <w:tblGrid>
        <w:gridCol w:w="320"/>
        <w:gridCol w:w="3920"/>
      </w:tblGrid>
      <w:tr>
        <w:trPr/>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10.</w:t>
            </w:r>
          </w:p>
        </w:tc>
        <w:tc>
          <w:tcPr>
            <w:tcW w:w="39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Applicable Laws and Dispute Resolution</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formation, validity, interpretation and performance of and settlement of disputes under this Agreement shall be governed by the laws of the PRC.</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Company's business operation, restricting and / or disposing the Company's equities or assets (including land assets) (including but not limited to taking them as compensation), or forbidding transfer or dispose, or taking other relevant remedies, or ordering the winding up of the Company. The Parties shall perform such awards.</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both Parties.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After the arbitration award comes into effect, either Party has the right to apply to the court with jurisdiction for enforcement of the arbitration award.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f.</w:t>
            </w:r>
          </w:p>
        </w:tc>
        <w:tc>
          <w:tcPr>
            <w:tcW w:w="1002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Parties agree that: the courts in (i) the Hong Kong Special Administrative Region; (ii) the registered place of Cloud Music Inc.; (iii) the registered place of the Company; and (iv) the place where main assets of Cloud Music Inc. or the Company are located shall be deemed to have jurisdiction for the purpose of this article.</w:t>
            </w:r>
          </w:p>
        </w:tc>
      </w:tr>
    </w:tbl>
    <w:p>
      <w:pPr>
        <w:pStyle w:val="TextBody"/>
        <w:spacing w:before="0" w:after="240"/>
        <w:ind w:left="1080" w:right="0" w:hanging="0"/>
        <w:jc w:val="both"/>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24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tbl>
      <w:tblPr>
        <w:tblW w:w="6754" w:type="dxa"/>
        <w:jc w:val="left"/>
        <w:tblInd w:w="0" w:type="dxa"/>
        <w:tblCellMar>
          <w:top w:w="0" w:type="dxa"/>
          <w:left w:w="0" w:type="dxa"/>
          <w:bottom w:w="0" w:type="dxa"/>
          <w:right w:w="0" w:type="dxa"/>
        </w:tblCellMar>
      </w:tblPr>
      <w:tblGrid>
        <w:gridCol w:w="2708"/>
        <w:gridCol w:w="57"/>
        <w:gridCol w:w="3835"/>
        <w:gridCol w:w="154"/>
      </w:tblGrid>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A: 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6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Authorized Representative:</w:t>
            </w:r>
          </w:p>
        </w:tc>
        <w:tc>
          <w:tcPr>
            <w:tcW w:w="38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Party B: Dong Zhang</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389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This Agreement is agreed and accepted by:</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600" w:type="dxa"/>
            <w:gridSpan w:val="3"/>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(Seal)</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08" w:type="dxa"/>
            <w:tcBorders/>
            <w:shd w:fill="auto" w:val="clear"/>
            <w:vAlign w:val="center"/>
          </w:tcPr>
          <w:p>
            <w:pPr>
              <w:pStyle w:val="TableContents"/>
              <w:spacing w:before="0" w:after="0"/>
              <w:ind w:left="0" w:right="0" w:hanging="0"/>
              <w:rPr/>
            </w:pPr>
            <w:r>
              <w:rPr/>
              <w:t>​</w:t>
            </w:r>
          </w:p>
        </w:tc>
        <w:tc>
          <w:tcPr>
            <w:tcW w:w="389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76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Authorized Representative:</w:t>
            </w:r>
          </w:p>
        </w:tc>
        <w:tc>
          <w:tcPr>
            <w:tcW w:w="38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/s/Dong Zhang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Annex 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Powers of Attorney</w:t>
      </w:r>
    </w:p>
    <w:p>
      <w:pPr>
        <w:pStyle w:val="TextBody"/>
        <w:spacing w:before="0" w:after="0"/>
        <w:ind w:left="0" w:right="0" w:hanging="0"/>
        <w:rPr/>
      </w:pPr>
      <w:r>
        <w:rPr/>
        <w:t>​</w:t>
      </w:r>
    </w:p>
    <w:p>
      <w:pPr>
        <w:pStyle w:val="TextBody"/>
        <w:spacing w:before="0" w:after="0"/>
        <w:ind w:left="0" w:right="0" w:firstLine="480"/>
        <w:rPr>
          <w:rFonts w:ascii="Times New Roman;Times;serif" w:hAnsi="Times New Roman;Times;serif"/>
          <w:sz w:val="20"/>
        </w:rPr>
      </w:pPr>
      <w:r>
        <w:rPr>
          <w:rFonts w:ascii="Times New Roman;Times;serif" w:hAnsi="Times New Roman;Times;serif"/>
          <w:sz w:val="24"/>
        </w:rPr>
        <w:t>The Powers of Attorney (hereinafter referred to as the "</w:t>
      </w:r>
      <w:r>
        <w:rPr>
          <w:rFonts w:ascii="Times New Roman;Times;serif" w:hAnsi="Times New Roman;Times;serif"/>
          <w:b/>
          <w:sz w:val="24"/>
        </w:rPr>
        <w:t>POA</w:t>
      </w:r>
      <w:r>
        <w:rPr>
          <w:rFonts w:ascii="Times New Roman;Times;serif" w:hAnsi="Times New Roman;Times;serif"/>
          <w:sz w:val="24"/>
        </w:rPr>
        <w:t>") is signed by Dong Zhang on November 9, 2022 and is issued to Hangzhou NetEase Cloud Music Technology Co., Ltd. and the person designated by Hangzhou NetEase Cloud Music Technology Co., Ltd. (hereinafter referred to as the "</w:t>
      </w:r>
      <w:r>
        <w:rPr>
          <w:rFonts w:ascii="Times New Roman;Times;serif" w:hAnsi="Times New Roman;Times;serif"/>
          <w:b/>
          <w:sz w:val="24"/>
        </w:rPr>
        <w:t>Trustee</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firstLine="480"/>
        <w:jc w:val="both"/>
        <w:rPr>
          <w:rFonts w:ascii="Times New Roman;Times;serif" w:hAnsi="Times New Roman;Times;serif"/>
          <w:sz w:val="20"/>
        </w:rPr>
      </w:pPr>
      <w:r>
        <w:rPr>
          <w:rFonts w:ascii="Times New Roman;Times;serif" w:hAnsi="Times New Roman;Times;serif"/>
          <w:sz w:val="24"/>
        </w:rPr>
        <w:t>I, Dong Zhang, hereby entrust the Trustee a comprehensive power of agency, authorizing the Trustee to act as my agent, in my name, to exercise the following rights that I enjoy as a shareholder of Hangzhou Yuedu Technology Co., Ltd. (hereinafter referred to as the "</w:t>
      </w:r>
      <w:r>
        <w:rPr>
          <w:rFonts w:ascii="Times New Roman;Times;serif" w:hAnsi="Times New Roman;Times;serif"/>
          <w:b/>
          <w:sz w:val="24"/>
        </w:rPr>
        <w:t>Company</w:t>
      </w:r>
      <w:r>
        <w:rPr>
          <w:rFonts w:ascii="Times New Roman;Times;serif" w:hAnsi="Times New Roman;Times;serif"/>
          <w:sz w:val="24"/>
        </w:rPr>
        <w:t>"):</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w:t>
            </w:r>
          </w:p>
        </w:tc>
        <w:tc>
          <w:tcPr>
            <w:tcW w:w="999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Propose to convene and attend the shareholders’ meeting of the Company in accordance with the articles of association as my agent;</w:t>
            </w:r>
          </w:p>
        </w:tc>
      </w:tr>
    </w:tbl>
    <w:p>
      <w:pPr>
        <w:pStyle w:val="TextBody"/>
        <w:pBdr/>
        <w:spacing w:before="0" w:after="0"/>
        <w:ind w:left="0" w:right="0" w:hanging="432"/>
        <w:jc w:val="both"/>
        <w:rPr/>
      </w:pPr>
      <w:r>
        <w:rPr/>
        <w:t>​</w:t>
      </w:r>
    </w:p>
    <w:tbl>
      <w:tblPr>
        <w:tblW w:w="10205" w:type="dxa"/>
        <w:jc w:val="left"/>
        <w:tblInd w:w="0" w:type="dxa"/>
        <w:tblCellMar>
          <w:top w:w="0" w:type="dxa"/>
          <w:left w:w="0" w:type="dxa"/>
          <w:bottom w:w="0" w:type="dxa"/>
          <w:right w:w="0" w:type="dxa"/>
        </w:tblCellMar>
      </w:tblPr>
      <w:tblGrid>
        <w:gridCol w:w="23"/>
        <w:gridCol w:w="149"/>
        <w:gridCol w:w="10033"/>
      </w:tblGrid>
      <w:tr>
        <w:trPr/>
        <w:tc>
          <w:tcPr>
            <w:tcW w:w="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2.</w:t>
            </w:r>
          </w:p>
        </w:tc>
        <w:tc>
          <w:tcPr>
            <w:tcW w:w="1003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Exercise voting rights on all matters that require discussion and resolution at the shareholders’ meeting, approve and sign resolutions on behalf of me, including but not limited to designating and electing the Company’s directors, supervisors and other senior management personnel who should be appointed and removed by shareholders, disposing the Company’s assets, dissolving or liquidating the Company , joining the liquidation team on behalf of me and exercising the functions and powers of the liquidation team during the liquidation period in accordance with the law;</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3.</w:t>
            </w:r>
          </w:p>
        </w:tc>
        <w:tc>
          <w:tcPr>
            <w:tcW w:w="9989"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Submit any required documents to the relevant company registration agency or other relevant institutions as my agent;</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56"/>
        <w:gridCol w:w="10026"/>
      </w:tblGrid>
      <w:tr>
        <w:trPr/>
        <w:tc>
          <w:tcPr>
            <w:tcW w:w="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4.</w:t>
            </w:r>
          </w:p>
        </w:tc>
        <w:tc>
          <w:tcPr>
            <w:tcW w:w="1002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Exercise all shareholder rights and shareholder voting rights under applicable Chinese laws, regulations and articles of association as my agent, including but not limited to selling, transferring, pledging or disposing part or all of my equities (including any other shareholder rights and shareholder voting rights stipulated in the articles of association as amended);</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54"/>
        <w:gridCol w:w="10028"/>
      </w:tblGrid>
      <w:tr>
        <w:trPr/>
        <w:tc>
          <w:tcPr>
            <w:tcW w:w="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5.</w:t>
            </w:r>
          </w:p>
        </w:tc>
        <w:tc>
          <w:tcPr>
            <w:tcW w:w="10028"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Sign the relevant equity transfer agreement and other relevant documents on behalf of me, and handle the governmental approval, registration, filing and other procedures required for transfer when the equities of the Company held by me are transferred in accordance with "The Exclusive Purchase Option Agreement" and "The Equity Pledge Agreement" separately signed by all parties;</w:t>
            </w:r>
          </w:p>
        </w:tc>
      </w:tr>
    </w:tbl>
    <w:p>
      <w:pPr>
        <w:pStyle w:val="TextBody"/>
        <w:pBdr/>
        <w:spacing w:before="0" w:after="0"/>
        <w:ind w:left="425" w:right="0" w:hanging="357"/>
        <w:jc w:val="both"/>
        <w:rPr/>
      </w:pPr>
      <w:r>
        <w:rPr/>
        <w:t>​</w:t>
      </w:r>
    </w:p>
    <w:tbl>
      <w:tblPr>
        <w:tblW w:w="10205" w:type="dxa"/>
        <w:jc w:val="left"/>
        <w:tblInd w:w="0" w:type="dxa"/>
        <w:tblCellMar>
          <w:top w:w="0" w:type="dxa"/>
          <w:left w:w="0" w:type="dxa"/>
          <w:bottom w:w="0" w:type="dxa"/>
          <w:right w:w="0" w:type="dxa"/>
        </w:tblCellMar>
      </w:tblPr>
      <w:tblGrid>
        <w:gridCol w:w="23"/>
        <w:gridCol w:w="167"/>
        <w:gridCol w:w="10015"/>
      </w:tblGrid>
      <w:tr>
        <w:trPr/>
        <w:tc>
          <w:tcPr>
            <w:tcW w:w="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6.</w:t>
            </w:r>
          </w:p>
        </w:tc>
        <w:tc>
          <w:tcPr>
            <w:tcW w:w="1001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Instruct the directors and senior managers of the Company to act in accordance with the instructions of the trustee company and its designated person without violating the laws, regulations and articles of association.</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I hereby irrevocably confirm that the validity period of the POA extends to the expiry or early termination of "The Shareholder Voting Right Trust Agreement" signed by Hangzhou NetEase Cloud Music Technology Co., Ltd. and me on November 9, 2022.</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2556" w:type="dxa"/>
        <w:jc w:val="left"/>
        <w:tblInd w:w="0" w:type="dxa"/>
        <w:tblCellMar>
          <w:top w:w="0" w:type="dxa"/>
          <w:left w:w="0" w:type="dxa"/>
          <w:bottom w:w="0" w:type="dxa"/>
          <w:right w:w="0" w:type="dxa"/>
        </w:tblCellMar>
      </w:tblPr>
      <w:tblGrid>
        <w:gridCol w:w="124"/>
        <w:gridCol w:w="1066"/>
        <w:gridCol w:w="1366"/>
      </w:tblGrid>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13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Dong Zhang</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36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32" w:type="dxa"/>
            <w:gridSpan w:val="2"/>
            <w:tcBorders/>
            <w:shd w:fill="auto" w:val="clear"/>
            <w:vAlign w:val="center"/>
          </w:tcPr>
          <w:p>
            <w:pPr>
              <w:pStyle w:val="TableContents"/>
              <w:spacing w:before="0" w:after="0"/>
              <w:ind w:left="0" w:right="0" w:hanging="0"/>
              <w:rPr/>
            </w:pPr>
            <w:r>
              <w:rPr>
                <w:rFonts w:ascii="Times New Roman;Times;serif" w:hAnsi="Times New Roman;Times;serif"/>
                <w:sz w:val="24"/>
              </w:rPr>
              <w:t>Date</w:t>
            </w:r>
            <w:r>
              <w:rPr>
                <w:rFonts w:eastAsia="Times New Roman;Times;serif"/>
                <w:sz w:val="24"/>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r>
        <w:br w:type="page"/>
      </w:r>
    </w:p>
    <w:p>
      <w:pPr>
        <w:pStyle w:val="TextBody"/>
        <w:spacing w:before="0" w:after="0"/>
        <w:ind w:left="0" w:right="0" w:hanging="0"/>
        <w:rPr/>
      </w:pPr>
      <w:bookmarkStart w:id="2310" w:name="ntes-20221231xex4d56.htm"/>
      <w:bookmarkStart w:id="2311" w:name="ksntes20221231xex4d56"/>
      <w:bookmarkEnd w:id="2310"/>
      <w:bookmarkEnd w:id="2311"/>
      <w:r>
        <w:rPr/>
        <w:t>​</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4.56</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English Translation</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AMENDED AND RESTATED COOPERATION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Party A: </w:t>
      </w:r>
      <w:r>
        <w:rPr>
          <w:rFonts w:ascii="Times New Roman;Times;serif" w:hAnsi="Times New Roman;Times;serif"/>
          <w:sz w:val="20"/>
        </w:rPr>
        <w:t>Hangzhou Yuedu Technology Co., Ltd.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Address: Room 1202, Block A, Hangzhou International Expo Center, No. 353 Benjing Avenue, Qianjiang Century City, Ningwei Street, Xiaoshan District, Hangzhou, Zhejiang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Party B:</w:t>
      </w:r>
      <w:r>
        <w:rPr>
          <w:rFonts w:ascii="Times New Roman;Times;serif" w:hAnsi="Times New Roman;Times;serif"/>
          <w:sz w:val="20"/>
        </w:rPr>
        <w:t xml:space="preserve"> Hangzhou NetEase Cloud Music Technology Co., Ltd.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Address: Room 1201, Block A, Hangzhou International Expo Center, No. 353 Benjing Avenue, Qianjiang Century City, Xiaoshan District, Hangzhou, Zhejiang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this agreement, Party A and Party B are collectively referred to as the “</w:t>
      </w:r>
      <w:r>
        <w:rPr>
          <w:rFonts w:ascii="Times New Roman;Times;serif" w:hAnsi="Times New Roman;Times;serif"/>
          <w:b/>
          <w:sz w:val="20"/>
        </w:rPr>
        <w:t>Parties</w:t>
      </w:r>
      <w:r>
        <w:rPr>
          <w:rFonts w:ascii="Times New Roman;Times;serif" w:hAnsi="Times New Roman;Times;serif"/>
          <w:sz w:val="20"/>
        </w:rPr>
        <w:t>” and each a “</w:t>
      </w:r>
      <w:r>
        <w:rPr>
          <w:rFonts w:ascii="Times New Roman;Times;serif" w:hAnsi="Times New Roman;Times;serif"/>
          <w:b/>
          <w:sz w:val="20"/>
        </w:rPr>
        <w:t>Party</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WHEREAS</w:t>
      </w:r>
    </w:p>
    <w:tbl>
      <w:tblPr>
        <w:tblW w:w="10205" w:type="dxa"/>
        <w:jc w:val="left"/>
        <w:tblInd w:w="0" w:type="dxa"/>
        <w:tblCellMar>
          <w:top w:w="0" w:type="dxa"/>
          <w:left w:w="0" w:type="dxa"/>
          <w:bottom w:w="0" w:type="dxa"/>
          <w:right w:w="0" w:type="dxa"/>
        </w:tblCellMar>
      </w:tblPr>
      <w:tblGrid>
        <w:gridCol w:w="136"/>
        <w:gridCol w:w="10069"/>
      </w:tblGrid>
      <w:tr>
        <w:trPr/>
        <w:tc>
          <w:tcPr>
            <w:tcW w:w="1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1006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Party A is a company registered in Hangzhou under the laws of the People’s Republic of China (the “</w:t>
            </w:r>
            <w:r>
              <w:rPr>
                <w:rFonts w:ascii="Times New Roman;Times;serif" w:hAnsi="Times New Roman;Times;serif"/>
                <w:b/>
                <w:sz w:val="20"/>
              </w:rPr>
              <w:t>PRC</w:t>
            </w:r>
            <w:r>
              <w:rPr>
                <w:rFonts w:ascii="Times New Roman;Times;serif" w:hAnsi="Times New Roman;Times;serif"/>
                <w:sz w:val="20"/>
              </w:rPr>
              <w:t>”), and has the legitimate rights and interests to engage in cloud music related business operation, and has applied for and obtained the Value-added Telecommunications Business Operating License and the Internet Cultural Business License required for the operation of cloud music business in accordance with the law.</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1007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Party B is a company registered in Hangzhou under the laws of the PRC and is principally engaged in development, services, consultation, and transfer of results of computer information technology, electronic publishing technology, e-commerce technology, and computer software; production of computer software; sales of self-manufactured products; and wholesale, online sales, and import and export of computer software, electronic products, knitwear, </w:t>
            </w:r>
            <w:r>
              <w:rPr>
                <w:rFonts w:ascii="Times New Roman;Times;serif" w:hAnsi="Times New Roman;Times;serif"/>
                <w:color w:val="2A2B2E"/>
                <w:sz w:val="20"/>
              </w:rPr>
              <w:t xml:space="preserve">clothing, </w:t>
            </w:r>
            <w:r>
              <w:rPr>
                <w:rFonts w:ascii="Times New Roman;Times;serif" w:hAnsi="Times New Roman;Times;serif"/>
                <w:sz w:val="20"/>
              </w:rPr>
              <w:t>accessories, bags, watches, shoes and boots, cultural supplies, books, newspapers, journals, audio-visual products and electronic publications (excluding items prohibited by laws and administrative regulations, and items restricted by laws and administrative regulations can only be operated after the license is obtained); online sales of pre-packaged food; and booking of tickets.</w:t>
            </w:r>
          </w:p>
        </w:tc>
      </w:tr>
    </w:tbl>
    <w:tbl>
      <w:tblPr>
        <w:tblW w:w="5140" w:type="dxa"/>
        <w:jc w:val="left"/>
        <w:tblInd w:w="0" w:type="dxa"/>
        <w:tblCellMar>
          <w:top w:w="0" w:type="dxa"/>
          <w:left w:w="0" w:type="dxa"/>
          <w:bottom w:w="0" w:type="dxa"/>
          <w:right w:w="0" w:type="dxa"/>
        </w:tblCellMar>
      </w:tblPr>
      <w:tblGrid>
        <w:gridCol w:w="170"/>
        <w:gridCol w:w="4970"/>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3.</w:t>
            </w:r>
          </w:p>
        </w:tc>
        <w:tc>
          <w:tcPr>
            <w:tcW w:w="49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Parties work together to provide customers with services.</w:t>
            </w:r>
          </w:p>
        </w:tc>
      </w:tr>
    </w:tbl>
    <w:tbl>
      <w:tblPr>
        <w:tblW w:w="8305" w:type="dxa"/>
        <w:jc w:val="left"/>
        <w:tblInd w:w="0" w:type="dxa"/>
        <w:tblCellMar>
          <w:top w:w="0" w:type="dxa"/>
          <w:left w:w="0" w:type="dxa"/>
          <w:bottom w:w="0" w:type="dxa"/>
          <w:right w:w="0" w:type="dxa"/>
        </w:tblCellMar>
      </w:tblPr>
      <w:tblGrid>
        <w:gridCol w:w="170"/>
        <w:gridCol w:w="8135"/>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4.</w:t>
            </w:r>
          </w:p>
        </w:tc>
        <w:tc>
          <w:tcPr>
            <w:tcW w:w="81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Parties entered into the Cooperation Agreement (the “Original Agreement”) on October 1, 2016.</w:t>
            </w:r>
          </w:p>
        </w:tc>
      </w:tr>
    </w:tbl>
    <w:tbl>
      <w:tblPr>
        <w:tblW w:w="9160" w:type="dxa"/>
        <w:jc w:val="left"/>
        <w:tblInd w:w="0" w:type="dxa"/>
        <w:tblCellMar>
          <w:top w:w="0" w:type="dxa"/>
          <w:left w:w="0" w:type="dxa"/>
          <w:bottom w:w="0" w:type="dxa"/>
          <w:right w:w="0" w:type="dxa"/>
        </w:tblCellMar>
      </w:tblPr>
      <w:tblGrid>
        <w:gridCol w:w="170"/>
        <w:gridCol w:w="8990"/>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5.</w:t>
            </w:r>
          </w:p>
        </w:tc>
        <w:tc>
          <w:tcPr>
            <w:tcW w:w="899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Parties wish to enter into this agreement to terminate, substitute and replace the entire Original Agreement.</w:t>
            </w:r>
          </w:p>
        </w:tc>
      </w:tr>
    </w:tbl>
    <w:p>
      <w:pPr>
        <w:pStyle w:val="TextBody"/>
        <w:spacing w:before="0" w:after="240"/>
        <w:ind w:left="0" w:right="0" w:firstLine="400"/>
        <w:jc w:val="both"/>
        <w:rPr>
          <w:rFonts w:ascii="Times New Roman;Times;serif" w:hAnsi="Times New Roman;Times;serif"/>
          <w:sz w:val="20"/>
        </w:rPr>
      </w:pPr>
      <w:r>
        <w:rPr>
          <w:rFonts w:ascii="Times New Roman;Times;serif" w:hAnsi="Times New Roman;Times;serif"/>
          <w:sz w:val="20"/>
        </w:rPr>
        <w:t>NOW THEREFORE, through negotiations, the Parties hereby agree as follows: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Subject of cooperation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Cooperation to be provided by Party 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Party A has the legitimate rights and interests to engage in cloud music related business operation, and has obtained the Value-added Telecommunications Business Operating License and the Internet Cultural Business Operating License, which entitle Party A to provide various cloud music businesses including Internet information service business and music entertainment business through information network in accordance with the law.</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Cooperation to be provided by Party B</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this agreement, Party B works with Party A to provide services for customers, including but not limited to the following: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research and development of computer software (including but not limited to e-commerce technology software) and provision of technical support and maintenance services for the operation of computer software;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provision of Internet technology services, including but not limited to maintenance of servers, and development, updating and upgrading of relevant application software;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provision of research and development of electronic publishing, and network communication and other technologies and provision of relevant technical assistance and support.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Manner</w:t>
      </w:r>
      <w:r>
        <w:rPr>
          <w:rFonts w:ascii="Times New Roman;Times;serif" w:hAnsi="Times New Roman;Times;serif"/>
          <w:sz w:val="20"/>
        </w:rPr>
        <w:t xml:space="preserve"> </w:t>
      </w:r>
      <w:r>
        <w:rPr>
          <w:rFonts w:ascii="Times New Roman;Times;serif" w:hAnsi="Times New Roman;Times;serif"/>
          <w:b/>
          <w:sz w:val="20"/>
        </w:rPr>
        <w:t>of service cooperation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In addition to providing the services as agreed in Section 1 hereof, Party B shall also use its resources to promote and publicize the services provided for the customers hereunder, and shall bear the relevant promotion and production costs. Party B shall also pay the relevant costs and expenses for the services as agreed in Section 1 hereof, including but not limited to the remuneration of research and development personnel, equipment purchase costs, and public relations fees.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Parties agreed that, except that Party A shall directly obtain income from operating activities requiring licenses such as the Value-added Telecommunications Business Operating License and the Internet Cultural Business Operating License in accordance with the law, the income from other services and products can be provided by Party B for the customer and obtain the income derived therefrom.</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Parties should cooperate with each other sincerely as the subject of cooperation and relevant service and products hereunder would not be realized if either Party fails to do so. Party A agrees to designate Party B as the exclusive partner in relation to subject of cooperation hereunder. Without the written consent of Party B, Party A shall not enter into service agreement with any third party on the subject of cooperation hereunder. With the written consent of Party B, Party A may cooperate with affiliate of Party B to jointly provide services for customers of relevant services and products.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Parties further acknowledge that Party A, Party B and its affiliate may enter into separate project cooperation agreements or similar documents in respect of the specific operation model, revenue sharing and other matters involved in the subject of cooperation hereunder to further clarify the rights and obligations of the Parties in the specific cooperation, and any such agreement or documents shall be the basis for implementation of cooperation.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Settlement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friendly negotiations, the Parties agreed to settle the revenue generated from the cooperation hereunder based on the following principles: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revenue shall be shared among Party A with Party B and its affiliate based on the balance of all revenue (exclusive of tax) of Party A after deducting the expenses (including taxes and surcharges, but excluding the sharing expenses paid to Party B and its affiliate, hereinafter referred to as the “Actual Expenses”) incurred by Party A for the operation of various subjects of cooperation and the retained profits of Party A, namely:</w:t>
      </w:r>
    </w:p>
    <w:p>
      <w:pPr>
        <w:pStyle w:val="TextBody"/>
        <w:pBdr/>
        <w:spacing w:before="0" w:after="240"/>
        <w:ind w:left="720" w:right="0" w:hanging="1411"/>
        <w:jc w:val="both"/>
        <w:rPr>
          <w:rFonts w:ascii="Times New Roman;Times;serif" w:hAnsi="Times New Roman;Times;serif"/>
          <w:sz w:val="20"/>
        </w:rPr>
      </w:pPr>
      <w:r>
        <w:rPr>
          <w:rFonts w:ascii="Times New Roman;Times;serif" w:hAnsi="Times New Roman;Times;serif"/>
          <w:sz w:val="20"/>
        </w:rPr>
        <w:t>Sharing base= Party A’s revenue (exclusive of tax) – the actual expenses borne by Party A – retained profits of Party A.</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specific sharing ratio, payment method, and amount and period of settlement, retained profits of Party A, fees payable by Party B (if Party A’s revenue is insufficient) shall be confirmed in service settlement form. The party receiving the relevant service and product income shall issue a service settlement form to the other party in a timely manner and issue a special value-added tax invoice so that the payments are settled on a regular basis. The Parties shall confirm the information listed in the service settlement form by email.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Intellectual property and confidentiality provisions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Party B shall have sole and exclusive rights for any rights, ownership, interest, including, without limitation, any copyright, patent, proprietary technologies, trade secrets, etc., over all and any intellectual property arising from the performance of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With the written consent of the right owner, Party A may accept the transfer of any rights, ownership, interests of all and any intellectual property arising from Party B’s performance of this agreement, with the transfer method to be otherwise determined between the Parties. However, in the aforesaid circumstances, Party B is entitled to use any intellectual property registered under the name of Party A or its subsidiaries at nil consideration.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Parties agree to use their best reasonable efforts to protect or keep confidential all information marked with “confidential” or all or part of the information of one Party known to other Party (“Confidential Information”). Without the prior written consent of the disclosing party of Confidential Information, the receiving Party of Confidential Information shall not disclose, provide or transfer such Confidential Information to any third party. Upon termination or expiration of this agreement, the receiving party of Confidential Information shall return any document, material or software containing Confidential Information to its respective owner as requested by the disclosing Party of Confidential Information, or shall destroy the same on its own, and delete any Confidential Information stored in all of the receiving Party’s electronic devices and stop using the same.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Clauses 1), 2) and 3) of Article 4 hereof shall survive the termination or expiration of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Representations and warranties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Party A hereby represents and warrants that:</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Party A is a corporation legally registered and validly existing in Hangzhou under the laws of PRC.</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Party A has all the rights, powers, authorities and capabilities, and all the consents and approvals necessary for the execution, delivery and performance of this agreement.</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This agreement will be legal, effective and binding on Party A upon execution, and may be enforced against Party A according to the terms of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Party B hereby represents and warrants that:</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Party B is a corporation legally registered and validly existing in Hangzhou under the laws of PRC.</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Party B has all the rights, powers, authorities and capabilities, and all the consents and approvals necessary for the execution, delivery and performance of this agreement.</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This agreement will be legal, effective and binding on Party B upon execution, and may be enforced against Party B according to the terms of this agreement.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Effectuation and term of cooperation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agreement shall be effective after being sealed by the Parties. This agreement shall supersede the Original Agreement and the Original Agreement shall become void. Except for early termination pursuant to the provisions herein, this agreement shall remain effective.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Termination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During the term of this agreement, Party B may terminate this agreement upon a thirty (30) days prior written notice to Party A. Party A shall not terminate this agreement without the written consent of Party B.</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Article 4 shall survive the termination or expiration of this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Force majeure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“Force Majeure Event” refers to any matter that is out of the reasonable control of a Party, which is unavoidable even with reasonable attention of the Party being affected, including, without limitation, acts of governments, acts of nature, fire, explosion, storm, flood, earthquake, tide, thunder or war. However, any shortage of credit, capital or finance shall not be regarded as an event of force majeure. The Party affected by Force Majeure and seeking for the exemption from performing its obligations hereunder shall notify the other Party of such event as soon as possible.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 the event that any Party is delayed in or prevented from performing its obligations hereunder by Force Majeure Events, only within the scope of such delay or prevention, neither Party shall be liable for any loss, increased expense, or damage caused thereby under this agreement, while such failure or delay of performance shall not be deemed as a breach of contract. However, the Party claiming to be affected by Force Majeure shall use its reasonable efforts to minimize or remove the effects of Force Majeure. Upon the elimination of Force Majeure Events, the Parties agree to resume the performance of this agreement with their best efforts.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Governing law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validity, interpretation and performance of this agreement shall be governed by the laws of PRC.</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Dispute resolution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the Parties to the dispute. During the dispute settlement period, except for the matters in dispute, the Parties to this agreement shall continue to exercise their respective rights and perform their respective obligations under this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Party B appropriate legal remedies, including, without limitation, restricting the Party A’s business operation, restricting and/or disposing the Party A’s equities or assets (including land assets) (including, without limitation, taking them as compensation), or forbidding transfer or dispose, or taking other relevant remedies, or ordering the winding up of the corporation. The Parties shall perform such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the Parties.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Village Inc.; (iii) the registered place of Party A; and (iv) the place where main assets of Cloud Village Inc. or Party A are located shall be deemed to have jurisdiction for the purpose of this article.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Any notice or other communication sent by any Party hereunder shall be written in Chinese and English, and shall be delivered to the following addresses of the recipient(s) by hand, registered airmail, airmail with postage prepaid, recognized courier service.</w:t>
      </w:r>
    </w:p>
    <w:p>
      <w:pPr>
        <w:pStyle w:val="TextBody"/>
        <w:spacing w:before="0" w:after="0"/>
        <w:ind w:left="0" w:right="0" w:hanging="0"/>
        <w:jc w:val="both"/>
        <w:rPr/>
      </w:pPr>
      <w:r>
        <w:rPr/>
        <w:t>​</w:t>
      </w:r>
    </w:p>
    <w:tbl>
      <w:tblPr>
        <w:tblW w:w="9213" w:type="dxa"/>
        <w:jc w:val="left"/>
        <w:tblInd w:w="0" w:type="dxa"/>
        <w:tblCellMar>
          <w:top w:w="0" w:type="dxa"/>
          <w:left w:w="0" w:type="dxa"/>
          <w:bottom w:w="0" w:type="dxa"/>
          <w:right w:w="0" w:type="dxa"/>
        </w:tblCellMar>
      </w:tblPr>
      <w:tblGrid>
        <w:gridCol w:w="1171"/>
        <w:gridCol w:w="166"/>
        <w:gridCol w:w="7876"/>
      </w:tblGrid>
      <w:tr>
        <w:trPr/>
        <w:tc>
          <w:tcPr>
            <w:tcW w:w="1171"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7876" w:type="dxa"/>
            <w:tcBorders/>
            <w:shd w:fill="auto" w:val="clear"/>
            <w:vAlign w:val="center"/>
          </w:tcPr>
          <w:p>
            <w:pPr>
              <w:pStyle w:val="TableContents"/>
              <w:spacing w:before="0" w:after="0"/>
              <w:ind w:left="0" w:right="0" w:hanging="0"/>
              <w:rPr/>
            </w:pPr>
            <w:r>
              <w:rPr/>
              <w:t>​</w:t>
            </w:r>
          </w:p>
        </w:tc>
      </w:tr>
      <w:tr>
        <w:trPr/>
        <w:tc>
          <w:tcPr>
            <w:tcW w:w="1171" w:type="dxa"/>
            <w:tcBorders/>
            <w:shd w:fill="auto" w:val="clear"/>
            <w:vAlign w:val="center"/>
          </w:tcPr>
          <w:p>
            <w:pPr>
              <w:pStyle w:val="TableContents"/>
              <w:pBdr/>
              <w:spacing w:before="0" w:after="0"/>
              <w:ind w:left="0" w:right="0" w:hanging="0"/>
              <w:jc w:val="right"/>
              <w:rPr>
                <w:rFonts w:ascii="Times New Roman;Times;serif" w:hAnsi="Times New Roman;Times;serif"/>
                <w:b/>
                <w:sz w:val="20"/>
              </w:rPr>
            </w:pPr>
            <w:r>
              <w:rPr>
                <w:rFonts w:ascii="Times New Roman;Times;serif" w:hAnsi="Times New Roman;Times;serif"/>
                <w:b/>
                <w:sz w:val="20"/>
              </w:rPr>
              <w:t>If to Party A</w:t>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78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Hangzhou Yuedu Technology Co., Ltd.</w:t>
            </w:r>
          </w:p>
        </w:tc>
      </w:tr>
      <w:tr>
        <w:trPr/>
        <w:tc>
          <w:tcPr>
            <w:tcW w:w="1171" w:type="dxa"/>
            <w:tcBorders/>
            <w:shd w:fill="auto" w:val="clear"/>
            <w:vAlign w:val="center"/>
          </w:tcPr>
          <w:p>
            <w:pPr>
              <w:pStyle w:val="TableContents"/>
              <w:pBdr/>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both"/>
              <w:rPr/>
            </w:pPr>
            <w:r>
              <w:rPr/>
              <w:t>​</w:t>
            </w:r>
          </w:p>
        </w:tc>
        <w:tc>
          <w:tcPr>
            <w:tcW w:w="7876" w:type="dxa"/>
            <w:tcBorders/>
            <w:shd w:fill="auto" w:val="clear"/>
            <w:vAlign w:val="center"/>
          </w:tcPr>
          <w:p>
            <w:pPr>
              <w:pStyle w:val="TableContents"/>
              <w:spacing w:before="0" w:after="0"/>
              <w:ind w:left="0" w:right="0" w:hanging="0"/>
              <w:jc w:val="both"/>
              <w:rPr/>
            </w:pPr>
            <w:r>
              <w:rPr/>
              <w:t>​</w:t>
            </w:r>
          </w:p>
        </w:tc>
      </w:tr>
      <w:tr>
        <w:trPr/>
        <w:tc>
          <w:tcPr>
            <w:tcW w:w="1171" w:type="dxa"/>
            <w:tcBorders/>
            <w:shd w:fill="auto" w:val="clear"/>
            <w:vAlign w:val="center"/>
          </w:tcPr>
          <w:p>
            <w:pPr>
              <w:pStyle w:val="TableContents"/>
              <w:pBdr/>
              <w:spacing w:before="0" w:after="0"/>
              <w:ind w:left="0" w:right="0" w:hanging="0"/>
              <w:jc w:val="right"/>
              <w:rPr>
                <w:rFonts w:ascii="Times New Roman;Times;serif" w:hAnsi="Times New Roman;Times;serif"/>
                <w:b/>
                <w:sz w:val="20"/>
              </w:rPr>
            </w:pPr>
            <w:r>
              <w:rPr>
                <w:rFonts w:ascii="Times New Roman;Times;serif" w:hAnsi="Times New Roman;Times;serif"/>
                <w:b/>
                <w:sz w:val="20"/>
              </w:rPr>
              <w:t>Address</w:t>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78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Room 408,Building 4, No. 599 Wangshang Road, Changhe Street, Binjiang District, Hangzhou</w:t>
            </w:r>
          </w:p>
        </w:tc>
      </w:tr>
      <w:tr>
        <w:trPr/>
        <w:tc>
          <w:tcPr>
            <w:tcW w:w="1171" w:type="dxa"/>
            <w:tcBorders/>
            <w:shd w:fill="auto" w:val="clear"/>
            <w:vAlign w:val="center"/>
          </w:tcPr>
          <w:p>
            <w:pPr>
              <w:pStyle w:val="TableContents"/>
              <w:pBdr/>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both"/>
              <w:rPr/>
            </w:pPr>
            <w:r>
              <w:rPr/>
              <w:t>​</w:t>
            </w:r>
          </w:p>
        </w:tc>
        <w:tc>
          <w:tcPr>
            <w:tcW w:w="7876" w:type="dxa"/>
            <w:tcBorders/>
            <w:shd w:fill="auto" w:val="clear"/>
            <w:vAlign w:val="center"/>
          </w:tcPr>
          <w:p>
            <w:pPr>
              <w:pStyle w:val="TableContents"/>
              <w:spacing w:before="0" w:after="0"/>
              <w:ind w:left="0" w:right="0" w:hanging="0"/>
              <w:jc w:val="both"/>
              <w:rPr/>
            </w:pPr>
            <w:r>
              <w:rPr/>
              <w:t>​</w:t>
            </w:r>
          </w:p>
        </w:tc>
      </w:tr>
      <w:tr>
        <w:trPr/>
        <w:tc>
          <w:tcPr>
            <w:tcW w:w="1171" w:type="dxa"/>
            <w:tcBorders/>
            <w:shd w:fill="auto" w:val="clear"/>
            <w:vAlign w:val="center"/>
          </w:tcPr>
          <w:p>
            <w:pPr>
              <w:pStyle w:val="TableContents"/>
              <w:pBdr/>
              <w:spacing w:before="0" w:after="0"/>
              <w:ind w:left="0" w:right="0" w:hanging="0"/>
              <w:jc w:val="right"/>
              <w:rPr>
                <w:rFonts w:ascii="Times New Roman;Times;serif" w:hAnsi="Times New Roman;Times;serif"/>
                <w:b/>
                <w:sz w:val="20"/>
              </w:rPr>
            </w:pPr>
            <w:r>
              <w:rPr>
                <w:rFonts w:ascii="Times New Roman;Times;serif" w:hAnsi="Times New Roman;Times;serif"/>
                <w:b/>
                <w:sz w:val="20"/>
              </w:rPr>
              <w:t>If to Party B</w:t>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78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Hangzhou NetEase Cloud Music Technology Co., Ltd.</w:t>
            </w:r>
          </w:p>
        </w:tc>
      </w:tr>
      <w:tr>
        <w:trPr/>
        <w:tc>
          <w:tcPr>
            <w:tcW w:w="1171" w:type="dxa"/>
            <w:tcBorders/>
            <w:shd w:fill="auto" w:val="clear"/>
            <w:vAlign w:val="center"/>
          </w:tcPr>
          <w:p>
            <w:pPr>
              <w:pStyle w:val="TableContents"/>
              <w:pBdr/>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both"/>
              <w:rPr/>
            </w:pPr>
            <w:r>
              <w:rPr/>
              <w:t>​</w:t>
            </w:r>
          </w:p>
        </w:tc>
        <w:tc>
          <w:tcPr>
            <w:tcW w:w="7876" w:type="dxa"/>
            <w:tcBorders/>
            <w:shd w:fill="auto" w:val="clear"/>
            <w:vAlign w:val="center"/>
          </w:tcPr>
          <w:p>
            <w:pPr>
              <w:pStyle w:val="TableContents"/>
              <w:spacing w:before="0" w:after="0"/>
              <w:ind w:left="0" w:right="0" w:hanging="0"/>
              <w:jc w:val="both"/>
              <w:rPr/>
            </w:pPr>
            <w:r>
              <w:rPr/>
              <w:t>​</w:t>
            </w:r>
          </w:p>
        </w:tc>
      </w:tr>
      <w:tr>
        <w:trPr/>
        <w:tc>
          <w:tcPr>
            <w:tcW w:w="1171" w:type="dxa"/>
            <w:tcBorders/>
            <w:shd w:fill="auto" w:val="clear"/>
            <w:vAlign w:val="center"/>
          </w:tcPr>
          <w:p>
            <w:pPr>
              <w:pStyle w:val="TableContents"/>
              <w:pBdr/>
              <w:spacing w:before="0" w:after="0"/>
              <w:ind w:left="0" w:right="0" w:hanging="0"/>
              <w:jc w:val="right"/>
              <w:rPr>
                <w:rFonts w:ascii="Times New Roman;Times;serif" w:hAnsi="Times New Roman;Times;serif"/>
                <w:b/>
                <w:sz w:val="20"/>
              </w:rPr>
            </w:pPr>
            <w:r>
              <w:rPr>
                <w:rFonts w:ascii="Times New Roman;Times;serif" w:hAnsi="Times New Roman;Times;serif"/>
                <w:b/>
                <w:sz w:val="20"/>
              </w:rPr>
              <w:t>Address</w:t>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78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Room 601,Building 4, No. 599 Wangshang Road, Changhe Street, Binjiang District, Hangzhou</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Transfer</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Without prior written consent of the other Party, neither Party shall transfer any of its rights or obligations hereunder to any third party.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Party A hereby agrees that, Party B may transfer its rights and obligations hereunder to any third party at its own discretion. With regard to such transfer, Party B only needs to send a written notice to Party A and does not need to obtain any consent from Party A.</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Severability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any provision herein becomes invalid, illegal or un-enforceable because of any laws, such provision shall only be invalid in the corresponding jurisdiction. The invalid provision shall not affect the legal effects of the remaining provisions of this agreement in such jurisdiction, and shall not cause such provision or other provisions hereof to be invalid, illegal or unenforceable in any other jurisdictions.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Modifications and supplements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Both Party A and Party B may amend and supplement the agreement by written agreement. The Amendment Agreement and the Supplemental Agreement in relation to the Agreement, duly signed by the Parties, form part of this agreement and have the same legal effect as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Supplementary provisions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agreement is made in four counterparts. Each Party shall hold two counterparts.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of page is intentionally left blank]</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tbl>
      <w:tblPr>
        <w:tblW w:w="5541" w:type="dxa"/>
        <w:jc w:val="left"/>
        <w:tblInd w:w="0" w:type="dxa"/>
        <w:tblCellMar>
          <w:top w:w="0" w:type="dxa"/>
          <w:left w:w="0" w:type="dxa"/>
          <w:bottom w:w="0" w:type="dxa"/>
          <w:right w:w="0" w:type="dxa"/>
        </w:tblCellMar>
      </w:tblPr>
      <w:tblGrid>
        <w:gridCol w:w="841"/>
        <w:gridCol w:w="4546"/>
        <w:gridCol w:w="154"/>
      </w:tblGrid>
      <w:tr>
        <w:trPr/>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34035" cy="175260"/>
                      <wp:effectExtent l="0" t="0" r="0" b="0"/>
                      <wp:wrapNone/>
                      <wp:docPr id="652" name="Frame65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886710" cy="175260"/>
                      <wp:effectExtent l="0" t="0" r="0" b="0"/>
                      <wp:wrapNone/>
                      <wp:docPr id="653" name="Frame652"/>
                      <a:graphic xmlns:a="http://schemas.openxmlformats.org/drawingml/2006/main">
                        <a:graphicData uri="http://schemas.microsoft.com/office/word/2010/wordprocessingShape">
                          <wps:wsp>
                            <wps:cNvSpPr txBox="1"/>
                            <wps:spPr>
                              <a:xfrm>
                                <a:off x="0" y="0"/>
                                <a:ext cx="2886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0"/>
              <w:ind w:left="0" w:right="0" w:hanging="0"/>
              <w:rPr/>
            </w:pPr>
            <w:r>
              <w:rPr/>
              <w:t>​</w:t>
            </w:r>
          </w:p>
        </w:tc>
      </w:tr>
      <w:tr>
        <w:trPr/>
        <w:tc>
          <w:tcPr>
            <w:tcW w:w="538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(Signature page follows)</w:t>
            </w:r>
          </w:p>
        </w:tc>
        <w:tc>
          <w:tcPr>
            <w:tcW w:w="154" w:type="dxa"/>
            <w:tcBorders/>
            <w:shd w:fill="auto" w:val="clear"/>
            <w:vAlign w:val="center"/>
          </w:tcPr>
          <w:p>
            <w:pPr>
              <w:pStyle w:val="TableContents"/>
              <w:spacing w:before="0" w:after="0"/>
              <w:ind w:left="0" w:right="0" w:hanging="0"/>
              <w:rPr/>
            </w:pPr>
            <w:r>
              <w:rPr/>
              <w:t>​</w:t>
            </w:r>
          </w:p>
        </w:tc>
      </w:tr>
      <w:tr>
        <w:trPr/>
        <w:tc>
          <w:tcPr>
            <w:tcW w:w="5387"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Party A:</w:t>
            </w:r>
          </w:p>
        </w:tc>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Yuedu Technology Co., Ltd.</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(Seal)</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18, 2021</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Party B:</w:t>
            </w:r>
          </w:p>
        </w:tc>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NetEase Cloud Music Technology Co., Ltd.</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(Seal)</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18, 2021</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12" w:name="ntes-20221231xex12d1.htm"/>
      <w:bookmarkStart w:id="2313" w:name="ksntes20221231xex12d1"/>
      <w:bookmarkEnd w:id="2312"/>
      <w:bookmarkEnd w:id="2313"/>
      <w:r>
        <w:rPr>
          <w:rFonts w:ascii="Times New Roman;Times;serif" w:hAnsi="Times New Roman;Times;serif"/>
          <w:b/>
          <w:sz w:val="20"/>
        </w:rPr>
        <w:t>Exhibit 12.1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William Lei Ding,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1.I have reviewed this annual report on Form 20-F of NetEase, Inc.;</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April 27, 2023</w:t>
      </w:r>
    </w:p>
    <w:p>
      <w:pPr>
        <w:pStyle w:val="TextBody"/>
        <w:spacing w:before="0" w:after="0"/>
        <w:ind w:left="0" w:right="0" w:hanging="0"/>
        <w:rPr/>
      </w:pPr>
      <w:r>
        <w:rPr/>
        <w:t>​</w:t>
      </w:r>
    </w:p>
    <w:p>
      <w:pPr>
        <w:pStyle w:val="TextBody"/>
        <w:spacing w:before="0" w:after="0"/>
        <w:ind w:left="0" w:right="0" w:hanging="0"/>
        <w:rPr/>
      </w:pPr>
      <w:r>
        <w:rPr/>
        <w:t>​</w:t>
      </w:r>
    </w:p>
    <w:tbl>
      <w:tblPr>
        <w:tblW w:w="2826" w:type="dxa"/>
        <w:jc w:val="left"/>
        <w:tblInd w:w="0" w:type="dxa"/>
        <w:tblCellMar>
          <w:top w:w="0" w:type="dxa"/>
          <w:left w:w="0" w:type="dxa"/>
          <w:bottom w:w="0" w:type="dxa"/>
          <w:right w:w="0" w:type="dxa"/>
        </w:tblCellMar>
      </w:tblPr>
      <w:tblGrid>
        <w:gridCol w:w="646"/>
        <w:gridCol w:w="2026"/>
        <w:gridCol w:w="154"/>
      </w:tblGrid>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/s/William Lei Ding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William Lei Ding</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14" w:name="ntes-20221231xex12d2.htm"/>
      <w:bookmarkStart w:id="2315" w:name="ksntes20221231xex12d2"/>
      <w:bookmarkEnd w:id="2314"/>
      <w:bookmarkEnd w:id="2315"/>
      <w:r>
        <w:rPr>
          <w:rFonts w:ascii="Times New Roman;Times;serif" w:hAnsi="Times New Roman;Times;serif"/>
          <w:b/>
          <w:sz w:val="20"/>
        </w:rPr>
        <w:t>Exhibit 12.2</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Charles Zhaoxuan Yang,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1.I have reviewed this annual report on Form 20-F of NetEase, Inc.;</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April 27, 2023</w:t>
      </w:r>
    </w:p>
    <w:p>
      <w:pPr>
        <w:pStyle w:val="TextBody"/>
        <w:spacing w:before="0" w:after="0"/>
        <w:ind w:left="0" w:right="0" w:hanging="0"/>
        <w:rPr/>
      </w:pPr>
      <w:r>
        <w:rPr/>
        <w:t>​</w:t>
      </w:r>
    </w:p>
    <w:p>
      <w:pPr>
        <w:pStyle w:val="TextBody"/>
        <w:spacing w:before="0" w:after="0"/>
        <w:ind w:left="0" w:right="0" w:hanging="0"/>
        <w:rPr/>
      </w:pPr>
      <w:r>
        <w:rPr/>
        <w:t>​</w:t>
      </w:r>
    </w:p>
    <w:tbl>
      <w:tblPr>
        <w:tblW w:w="3066" w:type="dxa"/>
        <w:jc w:val="left"/>
        <w:tblInd w:w="0" w:type="dxa"/>
        <w:tblCellMar>
          <w:top w:w="0" w:type="dxa"/>
          <w:left w:w="0" w:type="dxa"/>
          <w:bottom w:w="0" w:type="dxa"/>
          <w:right w:w="0" w:type="dxa"/>
        </w:tblCellMar>
      </w:tblPr>
      <w:tblGrid>
        <w:gridCol w:w="646"/>
        <w:gridCol w:w="2266"/>
        <w:gridCol w:w="154"/>
      </w:tblGrid>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/s/Charles Zhaoxuan Yang</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2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Charles Zhaoxuan Yang</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16" w:name="ntes-20221231xex13d1.htm"/>
      <w:bookmarkStart w:id="2317" w:name="ksntes20221231xex13d1"/>
      <w:bookmarkEnd w:id="2316"/>
      <w:bookmarkEnd w:id="2317"/>
      <w:r>
        <w:rPr>
          <w:rFonts w:ascii="Times New Roman;Times;serif" w:hAnsi="Times New Roman;Times;serif"/>
          <w:b/>
          <w:sz w:val="20"/>
        </w:rPr>
        <w:t>Exhibit 13.1</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906 Certification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and Exchange Commission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100 F Street, N.E.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Washington, D.C. 20549</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Ladies and Gentlemen: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annual report of NetEase, Inc. (the “Company”) on Form 20-F for the year ended December 31, 2022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1.The Report fully complies with the requirements of Section 13(a) or 15(d), as applicable, of the Securities Exchange Act of 1934;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2.The information contained in the Report fairly presents, in all material respects, the financial condition and results of operations of the Company at the dates and for the periods indicated.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Certificate has not been, and shall not be deemed, “filed” with the Securities and Exchange Commission.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April 27, 2023</w:t>
      </w:r>
    </w:p>
    <w:p>
      <w:pPr>
        <w:pStyle w:val="TextBody"/>
        <w:spacing w:before="0" w:after="0"/>
        <w:ind w:left="0" w:right="0" w:hanging="0"/>
        <w:rPr/>
      </w:pPr>
      <w:r>
        <w:rPr/>
        <w:t>​</w:t>
      </w:r>
    </w:p>
    <w:p>
      <w:pPr>
        <w:pStyle w:val="TextBody"/>
        <w:spacing w:before="0" w:after="0"/>
        <w:ind w:left="0" w:right="0" w:hanging="0"/>
        <w:rPr/>
      </w:pPr>
      <w:r>
        <w:rPr/>
        <w:t>​</w:t>
      </w:r>
    </w:p>
    <w:tbl>
      <w:tblPr>
        <w:tblW w:w="3152" w:type="dxa"/>
        <w:jc w:val="left"/>
        <w:tblInd w:w="0" w:type="dxa"/>
        <w:tblCellMar>
          <w:top w:w="0" w:type="dxa"/>
          <w:left w:w="0" w:type="dxa"/>
          <w:bottom w:w="0" w:type="dxa"/>
          <w:right w:w="0" w:type="dxa"/>
        </w:tblCellMar>
      </w:tblPr>
      <w:tblGrid>
        <w:gridCol w:w="646"/>
        <w:gridCol w:w="2026"/>
        <w:gridCol w:w="326"/>
        <w:gridCol w:w="154"/>
      </w:tblGrid>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/s/William Lei Ding</w:t>
            </w:r>
          </w:p>
        </w:tc>
        <w:tc>
          <w:tcPr>
            <w:tcW w:w="326"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William Lei Ding</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18" w:name="ntes-20221231xex13d2.htm"/>
      <w:bookmarkStart w:id="2319" w:name="ksntes20221231xex13d2"/>
      <w:bookmarkEnd w:id="2318"/>
      <w:bookmarkEnd w:id="2319"/>
      <w:r>
        <w:rPr>
          <w:rFonts w:ascii="Times New Roman;Times;serif" w:hAnsi="Times New Roman;Times;serif"/>
          <w:b/>
          <w:sz w:val="20"/>
        </w:rPr>
        <w:t>Exhibit 13.2</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906 Certification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and Exchange Commission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100 F Street, N.E.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Washington, D.C. 20549</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Ladies and Gentlemen: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annual report of NetEase, Inc. (the “Company”) on Form 20-F for the year ended December 31, 2022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1.The Report fully complies with the requirements of Section 13(a) or 15(d), as applicable, of the Securities Exchange Act of 1934; 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2.The information contained in the Report fairly presents, in all material respects, the financial condition and results of operations of the Company at the dates and for the periods indicated.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Certificate has not been, and shall not be deemed, “filed” with the Securities and Exchange Commission.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Date:April 27, 2023</w:t>
      </w:r>
    </w:p>
    <w:p>
      <w:pPr>
        <w:pStyle w:val="TextBody"/>
        <w:spacing w:before="0" w:after="0"/>
        <w:ind w:left="0" w:right="0" w:hanging="0"/>
        <w:rPr/>
      </w:pPr>
      <w:r>
        <w:rPr/>
        <w:t>​</w:t>
      </w:r>
    </w:p>
    <w:p>
      <w:pPr>
        <w:pStyle w:val="TextBody"/>
        <w:spacing w:before="0" w:after="0"/>
        <w:ind w:left="0" w:right="0" w:hanging="0"/>
        <w:rPr/>
      </w:pPr>
      <w:r>
        <w:rPr/>
        <w:t>​</w:t>
      </w:r>
    </w:p>
    <w:tbl>
      <w:tblPr>
        <w:tblW w:w="3392" w:type="dxa"/>
        <w:jc w:val="left"/>
        <w:tblInd w:w="0" w:type="dxa"/>
        <w:tblCellMar>
          <w:top w:w="0" w:type="dxa"/>
          <w:left w:w="0" w:type="dxa"/>
          <w:bottom w:w="0" w:type="dxa"/>
          <w:right w:w="0" w:type="dxa"/>
        </w:tblCellMar>
      </w:tblPr>
      <w:tblGrid>
        <w:gridCol w:w="646"/>
        <w:gridCol w:w="2266"/>
        <w:gridCol w:w="326"/>
        <w:gridCol w:w="154"/>
      </w:tblGrid>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/s/Charles Zhaoxuan Yang</w:t>
            </w:r>
          </w:p>
        </w:tc>
        <w:tc>
          <w:tcPr>
            <w:tcW w:w="326"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2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Charles Zhaoxuan Yang</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20" w:name="ntes-20221231xex15d2.htm"/>
      <w:bookmarkStart w:id="2321" w:name="ksntes20221231xex15d2"/>
      <w:bookmarkEnd w:id="2320"/>
      <w:bookmarkEnd w:id="2321"/>
      <w:r>
        <w:rPr>
          <w:rFonts w:ascii="Times New Roman;Times;serif" w:hAnsi="Times New Roman;Times;serif"/>
          <w:b/>
          <w:sz w:val="20"/>
        </w:rPr>
        <w:t>Exhibit 15.2</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spacing w:before="0" w:after="240"/>
        <w:ind w:left="0" w:right="0" w:hanging="1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(No.333-100069, No.333-164249, No.333-234189) and Form F-3 (No.333-238762) of NetEase, Inc. of our report dated April 27, 2023 relating to the financial statements and the effectiveness of internal control over financial reporting, which appears in this Form 20-F.</w:t>
      </w:r>
    </w:p>
    <w:p>
      <w:pPr>
        <w:pStyle w:val="TextBody"/>
        <w:pBdr/>
        <w:spacing w:before="0" w:after="240"/>
        <w:ind w:left="0" w:right="0" w:hanging="10"/>
        <w:jc w:val="both"/>
        <w:rPr>
          <w:rFonts w:ascii="Times New Roman;Times;serif" w:hAnsi="Times New Roman;Times;serif"/>
          <w:sz w:val="20"/>
        </w:rPr>
      </w:pPr>
      <w:r>
        <w:rPr>
          <w:rFonts w:ascii="Times New Roman;Times;serif" w:hAnsi="Times New Roman;Times;serif"/>
          <w:sz w:val="20"/>
        </w:rPr>
        <w:t>/s/PricewaterhouseCoopers Zhong Tian LLP</w:t>
      </w:r>
    </w:p>
    <w:p>
      <w:pPr>
        <w:pStyle w:val="TextBody"/>
        <w:pBdr/>
        <w:spacing w:before="0" w:after="9"/>
        <w:ind w:left="0" w:right="0" w:hanging="10"/>
        <w:jc w:val="both"/>
        <w:rPr>
          <w:rFonts w:ascii="Times New Roman;Times;serif" w:hAnsi="Times New Roman;Times;serif"/>
          <w:sz w:val="20"/>
        </w:rPr>
      </w:pPr>
      <w:r>
        <w:rPr>
          <w:rFonts w:ascii="Times New Roman;Times;serif" w:hAnsi="Times New Roman;Times;serif"/>
          <w:sz w:val="20"/>
        </w:rPr>
        <w:t>PricewaterhouseCoopers Zhong Tian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Beijing, the People’s Republic of China</w:t>
      </w:r>
    </w:p>
    <w:p>
      <w:pPr>
        <w:pStyle w:val="TextBody"/>
        <w:pBdr/>
        <w:spacing w:before="0" w:after="9"/>
        <w:ind w:left="0" w:right="0" w:hanging="10"/>
        <w:jc w:val="both"/>
        <w:rPr>
          <w:rFonts w:ascii="Times New Roman;Times;serif" w:hAnsi="Times New Roman;Times;serif"/>
          <w:sz w:val="20"/>
        </w:rPr>
      </w:pPr>
      <w:r>
        <w:rPr>
          <w:rFonts w:ascii="Times New Roman;Times;serif" w:hAnsi="Times New Roman;Times;serif"/>
          <w:sz w:val="20"/>
        </w:rPr>
        <w:t>April 27,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322" w:name="ntes-20221231xex15d3.htm"/>
      <w:bookmarkStart w:id="2323" w:name="ksntes20221231xex15d3"/>
      <w:bookmarkEnd w:id="2322"/>
      <w:bookmarkEnd w:id="2323"/>
      <w:r>
        <w:rPr>
          <w:rFonts w:ascii="Times New Roman;Times;serif" w:hAnsi="Times New Roman;Times;serif"/>
          <w:b/>
          <w:sz w:val="20"/>
        </w:rPr>
        <w:t>Exhibit 15.3</w:t>
      </w:r>
    </w:p>
    <w:p>
      <w:pPr>
        <w:pStyle w:val="TextBody"/>
        <w:spacing w:before="0" w:after="0"/>
        <w:ind w:left="0" w:right="0" w:hanging="0"/>
        <w:jc w:val="right"/>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Our ref</w:t>
      </w:r>
      <w:r>
        <w:rPr>
          <w:rFonts w:ascii="Times New Roman;Times;serif" w:hAnsi="Times New Roman;Times;serif"/>
          <w:sz w:val="20"/>
        </w:rPr>
        <w:t>KON/302157-000001/26289192v1</w:t>
      </w:r>
    </w:p>
    <w:p>
      <w:pPr>
        <w:pStyle w:val="TextBody"/>
        <w:spacing w:before="0" w:after="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Direct tel</w:t>
      </w:r>
      <w:r>
        <w:rPr>
          <w:rFonts w:ascii="Times New Roman;Times;serif" w:hAnsi="Times New Roman;Times;serif"/>
          <w:sz w:val="20"/>
        </w:rPr>
        <w:t>+852 3690 7595</w:t>
        <w:br/>
      </w:r>
      <w:r>
        <w:rPr>
          <w:rFonts w:ascii="Times New Roman;Times;serif" w:hAnsi="Times New Roman;Times;serif"/>
          <w:b/>
          <w:sz w:val="20"/>
        </w:rPr>
        <w:t>E-mail</w:t>
      </w:r>
      <w:r>
        <w:rPr>
          <w:rFonts w:ascii="Times New Roman;Times;serif" w:hAnsi="Times New Roman;Times;serif"/>
          <w:sz w:val="20"/>
        </w:rPr>
        <w:t>Katherine.Ng@maples.com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BY COURIER</w:t>
      </w:r>
    </w:p>
    <w:p>
      <w:pPr>
        <w:pStyle w:val="TextBody"/>
        <w:spacing w:before="0" w:after="0"/>
        <w:ind w:left="0" w:right="0" w:hanging="0"/>
        <w:rPr/>
      </w:pPr>
      <w:r>
        <w:rPr/>
        <w:t>​</w:t>
      </w:r>
    </w:p>
    <w:tbl>
      <w:tblPr>
        <w:tblW w:w="4044" w:type="dxa"/>
        <w:jc w:val="center"/>
        <w:tblInd w:w="0" w:type="dxa"/>
        <w:tblCellMar>
          <w:top w:w="0" w:type="dxa"/>
          <w:left w:w="0" w:type="dxa"/>
          <w:bottom w:w="0" w:type="dxa"/>
          <w:right w:w="0" w:type="dxa"/>
        </w:tblCellMar>
      </w:tblPr>
      <w:tblGrid>
        <w:gridCol w:w="3781"/>
        <w:gridCol w:w="109"/>
        <w:gridCol w:w="154"/>
      </w:tblGrid>
      <w:tr>
        <w:trPr/>
        <w:tc>
          <w:tcPr>
            <w:tcW w:w="3781" w:type="dxa"/>
            <w:vMerge w:val="restart"/>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NetEase, Inc.</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NetEase Building, No. 599 Wangshang Road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Binjiang District, Hangzhou, 310052</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People’s Republic of China</w: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78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78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78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27, 2023</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Dear Sir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 NetEase,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acted as legal advisors as to the laws of the Cayman Islands to NetEase, Inc., an exempted limited liability company incorporated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2022 (the “</w:t>
      </w:r>
      <w:r>
        <w:rPr>
          <w:rFonts w:ascii="Times New Roman;Times;serif" w:hAnsi="Times New Roman;Times;serif"/>
          <w:b/>
          <w:sz w:val="20"/>
        </w:rPr>
        <w:t>Annual Report</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“Item 10. Additional Information – E. Taxation – Cayman Islands Taxation” and “Item 10. Additional Information – E. Taxation – Enforcement of Civil Liabilities” in the Annual Report.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Yours faithfully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Maples and Calder (Hong Kong)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Maples and Calder (Hong Kong) LLP</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24" w:name="ntes-20221231xex15d4.htm"/>
      <w:bookmarkStart w:id="2325" w:name="ksntes20221231xex15d4"/>
      <w:bookmarkEnd w:id="2324"/>
      <w:bookmarkEnd w:id="2325"/>
      <w:r>
        <w:rPr>
          <w:rFonts w:ascii="Times New Roman;Times;serif" w:hAnsi="Times New Roman;Times;serif"/>
          <w:b/>
          <w:sz w:val="20"/>
        </w:rPr>
        <w:t>Exhibit 15.4</w:t>
      </w:r>
    </w:p>
    <w:p>
      <w:pPr>
        <w:pStyle w:val="TextBody"/>
        <w:spacing w:before="0" w:after="0"/>
        <w:ind w:left="0" w:right="0" w:hanging="0"/>
        <w:jc w:val="center"/>
        <w:rPr/>
      </w:pPr>
      <w:r>
        <w:rPr/>
        <w:drawing>
          <wp:inline distT="0" distB="0" distL="0" distR="0">
            <wp:extent cx="5265420" cy="1333500"/>
            <wp:effectExtent l="0" t="0" r="0" b="0"/>
            <wp:docPr id="6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 descr=""/>
                    <pic:cNvPicPr>
                      <a:picLocks noChangeAspect="1" noChangeArrowheads="1"/>
                    </pic:cNvPicPr>
                  </pic:nvPicPr>
                  <pic:blipFill>
                    <a:blip r:embed="rId51"/>
                    <a:stretch>
                      <a:fillRect/>
                    </a:stretch>
                  </pic:blipFill>
                  <pic:spPr bwMode="auto">
                    <a:xfrm>
                      <a:off x="0" y="0"/>
                      <a:ext cx="5265420" cy="1333500"/>
                    </a:xfrm>
                    <a:prstGeom prst="rect">
                      <a:avLst/>
                    </a:prstGeom>
                  </pic:spPr>
                </pic:pic>
              </a:graphicData>
            </a:graphic>
          </wp:inline>
        </w:drawing>
      </w:r>
    </w:p>
    <w:p>
      <w:pPr>
        <w:pStyle w:val="HorizontalLine"/>
        <w:pBdr>
          <w:bottom w:val="single" w:sz="6" w:space="0" w:color="000000"/>
        </w:pBdr>
        <w:spacing w:before="0" w:after="240"/>
        <w:rPr/>
      </w:pPr>
      <w:r>
        <w:rPr/>
      </w:r>
    </w:p>
    <w:tbl>
      <w:tblPr>
        <w:tblW w:w="4157" w:type="dxa"/>
        <w:jc w:val="center"/>
        <w:tblInd w:w="0" w:type="dxa"/>
        <w:tblCellMar>
          <w:top w:w="0" w:type="dxa"/>
          <w:left w:w="0" w:type="dxa"/>
          <w:bottom w:w="0" w:type="dxa"/>
          <w:right w:w="0" w:type="dxa"/>
        </w:tblCellMar>
      </w:tblPr>
      <w:tblGrid>
        <w:gridCol w:w="346"/>
        <w:gridCol w:w="3811"/>
      </w:tblGrid>
      <w:tr>
        <w:trPr/>
        <w:tc>
          <w:tcPr>
            <w:tcW w:w="3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w:t>
            </w:r>
          </w:p>
        </w:tc>
        <w:tc>
          <w:tcPr>
            <w:tcW w:w="381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NETEASE, INC.</w:t>
            </w:r>
          </w:p>
        </w:tc>
      </w:tr>
      <w:tr>
        <w:trPr/>
        <w:tc>
          <w:tcPr>
            <w:tcW w:w="346" w:type="dxa"/>
            <w:tcBorders/>
            <w:shd w:fill="auto" w:val="clear"/>
            <w:vAlign w:val="center"/>
          </w:tcPr>
          <w:p>
            <w:pPr>
              <w:pStyle w:val="TableContents"/>
              <w:spacing w:before="0" w:after="0"/>
              <w:ind w:left="0" w:right="0" w:hanging="0"/>
              <w:jc w:val="both"/>
              <w:rPr/>
            </w:pPr>
            <w:r>
              <w:rPr/>
              <w:t>​</w:t>
            </w:r>
          </w:p>
        </w:tc>
        <w:tc>
          <w:tcPr>
            <w:tcW w:w="3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NetEase Building, No. 599 Wangshang Road</w:t>
            </w:r>
          </w:p>
        </w:tc>
      </w:tr>
      <w:tr>
        <w:trPr/>
        <w:tc>
          <w:tcPr>
            <w:tcW w:w="346" w:type="dxa"/>
            <w:tcBorders/>
            <w:shd w:fill="auto" w:val="clear"/>
            <w:vAlign w:val="center"/>
          </w:tcPr>
          <w:p>
            <w:pPr>
              <w:pStyle w:val="TableContents"/>
              <w:spacing w:before="0" w:after="0"/>
              <w:ind w:left="0" w:right="0" w:hanging="0"/>
              <w:jc w:val="both"/>
              <w:rPr/>
            </w:pPr>
            <w:r>
              <w:rPr/>
              <w:t>​</w:t>
            </w:r>
          </w:p>
        </w:tc>
        <w:tc>
          <w:tcPr>
            <w:tcW w:w="38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Binjiang District, Hangzhou</w:t>
            </w:r>
          </w:p>
        </w:tc>
      </w:tr>
      <w:tr>
        <w:trPr/>
        <w:tc>
          <w:tcPr>
            <w:tcW w:w="346" w:type="dxa"/>
            <w:tcBorders/>
            <w:shd w:fill="auto" w:val="clear"/>
            <w:vAlign w:val="center"/>
          </w:tcPr>
          <w:p>
            <w:pPr>
              <w:pStyle w:val="TableContents"/>
              <w:spacing w:before="0" w:after="0"/>
              <w:ind w:left="0" w:right="0" w:hanging="0"/>
              <w:jc w:val="both"/>
              <w:rPr/>
            </w:pPr>
            <w:r>
              <w:rPr/>
              <w:t>​</w:t>
            </w:r>
          </w:p>
        </w:tc>
        <w:tc>
          <w:tcPr>
            <w:tcW w:w="3811" w:type="dxa"/>
            <w:tcBorders/>
            <w:shd w:fill="auto" w:val="clear"/>
            <w:vAlign w:val="center"/>
          </w:tcPr>
          <w:p>
            <w:pPr>
              <w:pStyle w:val="TableContents"/>
              <w:spacing w:before="0" w:after="0"/>
              <w:ind w:left="115" w:right="0" w:hanging="0"/>
              <w:jc w:val="both"/>
              <w:rPr>
                <w:rFonts w:ascii="Times New Roman;Times;serif" w:hAnsi="Times New Roman;Times;serif"/>
                <w:sz w:val="20"/>
              </w:rPr>
            </w:pPr>
            <w:r>
              <w:rPr>
                <w:rFonts w:ascii="Times New Roman;Times;serif" w:hAnsi="Times New Roman;Times;serif"/>
                <w:sz w:val="20"/>
              </w:rPr>
              <w:t>Zhejiang Province, PRC</w:t>
            </w:r>
          </w:p>
        </w:tc>
      </w:tr>
    </w:tbl>
    <w:p>
      <w:pPr>
        <w:pStyle w:val="TextBody"/>
        <w:spacing w:before="0" w:after="240"/>
        <w:ind w:left="0" w:right="0" w:hanging="0"/>
        <w:jc w:val="both"/>
        <w:rPr/>
      </w:pPr>
      <w:r>
        <w:rPr/>
        <w:t>​</w:t>
      </w:r>
    </w:p>
    <w:p>
      <w:pPr>
        <w:pStyle w:val="TextBody"/>
        <w:spacing w:before="0" w:after="0"/>
        <w:ind w:left="0" w:right="0" w:hanging="0"/>
        <w:jc w:val="right"/>
        <w:rPr>
          <w:rFonts w:ascii="Times New Roman;Times;serif" w:hAnsi="Times New Roman;Times;serif"/>
          <w:sz w:val="20"/>
        </w:rPr>
      </w:pPr>
      <w:r>
        <w:rPr>
          <w:rFonts w:ascii="Times New Roman;Times;serif" w:hAnsi="Times New Roman;Times;serif"/>
          <w:sz w:val="20"/>
        </w:rPr>
        <w:t>April 27,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Dear Sir/Madam:</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headings of “Enforcement of Civil Liabilities” in NETEASE, INC.’s Annual Report on Form 20-F for year ended December 31, 2022, which will be filed with the Securities and Exchange Commission.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remainder of this page is intentionally left blank]</w:t>
      </w:r>
    </w:p>
    <w:p>
      <w:pPr>
        <w:pStyle w:val="TextBody"/>
        <w:spacing w:before="0" w:after="0"/>
        <w:ind w:left="0" w:right="0" w:hanging="0"/>
        <w:jc w:val="center"/>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[Signature Page]</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right"/>
        <w:rPr>
          <w:rFonts w:ascii="Times New Roman;Times;serif" w:hAnsi="Times New Roman;Times;serif"/>
          <w:sz w:val="20"/>
        </w:rPr>
      </w:pPr>
      <w:r>
        <w:rPr>
          <w:rFonts w:ascii="Times New Roman;Times;serif" w:hAnsi="Times New Roman;Times;serif"/>
          <w:sz w:val="20"/>
        </w:rPr>
        <w:t>Yours faithfully,</w:t>
      </w:r>
    </w:p>
    <w:p>
      <w:pPr>
        <w:pStyle w:val="TextBody"/>
        <w:spacing w:before="0" w:after="0"/>
        <w:ind w:left="0" w:right="0" w:hanging="0"/>
        <w:jc w:val="right"/>
        <w:rPr/>
      </w:pPr>
      <w:r>
        <w:rPr/>
        <w:t>​</w:t>
      </w:r>
    </w:p>
    <w:p>
      <w:pPr>
        <w:pStyle w:val="TextBody"/>
        <w:spacing w:before="0" w:after="0"/>
        <w:ind w:left="0" w:right="0" w:hanging="0"/>
        <w:jc w:val="right"/>
        <w:rPr/>
      </w:pPr>
      <w:r>
        <w:rPr/>
        <w:t>​</w:t>
      </w:r>
    </w:p>
    <w:p>
      <w:pPr>
        <w:pStyle w:val="TextBody"/>
        <w:spacing w:before="0" w:after="0"/>
        <w:ind w:left="0" w:right="0" w:hanging="0"/>
        <w:jc w:val="right"/>
        <w:rPr>
          <w:rFonts w:ascii="Times New Roman;Times;serif" w:hAnsi="Times New Roman;Times;serif"/>
          <w:sz w:val="20"/>
        </w:rPr>
      </w:pPr>
      <w:r>
        <w:rPr>
          <w:rFonts w:ascii="Times New Roman;Times;serif" w:hAnsi="Times New Roman;Times;serif"/>
          <w:sz w:val="20"/>
        </w:rPr>
        <w:t>/s/ Zhong Lun Law Firm</w:t>
      </w:r>
    </w:p>
    <w:p>
      <w:pPr>
        <w:pStyle w:val="TextBody"/>
        <w:spacing w:before="0" w:after="0"/>
        <w:ind w:left="0" w:right="0" w:hanging="0"/>
        <w:jc w:val="right"/>
        <w:rPr>
          <w:rFonts w:ascii="Times New Roman;Times;serif" w:hAnsi="Times New Roman;Times;serif"/>
          <w:sz w:val="20"/>
        </w:rPr>
      </w:pPr>
      <w:r>
        <w:rPr>
          <w:rFonts w:ascii="Times New Roman;Times;serif" w:hAnsi="Times New Roman;Times;serif"/>
          <w:sz w:val="20"/>
        </w:rPr>
        <w:t>Zhong Lun Law Firm</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326" w:name="ntes-20221231xex15d5.htm"/>
      <w:bookmarkStart w:id="2327" w:name="ksntes20221231xex15d5"/>
      <w:bookmarkEnd w:id="2326"/>
      <w:bookmarkEnd w:id="2327"/>
      <w:r>
        <w:rPr>
          <w:rFonts w:ascii="Times New Roman;Times;serif" w:hAnsi="Times New Roman;Times;serif"/>
          <w:b/>
          <w:sz w:val="20"/>
        </w:rPr>
        <w:t>Exhibit 15.5</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Disclosure Pursuant to Item 16I(a) of Form 20-F</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On December 16, 2021, the U.S. Public Company Accounting Oversight Board (“PCAOB”) determined that it was unable to inspect or investigate completely PCAOB-registered public accounting firms headquartered in China mainland and in Hong Kong because of positions taken by PRC authorities in the PRC and Hong Kong. In May 2022, the SEC conclusively listed NetEase as a Commission-Identified Issuer under the HFCAA following the filing of the annual report on Form 20-F for the fiscal year ended December 31, 2021. On December 15, 2022, the PCAOB vacated its December 16, 2021 determination and announced that it had secured complete access to inspect and investigate registered public accounting firms headquartered in China mainland and Hong Kong.</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Based on an examination of our company’s register of members and public filings made by its shareholders, to our company’s knowledge, no shareholder other than our founder, Chief Executive Officer and director, William Lei Ding, owns more than 5% of our company’s outstanding shares. In addition, we are not aware of any governmental entity in China mainland that is in possession of the power, direct or indirect, to direct or cause the direction of the management and policies of the Company, whether through the ownership of voting securities, by contract, or otherwise.</w:t>
      </w:r>
    </w:p>
    <w:p>
      <w:pPr>
        <w:pStyle w:val="TextBody"/>
        <w:spacing w:before="0" w:after="0"/>
        <w:ind w:left="0" w:right="0" w:firstLine="490"/>
        <w:rPr>
          <w:rFonts w:ascii="Times New Roman;Times;serif" w:hAnsi="Times New Roman;Times;serif"/>
          <w:sz w:val="20"/>
        </w:rPr>
      </w:pPr>
      <w:r>
        <w:rPr>
          <w:rFonts w:ascii="Times New Roman;Times;serif" w:hAnsi="Times New Roman;Times;serif"/>
          <w:sz w:val="20"/>
        </w:rPr>
        <w:t>Capitalized terms that are not defined in this Disclosure Pursuant to Item 16I(a) of Form 20-F bear the same meaning as those given in the Form 20-F for fiscal year ended December 31, 2022.</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10646/000110465921084381/tm2120224d1_ex1-1.htm" TargetMode="External"/><Relationship Id="rId4" Type="http://schemas.openxmlformats.org/officeDocument/2006/relationships/hyperlink" Target="https://www.sec.gov/Archives/edgar/data/1110646/000089109204002641/e18031ex1.txt" TargetMode="External"/><Relationship Id="rId5" Type="http://schemas.openxmlformats.org/officeDocument/2006/relationships/hyperlink" Target="https://www.sec.gov/Archives/edgar/data/1110646/000110465922052206/ntes-20211231xex2d4.htm" TargetMode="External"/><Relationship Id="rId6" Type="http://schemas.openxmlformats.org/officeDocument/2006/relationships/hyperlink" Target="https://www.sec.gov/Archives/edgar/data/1110646/000110465915030142/a15-4743_1ex3d3.htm" TargetMode="External"/><Relationship Id="rId7" Type="http://schemas.openxmlformats.org/officeDocument/2006/relationships/hyperlink" Target="https://www.sec.gov/Archives/edgar/data/1110646/000110465916113375/a16-3849_1ex3d8.htm" TargetMode="External"/><Relationship Id="rId8" Type="http://schemas.openxmlformats.org/officeDocument/2006/relationships/hyperlink" Target="https://www.sec.gov/Archives/edgar/data/1110646/000110465916113375/a16-3849_1ex3d9.htm" TargetMode="External"/><Relationship Id="rId9" Type="http://schemas.openxmlformats.org/officeDocument/2006/relationships/hyperlink" Target="https://www.sec.gov/Archives/edgar/data/1110646/000110465916113375/a16-3849_1ex3d7.htm" TargetMode="External"/><Relationship Id="rId10" Type="http://schemas.openxmlformats.org/officeDocument/2006/relationships/hyperlink" Target="https://www.sec.gov/Archives/edgar/data/1110646/000110465917025196/a17-1327_1ex3d6.htm" TargetMode="External"/><Relationship Id="rId11" Type="http://schemas.openxmlformats.org/officeDocument/2006/relationships/hyperlink" Target="https://www.sec.gov/Archives/edgar/data/1110646/000110465918025392/a18-5396_1ex3d8.htm" TargetMode="External"/><Relationship Id="rId12" Type="http://schemas.openxmlformats.org/officeDocument/2006/relationships/hyperlink" Target="https://www.sec.gov/Archives/edgar/data/1110646/000119312510003078/dex101.htm" TargetMode="External"/><Relationship Id="rId13" Type="http://schemas.openxmlformats.org/officeDocument/2006/relationships/hyperlink" Target="https://www.sec.gov/Archives/edgar/data/1110646/000119312510149321/dex43.htm" TargetMode="External"/><Relationship Id="rId14" Type="http://schemas.openxmlformats.org/officeDocument/2006/relationships/hyperlink" Target="https://www.sec.gov/Archives/edgar/data/1110646/000119312505131680/dex439.htm" TargetMode="External"/><Relationship Id="rId15" Type="http://schemas.openxmlformats.org/officeDocument/2006/relationships/hyperlink" Target="https://www.sec.gov/Archives/edgar/data/1110646/000119312505131680/dex440.htm" TargetMode="External"/><Relationship Id="rId16" Type="http://schemas.openxmlformats.org/officeDocument/2006/relationships/hyperlink" Target="https://www.sec.gov/Archives/edgar/data/1110646/000119312505131680/dex441.htm" TargetMode="External"/><Relationship Id="rId17" Type="http://schemas.openxmlformats.org/officeDocument/2006/relationships/hyperlink" Target="https://www.sec.gov/Archives/edgar/data/1110646/000110465913031064/a12-28368_1ex4d25.htm" TargetMode="External"/><Relationship Id="rId18" Type="http://schemas.openxmlformats.org/officeDocument/2006/relationships/hyperlink" Target="https://www.sec.gov/Archives/edgar/data/1110646/000110465915030142/a15-4743_1ex4d33.htm" TargetMode="External"/><Relationship Id="rId19" Type="http://schemas.openxmlformats.org/officeDocument/2006/relationships/hyperlink" Target="https://www.sec.gov/Archives/edgar/data/1110646/000110465915030142/a15-4743_1ex4d35.htm" TargetMode="External"/><Relationship Id="rId20" Type="http://schemas.openxmlformats.org/officeDocument/2006/relationships/hyperlink" Target="https://www.sec.gov/Archives/edgar/data/1110646/000110465915030142/a15-4743_1ex4d36.htm" TargetMode="External"/><Relationship Id="rId21" Type="http://schemas.openxmlformats.org/officeDocument/2006/relationships/hyperlink" Target="https://www.sec.gov/Archives/edgar/data/1110646/000110465916113375/a16-3849_1ex4d44.htm" TargetMode="External"/><Relationship Id="rId22" Type="http://schemas.openxmlformats.org/officeDocument/2006/relationships/hyperlink" Target="https://www.sec.gov/Archives/edgar/data/1110646/000110465916113375/a16-3849_1ex4d45.htm" TargetMode="External"/><Relationship Id="rId23" Type="http://schemas.openxmlformats.org/officeDocument/2006/relationships/hyperlink" Target="https://www.sec.gov/Archives/edgar/data/1110646/000110465916113375/a16-3849_1ex4d46.htm" TargetMode="External"/><Relationship Id="rId24" Type="http://schemas.openxmlformats.org/officeDocument/2006/relationships/hyperlink" Target="https://www.sec.gov/Archives/edgar/data/1110646/000110465916113375/a16-3849_1ex4d47.htm" TargetMode="External"/><Relationship Id="rId25" Type="http://schemas.openxmlformats.org/officeDocument/2006/relationships/hyperlink" Target="https://www.sec.gov/Archives/edgar/data/1110646/000110465916113375/a16-3849_1ex4d48.htm" TargetMode="External"/><Relationship Id="rId26" Type="http://schemas.openxmlformats.org/officeDocument/2006/relationships/hyperlink" Target="https://www.sec.gov/Archives/edgar/data/1110646/000110465916113375/a16-3849_1ex4d49.htm" TargetMode="External"/><Relationship Id="rId27" Type="http://schemas.openxmlformats.org/officeDocument/2006/relationships/hyperlink" Target="https://www.sec.gov/Archives/edgar/data/1110646/000110465916113375/a16-3849_1ex4d50.htm" TargetMode="External"/><Relationship Id="rId28" Type="http://schemas.openxmlformats.org/officeDocument/2006/relationships/hyperlink" Target="https://www.sec.gov/Archives/edgar/data/1110646/000110465916113375/a16-3849_1ex4d51.htm" TargetMode="External"/><Relationship Id="rId29" Type="http://schemas.openxmlformats.org/officeDocument/2006/relationships/hyperlink" Target="https://www.sec.gov/Archives/edgar/data/1110646/000110465917025196/a17-1327_1ex4d51.htm" TargetMode="External"/><Relationship Id="rId30" Type="http://schemas.openxmlformats.org/officeDocument/2006/relationships/hyperlink" Target="https://www.sec.gov/Archives/edgar/data/1110646/000110465917025196/a17-1327_1ex4d52.htm" TargetMode="External"/><Relationship Id="rId31" Type="http://schemas.openxmlformats.org/officeDocument/2006/relationships/hyperlink" Target="https://www.sec.gov/Archives/edgar/data/1110646/000110465917025196/a17-1327_1ex4d53.htm" TargetMode="External"/><Relationship Id="rId32" Type="http://schemas.openxmlformats.org/officeDocument/2006/relationships/hyperlink" Target="https://www.sec.gov/Archives/edgar/data/1110646/000110465917025196/a17-1327_1ex4d54.htm" TargetMode="External"/><Relationship Id="rId33" Type="http://schemas.openxmlformats.org/officeDocument/2006/relationships/hyperlink" Target="https://www.sec.gov/Archives/edgar/data/1110646/000110465917025196/a17-1327_1ex4d55.htm" TargetMode="External"/><Relationship Id="rId34" Type="http://schemas.openxmlformats.org/officeDocument/2006/relationships/hyperlink" Target="https://www.sec.gov/Archives/edgar/data/1110646/000110465918025392/a18-5396_1ex4d52.htm" TargetMode="External"/><Relationship Id="rId35" Type="http://schemas.openxmlformats.org/officeDocument/2006/relationships/hyperlink" Target="https://www.sec.gov/Archives/edgar/data/1110646/000110465918025392/a18-5396_1ex4d53.htm" TargetMode="External"/><Relationship Id="rId36" Type="http://schemas.openxmlformats.org/officeDocument/2006/relationships/hyperlink" Target="https://www.sec.gov/Archives/edgar/data/1110646/000110465918025392/a18-5396_1ex4d54.htm" TargetMode="External"/><Relationship Id="rId37" Type="http://schemas.openxmlformats.org/officeDocument/2006/relationships/hyperlink" Target="https://www.sec.gov/Archives/edgar/data/1110646/000110465918025392/a18-5396_1ex4d55.htm" TargetMode="External"/><Relationship Id="rId38" Type="http://schemas.openxmlformats.org/officeDocument/2006/relationships/hyperlink" Target="https://www.sec.gov/Archives/edgar/data/1110646/000110465919023833/a18-41432_1ex4d58.htm" TargetMode="External"/><Relationship Id="rId39" Type="http://schemas.openxmlformats.org/officeDocument/2006/relationships/hyperlink" Target="https://www.sec.gov/Archives/edgar/data/1110646/000110465920052796/ntes-20191231xex4d52.htm" TargetMode="External"/><Relationship Id="rId40" Type="http://schemas.openxmlformats.org/officeDocument/2006/relationships/hyperlink" Target="https://www.sec.gov/Archives/edgar/data/1110646/000110465920052796/ntes-20191231xex4d53.htm" TargetMode="External"/><Relationship Id="rId41" Type="http://schemas.openxmlformats.org/officeDocument/2006/relationships/hyperlink" Target="https://www.sec.gov/Archives/edgar/data/1110646/000110465920052796/ntes-20191231xex4d54.htm" TargetMode="External"/><Relationship Id="rId42" Type="http://schemas.openxmlformats.org/officeDocument/2006/relationships/hyperlink" Target="https://www.sec.gov/Archives/edgar/data/1110646/000110465920052796/ntes-20191231xex4d55.htm" TargetMode="External"/><Relationship Id="rId43" Type="http://schemas.openxmlformats.org/officeDocument/2006/relationships/hyperlink" Target="https://www.sec.gov/Archives/edgar/data/1110646/000110465920052796/ntes-20191231xex4d56.htm" TargetMode="External"/><Relationship Id="rId44" Type="http://schemas.openxmlformats.org/officeDocument/2006/relationships/hyperlink" Target="https://www.sec.gov/Archives/edgar/data/1110646/000110465923027570/tm238153d1_ex4-5.htm" TargetMode="External"/><Relationship Id="rId45" Type="http://schemas.openxmlformats.org/officeDocument/2006/relationships/hyperlink" Target="https://www.sec.gov/Archives/edgar/data/1110646/000110465922052206/ntes-20211231xex4d44.htm" TargetMode="External"/><Relationship Id="rId46" Type="http://schemas.openxmlformats.org/officeDocument/2006/relationships/hyperlink" Target="https://www.sec.gov/Archives/edgar/data/1110646/000110465922052206/ntes-20211231xex4d45.htm" TargetMode="External"/><Relationship Id="rId47" Type="http://schemas.openxmlformats.org/officeDocument/2006/relationships/hyperlink" Target="https://www.sec.gov/Archives/edgar/data/1110646/000110465922052206/ntes-20211231xex4d46.htm" TargetMode="External"/><Relationship Id="rId48" Type="http://schemas.openxmlformats.org/officeDocument/2006/relationships/hyperlink" Target="https://www.sec.gov/Archives/edgar/data/1110646/000110465921055902/ntes-20201231xex8d1.htm" TargetMode="External"/><Relationship Id="rId49" Type="http://schemas.openxmlformats.org/officeDocument/2006/relationships/hyperlink" Target="https://www.sec.gov/Archives/edgar/data/1110646/000119312507142483/dex111.htm" TargetMode="External"/><Relationship Id="rId50" Type="http://schemas.openxmlformats.org/officeDocument/2006/relationships/hyperlink" Target="https://www.sec.gov/Archives/edgar/data/1110646/000110465915030142/a15-4743_1ex15d1.htm" TargetMode="External"/><Relationship Id="rId51" Type="http://schemas.openxmlformats.org/officeDocument/2006/relationships/image" Target="media/image2.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34</Pages>
  <Words>201327</Words>
  <CharactersWithSpaces>1319756</CharactersWithSpaces>
  <Paragraphs>18539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