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4823-1_4seq1.xml.htm"/>
      <w:bookmarkStart w:id="1" w:name="kstm2624823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 Bin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NETEASE, RM 802,CHINA LIFE CTR, TW 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HARBOURGATE, NO.18 HUNG LUEN RD, KLN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HONGKONG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000000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NetEase,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NTES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HKEX: 9999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President, Finance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5"/>
        <w:gridCol w:w="922"/>
        <w:gridCol w:w="791"/>
        <w:gridCol w:w="612"/>
        <w:gridCol w:w="345"/>
        <w:gridCol w:w="779"/>
        <w:gridCol w:w="434"/>
        <w:gridCol w:w="1041"/>
        <w:gridCol w:w="1137"/>
        <w:gridCol w:w="982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716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120.6407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represents five ordinary shares of NetEase, Inc.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Doris Fang, Attorney-in-Fact for Mo Bin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2918" TargetMode="External"/><Relationship Id="rId5" Type="http://schemas.openxmlformats.org/officeDocument/2006/relationships/hyperlink" Target="http://www.sec.gov/cgi-bin/browse-edgar?action=getcompany&amp;CIK=00011106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3216</Characters>
  <CharactersWithSpaces>3742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