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5053d1_6k.htm"/>
      <w:bookmarkStart w:id="1" w:name="kstm2615053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055"/>
        <w:gridCol w:w="60"/>
        <w:gridCol w:w="5525"/>
      </w:tblGrid>
      <w:tr>
        <w:trPr/>
        <w:tc>
          <w:tcPr>
            <w:tcW w:w="1055" w:type="dxa"/>
            <w:tcBorders/>
            <w:vAlign w:val="center"/>
          </w:tcPr>
          <w:p>
            <w:pPr>
              <w:pStyle w:val="TableContents"/>
              <w:bidi w:val="0"/>
              <w:spacing w:before="0" w:after="283"/>
              <w:jc w:val="left"/>
              <w:rPr/>
            </w:pPr>
            <w:hyperlink w:anchor="tm2615053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hyperlink w:anchor="tm2615053d1_ex99-1.htm">
              <w:r>
                <w:rPr>
                  <w:rStyle w:val="InternetLink"/>
                  <w:rFonts w:ascii="Times New Roman;Times;Serif" w:hAnsi="Times New Roman;Times;Serif"/>
                  <w:sz w:val="20"/>
                </w:rPr>
                <w:t>NetEase Announces First Quarter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NETEASE,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15053d1_ex99-1.htm"/>
      <w:bookmarkStart w:id="3" w:name="kstm2615053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5811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15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for Media and 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ir@service.netease.com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Announces First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China, May 21, 2026 - NetEase, Inc. (NASDAQ: NTES and HKEX: 9999, “NetEase” or the “Company”), a leading internet and game services provider, today announced its unaudited financial results for the first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RMB30.6 billion (US$4.4 billion), an increase of 6.1%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Games and related value-added services net revenues were RMB25.7 billion (US$3.7 billion), an increase of 6.9%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Youdao net revenues were RMB1.3 billion (US$195.4 million), an increase of 3.8%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NetEase Cloud Music net revenues were RMB2.0 billion (US$287.2 million), an increase of 6.6%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Innovative businesses and others net revenues were RMB1.5 billion (US$224.6 million), a decrease of 4.6%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RMB21.2 billion (US$3.1 billion), an increase of 14.8%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 were RMB8.6 billion (US$1.2 billion), an increase of 6.5% compared with the same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attributable to the Company’s shareholders was RMB10.7 billion (US$1.5 billion). Non-GAAP net income attributable to the Company’s shareholders was RMB11.3 billion (US$1.6 billion).</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Basic net income per share was US$0.48 (US$2.42 per ADS). Non-GAAP basic net income per share was US$0.51 (US$2.56 per ADS).</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used in this announcement, non-GAAP net income attributable to the Company’s shareholders and non-GAAP basic and diluted net income per share and per ADS are defined to exclude share-based compensation expenses. See the unaudited reconciliation of GAAP and non-GAAP results at the end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and Recent Operational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Sustained strong engagement and revenue performance across established titles, including the </w:t>
            </w:r>
            <w:r>
              <w:rPr>
                <w:rFonts w:ascii="Times New Roman;Times;Serif" w:hAnsi="Times New Roman;Times;Serif"/>
                <w:i/>
              </w:rPr>
              <w:t>Fantasy Westward Journey</w:t>
            </w:r>
            <w:r>
              <w:rPr>
                <w:rFonts w:ascii="Times New Roman;Times;Serif" w:hAnsi="Times New Roman;Times;Serif"/>
              </w:rPr>
              <w:t xml:space="preserve"> franchise, </w:t>
            </w:r>
            <w:r>
              <w:rPr>
                <w:rFonts w:ascii="Times New Roman;Times;Serif" w:hAnsi="Times New Roman;Times;Serif"/>
                <w:i/>
              </w:rPr>
              <w:t>Identity V</w:t>
            </w:r>
            <w:r>
              <w:rPr>
                <w:rFonts w:ascii="Times New Roman;Times;Serif" w:hAnsi="Times New Roman;Times;Serif"/>
              </w:rPr>
              <w:t xml:space="preserve">, </w:t>
            </w:r>
            <w:r>
              <w:rPr>
                <w:rFonts w:ascii="Times New Roman;Times;Serif" w:hAnsi="Times New Roman;Times;Serif"/>
                <w:i/>
              </w:rPr>
              <w:t>Eggy Party</w:t>
            </w:r>
            <w:r>
              <w:rPr>
                <w:rFonts w:ascii="Times New Roman;Times;Serif" w:hAnsi="Times New Roman;Times;Serif"/>
              </w:rPr>
              <w:t xml:space="preserve">, </w:t>
            </w:r>
            <w:r>
              <w:rPr>
                <w:rFonts w:ascii="Times New Roman;Times;Serif" w:hAnsi="Times New Roman;Times;Serif"/>
                <w:i/>
              </w:rPr>
              <w:t>Sword of Justice</w:t>
            </w:r>
            <w:r>
              <w:rPr>
                <w:rFonts w:ascii="Times New Roman;Times;Serif" w:hAnsi="Times New Roman;Times;Serif"/>
              </w:rPr>
              <w:t xml:space="preserve"> and </w:t>
            </w:r>
            <w:r>
              <w:rPr>
                <w:rFonts w:ascii="Times New Roman;Times;Serif" w:hAnsi="Times New Roman;Times;Serif"/>
                <w:i/>
              </w:rPr>
              <w:t>Where Winds Meet</w:t>
            </w:r>
            <w:r>
              <w:rPr>
                <w:rFonts w:ascii="Times New Roman;Times;Serif" w:hAnsi="Times New Roman;Times;Serif"/>
              </w:rPr>
              <w:t>, supported by high-cadence content updates and gameplay innovation.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Advanced global expansion through key titles, such as </w:t>
            </w:r>
            <w:r>
              <w:rPr>
                <w:rFonts w:ascii="Times New Roman;Times;Serif" w:hAnsi="Times New Roman;Times;Serif"/>
                <w:i/>
              </w:rPr>
              <w:t xml:space="preserve">Where Winds Meet </w:t>
            </w:r>
            <w:r>
              <w:rPr>
                <w:rFonts w:ascii="Times New Roman;Times;Serif" w:hAnsi="Times New Roman;Times;Serif"/>
              </w:rPr>
              <w:t xml:space="preserve">and </w:t>
            </w:r>
            <w:r>
              <w:rPr>
                <w:rFonts w:ascii="Times New Roman;Times;Serif" w:hAnsi="Times New Roman;Times;Serif"/>
                <w:i/>
              </w:rPr>
              <w:t>Marvel Rivals,</w:t>
            </w:r>
            <w:r>
              <w:rPr>
                <w:rFonts w:ascii="Times New Roman;Times;Serif" w:hAnsi="Times New Roman;Times;Serif"/>
              </w:rPr>
              <w:t xml:space="preserve"> amplifying their international reach and deepening player engagement.</w:t>
            </w:r>
          </w:p>
        </w:tc>
      </w:tr>
    </w:tbl>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2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Blizzard titles maintained stable operations in China with a steady rollout of localized content.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For the first quarter of 2026, we delivered another solid quarter across our established gaming portfolio, while continuing to make steady progress advancing our pipeline of new titles,” said Mr. William Ding, Chief Executive Officer and Director of NetEase. “Our recent global launches have demonstrated strong cross-market appeal, supporting the continued execution of our international expansion strategy.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continue to strengthen our technological capabilities and focus on innovation across both content and development. By combining evolving technologies with our deep operating expertise, we aim to create exceptional content and experiences that exceed players’ expectations and reach an even broader global audience,” Mr. Ding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first quarter of 2026 were RMB30.6 billion (US$4.4 billion), compared with RMB27.5 billion and RMB28.8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from games and related value-added services were RMB25.7 billion (US$3.7 billion) for the first quarter of 2026, compared with RMB22.0 billion and RMB24.0 billion for the preceding quarter and the same quarter of 2025, respectively. Net revenues from the operation of online games accounted for approximately 97.5% of the segment’s net revenues for the first quarter of 2026, compared with 96.8% and 97.5% for the preceding quarter and the same quarter of 2025, respectively. The quarter-over-quarter and year-over-year increases were attributable to higher net revenues from self-developed games, such as the </w:t>
      </w:r>
      <w:r>
        <w:rPr>
          <w:rFonts w:ascii="Times New Roman;Times;Serif" w:hAnsi="Times New Roman;Times;Serif"/>
          <w:b w:val="false"/>
          <w:i/>
          <w:caps w:val="false"/>
          <w:smallCaps w:val="false"/>
          <w:sz w:val="20"/>
        </w:rPr>
        <w:t>Fantasy Westward Journey</w:t>
      </w:r>
      <w:r>
        <w:rPr>
          <w:rFonts w:ascii="Times New Roman;Times;Serif" w:hAnsi="Times New Roman;Times;Serif"/>
          <w:b w:val="false"/>
          <w:i w:val="false"/>
          <w:caps w:val="false"/>
          <w:smallCaps w:val="false"/>
          <w:sz w:val="20"/>
        </w:rPr>
        <w:t xml:space="preserve"> franchise and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Youdao were RMB1.3 billion (US$195.4 million) for the first quarter of 2026, compared with RMB1.6 billion and RMB1.3 billion for the preceding quarter and the same quarter of 2025, respectively. The quarter-over-quarter decrease was mainly due to decreased net revenues from its learning services and smart devices.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NetEase Cloud Music were RMB2.0 billion (US$287.2 million) for the first quarter of 2026, compared with RMB2.0 billion and RMB1.9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innovative businesses and others were RMB1.5 billion (US$224.6 million) for the first quarter of 2026, compared with RMB2.0 billion and RMB1.6 billion for the preceding quarter and the same quarter of 2025, respectively. The quarter-over-quarter decrease was led by decreased net revenues from e-commerce and advertising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first quarter of 2026 was RMB9.4 billion (US$1.4 billion), compared with RMB9.9 billion and RMB10.3 billion for the preceding quarter and the same quarter of 2025, respectively. The quarter-over-quarter decrease was mainly due to lower product costs. The year-over-year decrease was mainly due to lower revenue-sharing costs related to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quarter of 2026 was RMB21.2 billion (US$3.1 billion), compared with RMB17.7 billion and RMB18.5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first quarter of 2026 were RMB8.6 billion (US$1.2 billion), compared with RMB9.4 billion and RMB8.0 billion for the preceding quarter and the same quarter of 2025, respectively. The variances in both the quarter-over-quarter and year-over-year results were primarily attributable to fluctuations in marketing expenses and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consisted of investment income/(loss), interest income, net exchange gains/(losses) and others. The quarter-over-quarter increase was mainly attributable to the gain from the disposal of certain long-term investments and lower investment impairment provisions in the first quarter of 2026. The year-over-year decrease was primarily due to fair value changes of equity security investments and higher foreign exchange losses recognized in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income tax charge of RMB2.5 billion (US$365.9 million) for the first quarter of 2026, compared with RMB1.3 billion and RMB1.9 billion for the preceding quarter and the same quarter of 2025, respectively. The effective tax rate for the first quarter of 2026 was 18.9%, compared with 16.4% and 15.3% for the preceding quarter and the same quarter of 2025, respectively. The effective tax rate represents certain estimates by the Company as to the tax obligations and benefits applicable to it in each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and Non-GAAP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totaled RMB10.7 billion (US$1.5 billion) for the first quarter of 2026, compared with RMB6.2 billion and RMB10.3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was US$0.48 per share (US$2.42 per ADS) for the first quarter of 2026, compared with US$0.28 per share (US$1.42 per ADS) and US$0.47 per share (US$2.35 per ADS)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 totaled RMB11.3 billion (US$1.6 billion) for the first quarter of 2026, compared with RMB7.1 billion and RMB11.2 billion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basic net income was US$0.51 per share (US$2.56 per ADS) for the first quarter of 2026, compared with US$0.32 per share (US$1.61 per ADS) and US$0.51 per share (US$2.57 per ADS) for the preceding quarter and the same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net cash (total cash and cash equivalents, current and non-current time deposits and restricted cash, as well as short-term investments balance, minus short-term and long-term loans) totaled RMB167.5 billion (US$24.3 billion), compared with RMB163.5 billion as of December 31, 2025. Net cash provided by operating activities was RMB13.7 billion (US$2.0 billion) for the first quarter of 2026, compared with RMB14.8 billion and RMB12.1 billion for the preceding quarter and the first quarter of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 dividend of US$0.144 per share (US$0.720 per ADS) for the first quarter of 2026 to holders of ordinary shares and holders of ADSs as of the close of business on June 5, 2026, Beijing/Hong Kong Time and New York Time, respectively, payable in U.S. dollars. For holders of ordinary shares, in order to qualify for the dividend, all valid documents for the transfer of shares accompanied by the relevant share certificates must be lodged for registration with the Company’s Hong Kong branch share registrar, Computershare Hong Kong Investor Services Limited, at Shops 1712-1716,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Hopewell Centre, 183 Queen’s Road East, Wanchai, Hong Kong, no later than 4:30 p.m. on June 5, 2026 (Beijing/Hong Kong Time). The payment date is expected to be June 15, 2026 for holders of ordinary shares and on or around June 18, 2026, for holders of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paid a dividend of US$0.232 per share (US$1.16 per ADS) for the fourth quarter of 2025 in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current dividend policy, the determination to make dividend distributions and the amount of such distribution in any particular quarter will be made at the discretion of its board of directors and will be based upon the Company’s operations and earnings, cash flow, financial condition and other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announced the extension of its previously approved share repurchase program of up to US$5.0 billion of the Company’s ADSs and ordinary shares in open market or other transactions for an additional 36 months until January 9, 2029. As of March 31, 2026, approximately 23.2 million ADSs had been repurchased under this program for a total cost of US$2.1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NetEase repurchases its ADSs and its ordinary shares depends upon a variety of factors, including market conditions. These programs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United States dollar (US$) amounts disclosed in this announcement are presented solely for the convenience of the reader. The percentages stated are calculated based on RMB.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NetEase’s management team will host a teleconference call with a simultaneous webcast at 8:00 a.m. Eastern Time on Thursday, May 21, 2026 (Beijing/Hong Kong Time: 8:00 p.m., Thursday, May 21, 2026). NetEase’s management will be on the call to discuss the quarterly results and answer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participate in the conference call by dialing 1-914-202-3258 and providing conference ID: 10054538, 15 minutes prior to the initiation of the call. A replay of the call will be available by dialing 1-855-883-1031 and entering PIN: 10054538. The replay will be available through 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call will be webcast live, and the replay will be available for 12 months. Both will be available on NetEase’s Investor Relations website at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 (NASDAQ: NTES and HKEX: 9999, “NetEase”) is a leading internet and game services provider centered around premium content. With extensive offerings across its expanding gaming ecosystem, the Company develops and operates some of the most popular and longest-running mobile and PC games available in China and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one of the largest in-house game R&amp;D teams focused on mobile, PC and console, NetEase creates superior gaming experiences, inspires players, and passionately delivers value for its thriving community worldwide. By infusing play with culture, and education with technology, NetEase transforms gaming into a meaningful vehicle to build a more entertaining and enlightened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Beyond games, NetEase service offerings include its majority-controlled subsidiaries </w:t>
      </w:r>
      <w:r>
        <w:rPr>
          <w:rFonts w:ascii="Times New Roman;Times;Serif" w:hAnsi="Times New Roman;Times;Serif"/>
          <w:b w:val="false"/>
          <w:i/>
          <w:caps w:val="false"/>
          <w:smallCaps w:val="false"/>
          <w:sz w:val="20"/>
        </w:rPr>
        <w:t>Youdao</w:t>
      </w:r>
      <w:r>
        <w:rPr>
          <w:rFonts w:ascii="Times New Roman;Times;Serif" w:hAnsi="Times New Roman;Times;Serif"/>
          <w:b w:val="false"/>
          <w:i w:val="false"/>
          <w:caps w:val="false"/>
          <w:smallCaps w:val="false"/>
          <w:sz w:val="20"/>
        </w:rPr>
        <w:t xml:space="preserve"> (NYSE: DAO), an intelligent learning and advertising solutions provider, and </w:t>
      </w:r>
      <w:r>
        <w:rPr>
          <w:rFonts w:ascii="Times New Roman;Times;Serif" w:hAnsi="Times New Roman;Times;Serif"/>
          <w:b w:val="false"/>
          <w:i/>
          <w:caps w:val="false"/>
          <w:smallCaps w:val="false"/>
          <w:sz w:val="20"/>
        </w:rPr>
        <w:t>NetEase Cloud Music</w:t>
      </w:r>
      <w:r>
        <w:rPr>
          <w:rFonts w:ascii="Times New Roman;Times;Serif" w:hAnsi="Times New Roman;Times;Serif"/>
          <w:b w:val="false"/>
          <w:i w:val="false"/>
          <w:caps w:val="false"/>
          <w:smallCaps w:val="false"/>
          <w:sz w:val="20"/>
        </w:rPr>
        <w:t xml:space="preserve"> (HKEX: 9899), a well-known online music platform featuring a vibrant content community, as well as </w:t>
      </w:r>
      <w:r>
        <w:rPr>
          <w:rFonts w:ascii="Times New Roman;Times;Serif" w:hAnsi="Times New Roman;Times;Serif"/>
          <w:b w:val="false"/>
          <w:i/>
          <w:caps w:val="false"/>
          <w:smallCaps w:val="false"/>
          <w:sz w:val="20"/>
        </w:rPr>
        <w:t>Yanxuan</w:t>
      </w:r>
      <w:r>
        <w:rPr>
          <w:rFonts w:ascii="Times New Roman;Times;Serif" w:hAnsi="Times New Roman;Times;Serif"/>
          <w:b w:val="false"/>
          <w:i w:val="false"/>
          <w:caps w:val="false"/>
          <w:smallCaps w:val="false"/>
          <w:sz w:val="20"/>
        </w:rPr>
        <w:t>, NetEase’s private-label consumer lifestyle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games market will not continue to grow or that NetEase will not be able to maintain its position in that market in China or globally; risks associated with NetEase’s business and operating strategies and its ability to implement such strategies; NetEase’s ability to develop and manage its operations and business; competition for, among other things, capital, technology and skilled personnel; potential changes in regulatory environment in the markets where NetEase operates; the risk that NetEase may not be able to continuously develop new and creative online services or that NetEase will not be able to set, or follow in a timely manner, trends in the market; risks related to evolving economic cycles and geopolitical tensions, including the direct or indirect impacts of national trade, investment, protectionist, tax or other laws or policies as well as export controls and economic or trade sanctions; risks related to the expansion of NetEase’s businesses and operations internationally; risks associated with cybersecurity threats or incidents; and fluctuations in foreign currency exchange rates that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considers and uses non-GAAP financial measures, such as non-GAAP net income attributable to the Company’s shareholders and non-GAAP basic and diluted net income per ADS and per share, as supplemental metrics in reviewing and assessing its operating performance and formulating its business plan. The presentation of non-GAAP financial measures is not intended to be considered in isolation or as a substitute for the financial information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defines non-GAAP net income attributable to the Company’s shareholders as net income attributable to the Company’s shareholders excluding share-based compensation expenses. Non-GAAP net income attributable to the Company’s shareholders enables NetEase’s management to assess its operating results without considering the impact of share-based compensation expenses. NetEase believes that this non-GAAP financial measure provides useful information to investors in understanding and evaluating the Company’s current operating performance and prospects in the same manner as management does, if they so choose. NetEase also believes that the use of this non-GAAP financial measure facilitates investors’ assessment of its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defined under U.S. GAAP and are not presented in accordance with U.S. GAAP. Non-GAAP financial measures have limitations as analytical tools. One of the key limitations of using non-GAAP net income attributable to the Company’s shareholders is that it does not reflect all items of expense/ income that affect our operations. Share-based compensation expenses have been and may continue to be incurred in NetEase’s business and are not reflected in the presentation of non-GAAP net income attributable to the Company’s shareholders. In addition, the non-GAAP financial measures NetEase uses may differ from the non-GAAP measures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compensates for these limitations by reconciling non-GAAP net income attributable to the Company’s shareholders to the nearest U.S. GAAP performance measure, all of which should be considered when evaluating the Company’s performance. See the unaudited reconciliation of GAAP and non-GAAP results at the end of this announcement. NetEase encourages you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6380"/>
        <w:gridCol w:w="60"/>
        <w:gridCol w:w="63"/>
        <w:gridCol w:w="1111"/>
        <w:gridCol w:w="60"/>
        <w:gridCol w:w="60"/>
        <w:gridCol w:w="60"/>
        <w:gridCol w:w="1055"/>
        <w:gridCol w:w="60"/>
        <w:gridCol w:w="60"/>
        <w:gridCol w:w="65"/>
        <w:gridCol w:w="1034"/>
        <w:gridCol w:w="75"/>
      </w:tblGrid>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March 31, </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March 31, </w:t>
              <w:br/>
              <w:t>2026</w:t>
            </w:r>
          </w:p>
        </w:tc>
        <w:tc>
          <w:tcPr>
            <w:tcW w:w="75" w:type="dxa"/>
            <w:tcBorders/>
            <w:vAlign w:val="center"/>
          </w:tcPr>
          <w:p>
            <w:pPr>
              <w:pStyle w:val="TableContents"/>
              <w:bidi w:val="0"/>
              <w:spacing w:before="0" w:after="283"/>
              <w:jc w:val="center"/>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4" w:type="dxa"/>
            <w:gridSpan w:val="2"/>
            <w:tcBorders/>
            <w:vAlign w:val="center"/>
          </w:tcPr>
          <w:p>
            <w:pPr>
              <w:pStyle w:val="TableContents"/>
              <w:bidi w:val="0"/>
              <w:spacing w:before="0" w:after="283"/>
              <w:jc w:val="center"/>
              <w:rPr>
                <w:sz w:val="20"/>
              </w:rPr>
            </w:pPr>
            <w:r>
              <w:rPr>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sz w:val="20"/>
              </w:rPr>
            </w:pPr>
            <w:r>
              <w:rPr>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vAlign w:val="center"/>
          </w:tcPr>
          <w:p>
            <w:pPr>
              <w:pStyle w:val="TableContents"/>
              <w:bidi w:val="0"/>
              <w:spacing w:before="0" w:after="283"/>
              <w:jc w:val="center"/>
              <w:rPr>
                <w:sz w:val="20"/>
              </w:rPr>
            </w:pPr>
            <w:r>
              <w:rPr>
                <w:sz w:val="20"/>
              </w:rPr>
              <w:t>USD (Note 1)</w:t>
            </w:r>
          </w:p>
        </w:tc>
        <w:tc>
          <w:tcPr>
            <w:tcW w:w="75" w:type="dxa"/>
            <w:tcBorders/>
            <w:vAlign w:val="center"/>
          </w:tcPr>
          <w:p>
            <w:pPr>
              <w:pStyle w:val="TableContents"/>
              <w:bidi w:val="0"/>
              <w:spacing w:before="0" w:after="283"/>
              <w:jc w:val="center"/>
              <w:rPr/>
            </w:pPr>
            <w:r>
              <w:rPr/>
              <w:t> </w:t>
            </w:r>
          </w:p>
        </w:tc>
      </w:tr>
      <w:tr>
        <w:trPr/>
        <w:tc>
          <w:tcPr>
            <w:tcW w:w="638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47,167,904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50,815,211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7,366,659</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Time 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92,639,378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80,109,903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11,613,497</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Restricted cash</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4,319,344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4,502,968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652,793</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5,337,819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6,492,901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941,273</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Inventories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689,183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546,030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79,158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Prepayments and other current assets,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7,658,346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6,212,901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900,682</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Short-term investments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22,803,503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39,978,723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5,795,698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180,615,477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188,658,637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27,349,760</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Property, equipment and software,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8,425,327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8,311,363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1,204,895</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4,047,355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4,014,831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582,028</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2,831,423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2,894,530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419,619</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Time 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2,995,000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3,045,000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441,432</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Restricted cash</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3,893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3,344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485</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22,496,585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24,469,340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3,547,309</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Total non-current assets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40,799,583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42,738,408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6,195,768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221,415,060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231,397,045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33,545,528</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Liabilities, Redeemable Noncontrolling Interests and Shareholders’ Equity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643,164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780,921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113,210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Salary and welfare payables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4,889,708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2,642,579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383,094</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Taxes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3,874,143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5,765,891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835,878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Short-term loans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6,384,417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10,955,460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1,588,208</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20,514,540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21,811,530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3,162,008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Accrued liabilities and other payables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16,062,984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15,480,778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2,244,242</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52,368,956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57,437,159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8,326,640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sz w:val="20"/>
              </w:rPr>
            </w:pPr>
            <w:r>
              <w:rPr>
                <w:sz w:val="20"/>
              </w:rPr>
              <w:t>2,637,258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3,232,494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sz w:val="20"/>
              </w:rPr>
            </w:pPr>
            <w:r>
              <w:rPr>
                <w:sz w:val="20"/>
              </w:rPr>
              <w:t>468,613</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1,304,837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1,377,929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199,758</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3,942,095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4,610,423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668,371</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56,311,051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62,047,582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8,995,011</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Redeemable noncontrolling interests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91,319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93,143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13,503</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NetEase, Inc.’s shareholders’ equity</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sz w:val="20"/>
              </w:rPr>
            </w:pPr>
            <w:r>
              <w:rPr>
                <w:sz w:val="20"/>
              </w:rPr>
              <w:t>160,296,119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164,722,217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sz w:val="20"/>
              </w:rPr>
            </w:pPr>
            <w:r>
              <w:rPr>
                <w:sz w:val="20"/>
              </w:rPr>
              <w:t>23,879,707</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sz w:val="20"/>
              </w:rPr>
            </w:pPr>
            <w:r>
              <w:rPr>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4,716,571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4,534,103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657,307</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Total equity</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165,012,690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169,256,320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24,537,014</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sz w:val="20"/>
              </w:rPr>
            </w:pPr>
            <w:r>
              <w:rPr>
                <w:sz w:val="20"/>
              </w:rPr>
              <w:t>Total liabilities, redeemable noncontrolling interests and shareholders’ equity</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221,415,060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231,397,045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2" w:space="0" w:color="000000"/>
            </w:tcBorders>
            <w:shd w:fill="CCEEFF" w:val="clear"/>
            <w:tcMar>
              <w:bottom w:w="50" w:type="dxa"/>
            </w:tcMar>
            <w:vAlign w:val="center"/>
          </w:tcPr>
          <w:p>
            <w:pPr>
              <w:pStyle w:val="TableContents"/>
              <w:bidi w:val="0"/>
              <w:spacing w:before="0" w:after="283"/>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33,545,528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INCOME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 or per ADS data)</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5054"/>
        <w:gridCol w:w="60"/>
        <w:gridCol w:w="60"/>
        <w:gridCol w:w="1010"/>
        <w:gridCol w:w="80"/>
        <w:gridCol w:w="60"/>
        <w:gridCol w:w="82"/>
        <w:gridCol w:w="1311"/>
        <w:gridCol w:w="80"/>
        <w:gridCol w:w="60"/>
        <w:gridCol w:w="60"/>
        <w:gridCol w:w="950"/>
        <w:gridCol w:w="80"/>
        <w:gridCol w:w="60"/>
        <w:gridCol w:w="60"/>
        <w:gridCol w:w="1041"/>
        <w:gridCol w:w="97"/>
      </w:tblGrid>
      <w:tr>
        <w:trPr/>
        <w:tc>
          <w:tcPr>
            <w:tcW w:w="50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99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(Note 1)</w:t>
            </w:r>
          </w:p>
        </w:tc>
        <w:tc>
          <w:tcPr>
            <w:tcW w:w="9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28,828,545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27,546,973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30,591,281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4,434,804 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(10,349,139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(9,854,598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(9,374,209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(1,358,975 </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18,479,406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17,692,375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21,217,072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3,075,829 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(2,695,597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(3,888,256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(3,441,485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(498,911 </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(1,050,701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(636,597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(92,287 </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(4,386,313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(4,434,260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(4,482,157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(649,776 </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(8,038,247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(9,373,217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(8,560,239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(1,240,974 </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10,441,159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8,319,158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12,656,833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1,834,855 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income/(loss),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(1,669,086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890,267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129,062 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gains/(losses),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(517,965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(622,108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(90,187 </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485,863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63,638 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12,451,914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7,620,374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13,369,442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1,938,161 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(1,250,430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(2,523,838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(365,880 </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10,546,771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6,369,944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10,845,604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1,572,281 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 and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(24,702 </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10,674,106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1,547,419 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ADS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 used in calculating net income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3,173,899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3,191,805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3,198,123 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3,206,362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3,227,907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3,227,325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3,227,325 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five ordinary shares.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left"/>
        <w:rPr/>
      </w:pPr>
      <w:r>
        <w:rPr/>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7055"/>
        <w:gridCol w:w="60"/>
        <w:gridCol w:w="60"/>
        <w:gridCol w:w="60"/>
        <w:gridCol w:w="60"/>
        <w:gridCol w:w="60"/>
        <w:gridCol w:w="60"/>
        <w:gridCol w:w="60"/>
        <w:gridCol w:w="75"/>
      </w:tblGrid>
      <w:tr>
        <w:trPr/>
        <w:tc>
          <w:tcPr>
            <w:tcW w:w="7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NETEASE,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UNAUDITED CONDENSED CONSOLIDATED STATEMENTS OF CASH FLOWS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10"/>
        <w:gridCol w:w="60"/>
        <w:gridCol w:w="60"/>
        <w:gridCol w:w="890"/>
        <w:gridCol w:w="80"/>
        <w:gridCol w:w="60"/>
        <w:gridCol w:w="61"/>
        <w:gridCol w:w="926"/>
        <w:gridCol w:w="80"/>
        <w:gridCol w:w="60"/>
        <w:gridCol w:w="60"/>
        <w:gridCol w:w="890"/>
        <w:gridCol w:w="80"/>
        <w:gridCol w:w="60"/>
        <w:gridCol w:w="65"/>
        <w:gridCol w:w="872"/>
        <w:gridCol w:w="91"/>
      </w:tblGrid>
      <w:tr>
        <w:trPr/>
        <w:tc>
          <w:tcPr>
            <w:tcW w:w="58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4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2026</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91"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10,546,771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6,369,944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10,845,604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1,572,281</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480,761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720,367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430,583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62,421</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equity security, other investments and financial instruments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(558,499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1,308,861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1,117,717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162,035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Impairment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857,796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344,871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49,996</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Fair value changes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(201,609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(283,560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(385,395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(55,871</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951,872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847,194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616,180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89,329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Allowance for expected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974</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Losses/(gains) on disposal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exchange (gains)/losses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(28,453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514,469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643,942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93,352</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Losses/(gains) on disposal of long-term investments and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(273,438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(1,071,442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(155,326</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328,272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532,257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77,161</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of results on equity method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153,645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442,575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64,160</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(1,088,960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594,561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(1,188,837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(172,345</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(51,881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20,745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Prepayments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(295,178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701,921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16,839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(148,076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19,490</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Salary and welfare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(2,085,111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1,859,384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(2,253,559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(326,698</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1,796,123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(436,268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1,895,324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274,764</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2,526,198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1,048,151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200,702</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(290,374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749,075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(3,051</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12,106,652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14,823,331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13,733,071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1,990,876</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(454,071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(137,818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(312,148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(45,252</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sale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intangible assets, content and licensed copyrights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(298,771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(183,986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(290,019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(42,044</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changes of short-term investments with terms of three months or 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(6,138,556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(400,836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(15,766,308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(2,285,635</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Purchase of short-term investments with terms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(5,600,000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(853,146</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maturities of short-term investments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2,708,601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7,695,328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4,861,483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704,767</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Investment/prepayment for investment in long-term investments and acquisition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(90,966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(1,617,947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(3,204,395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(464,540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disposal of long-term investments and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77,428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624,662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1,353,947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196,281</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Placement/rollover of matured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(49,601,807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(39,787,587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(30,608,133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(4,437,247</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from maturities of 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43,926,482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39,781,381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42,018,869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6,091,457</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Change in 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9,555</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(used in)/provided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(12,841,002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387,329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(7,764,122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(1,125,561</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changes from loans with terms of three months or 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(2,254,415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(56,405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1,182,383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171,410</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Proceeds of loans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2,747,550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92,700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6,134,520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889,319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Payment of loans with terms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(2,935,677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(2,620,900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(379,951</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amounts received/(paid) related to capital contribution from or repurchase of  noncontrolling interests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(3,395</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amounts paid related to repurchase of NetEase’s ADSs/purchase of subsidiaries’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(303,601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(1,314,003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(190,490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Dividends paid to NetEase’s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(5,584,532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(2,575,287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(5,156,320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(747,509</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(8,288,158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(3,528,571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(1,797,738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(260,616</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Effect of exchange rate changes on cash, cash equivalents and restricted cash held in foreign currencies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(56,932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(175,895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(340,829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(49,410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(decrease)/increase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(9,079,440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11,506,194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3,830,382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555,289</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54,474,923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39,984,947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51,491,141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7,464,648</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Cash, cash equivalents and restricted cash, at the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45,395,483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51,491,141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55,321,523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8,019,937</w:t>
            </w:r>
          </w:p>
        </w:tc>
        <w:tc>
          <w:tcPr>
            <w:tcW w:w="91"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paid for income taxes,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1,206,555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1,068,868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1,464,650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212,330</w:t>
            </w:r>
          </w:p>
        </w:tc>
        <w:tc>
          <w:tcPr>
            <w:tcW w:w="91"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paid for 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11,355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SEGMENT INFORMATION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pPr>
      <w:r>
        <w:rPr>
          <w:caps w:val="false"/>
          <w:smallCaps w:val="false"/>
        </w:rPr>
        <w:t> </w:t>
      </w:r>
      <w:r>
        <w:rPr/>
        <w:t xml:space="preserve"> </w:t>
      </w:r>
    </w:p>
    <w:tbl>
      <w:tblPr>
        <w:tblW w:w="8653" w:type="dxa"/>
        <w:jc w:val="left"/>
        <w:tblInd w:w="0" w:type="dxa"/>
        <w:tblLayout w:type="fixed"/>
        <w:tblCellMar>
          <w:top w:w="0" w:type="dxa"/>
          <w:left w:w="0" w:type="dxa"/>
          <w:bottom w:w="0" w:type="dxa"/>
          <w:right w:w="0" w:type="dxa"/>
        </w:tblCellMar>
      </w:tblPr>
      <w:tblGrid>
        <w:gridCol w:w="3260"/>
        <w:gridCol w:w="60"/>
        <w:gridCol w:w="60"/>
        <w:gridCol w:w="1010"/>
        <w:gridCol w:w="80"/>
        <w:gridCol w:w="60"/>
        <w:gridCol w:w="97"/>
        <w:gridCol w:w="1542"/>
        <w:gridCol w:w="80"/>
        <w:gridCol w:w="60"/>
        <w:gridCol w:w="60"/>
        <w:gridCol w:w="950"/>
        <w:gridCol w:w="80"/>
        <w:gridCol w:w="60"/>
        <w:gridCol w:w="68"/>
        <w:gridCol w:w="1031"/>
        <w:gridCol w:w="9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3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March 31, </w:t>
              <w:br/>
              <w:t>2026</w:t>
            </w:r>
            <w:r>
              <w:rPr>
                <w:rFonts w:ascii="Times New Roman;Times;Serif" w:hAnsi="Times New Roman;Times;Serif"/>
                <w:b w:val="false"/>
                <w:i w:val="false"/>
                <w:caps w:val="false"/>
                <w:smallCaps w:val="false"/>
                <w:sz w:val="20"/>
              </w:rPr>
              <w:t xml:space="preserve">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(Note 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24,048,007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21,966,634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25,712,975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3,727,598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1,564,692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1,348,022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1,858,388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1,968,270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1,981,234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2,047,377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224,565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28,828,545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27,546,973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30,591,281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4,434,804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5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(7,495,262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(6,472,229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(6,482,431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(939,755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(684,035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(859,314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(745,729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(108,108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(1,285,937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(1,247,066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(180,787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(994,065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(1,237,118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(898,983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(10,349,139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(9,854,598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(9,374,209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(1,358,975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5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16,552,745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15,494,405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19,230,544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2,787,843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705,378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682,333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650,067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18,479,406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17,692,375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21,217,072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3,075,829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conversion of Renminbi (RMB) into United States dollars (USD) is based on the noon buying rate of USD1.00 = RMB 6.8980 on the last trading day of March 2026 (March 31, 2026) as set forth in the H.10 statistical release of the U.S. Federal Reserve Board. No representation is made that the RMB amounts could have been, or could be, converted into US$ at that rate on March 31, 2026, or at any other certain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Share-based compensation cost reported in the Company’s unaudited condensed consolidated statements of comprehensive income is set out as follows in RMB and USD (in thousands):</w:t>
      </w:r>
    </w:p>
    <w:p>
      <w:pPr>
        <w:pStyle w:val="TextBody"/>
        <w:bidi w:val="0"/>
        <w:spacing w:before="0" w:after="0"/>
        <w:ind w:left="0" w:right="0" w:hanging="0"/>
        <w:jc w:val="left"/>
        <w:rPr>
          <w:caps w:val="false"/>
          <w:smallCaps w:val="false"/>
        </w:rPr>
      </w:pPr>
      <w:r>
        <w:rPr>
          <w:caps w:val="false"/>
          <w:smallCaps w:val="false"/>
        </w:rPr>
        <w:t> </w:t>
      </w:r>
    </w:p>
    <w:tbl>
      <w:tblPr>
        <w:tblW w:w="8151" w:type="dxa"/>
        <w:jc w:val="left"/>
        <w:tblInd w:w="0" w:type="dxa"/>
        <w:tblLayout w:type="fixed"/>
        <w:tblCellMar>
          <w:top w:w="0" w:type="dxa"/>
          <w:left w:w="0" w:type="dxa"/>
          <w:bottom w:w="0" w:type="dxa"/>
          <w:right w:w="0" w:type="dxa"/>
        </w:tblCellMar>
      </w:tblPr>
      <w:tblGrid>
        <w:gridCol w:w="3605"/>
        <w:gridCol w:w="60"/>
        <w:gridCol w:w="70"/>
        <w:gridCol w:w="819"/>
        <w:gridCol w:w="60"/>
        <w:gridCol w:w="60"/>
        <w:gridCol w:w="92"/>
        <w:gridCol w:w="1082"/>
        <w:gridCol w:w="60"/>
        <w:gridCol w:w="60"/>
        <w:gridCol w:w="70"/>
        <w:gridCol w:w="819"/>
        <w:gridCol w:w="60"/>
        <w:gridCol w:w="60"/>
        <w:gridCol w:w="101"/>
        <w:gridCol w:w="998"/>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1"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(Note 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cost included in: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financial information prepared and presented in this announcement might be different from those published and to be published by NetEase’s listed subsidiary to meet the disclosure requirements under different accounting standards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unaudited reconciliation of GAAP and non-GAAP results is set out as follows in RMB and USD (in thousands, except per share data or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5"/>
        <w:gridCol w:w="60"/>
        <w:gridCol w:w="60"/>
        <w:gridCol w:w="950"/>
        <w:gridCol w:w="60"/>
        <w:gridCol w:w="60"/>
        <w:gridCol w:w="76"/>
        <w:gridCol w:w="1092"/>
        <w:gridCol w:w="60"/>
        <w:gridCol w:w="60"/>
        <w:gridCol w:w="60"/>
        <w:gridCol w:w="950"/>
        <w:gridCol w:w="60"/>
        <w:gridCol w:w="60"/>
        <w:gridCol w:w="60"/>
        <w:gridCol w:w="1095"/>
        <w:gridCol w:w="77"/>
      </w:tblGrid>
      <w:tr>
        <w:trPr/>
        <w:tc>
          <w:tcPr>
            <w:tcW w:w="5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9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(Note 1)</w:t>
            </w:r>
          </w:p>
        </w:tc>
        <w:tc>
          <w:tcPr>
            <w:tcW w:w="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10,301,157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6,241,956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10,674,106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1,547,419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935,570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87,086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11,236,727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7,072,987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11,274,824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1,634,505</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share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 per ADS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5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five ordinary shares.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4578</Words>
  <Characters>26771</Characters>
  <CharactersWithSpaces>32717</CharactersWithSpaces>
  <Paragraphs>3271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